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6F" w:rsidRDefault="00B61A6F" w:rsidP="00B61A6F">
      <w:pPr>
        <w:rPr>
          <w:kern w:val="0"/>
          <w:szCs w:val="21"/>
        </w:rPr>
      </w:pPr>
      <w:bookmarkStart w:id="0" w:name="OLE_LINK5"/>
      <w:bookmarkStart w:id="1" w:name="OLE_LINK4"/>
      <w:r>
        <w:rPr>
          <w:b/>
          <w:sz w:val="28"/>
          <w:szCs w:val="28"/>
        </w:rPr>
        <w:t>Supplementary materials</w:t>
      </w:r>
    </w:p>
    <w:p w:rsidR="00B61A6F" w:rsidRDefault="00B61A6F" w:rsidP="00B61A6F">
      <w:pPr>
        <w:rPr>
          <w:kern w:val="0"/>
          <w:szCs w:val="21"/>
        </w:rPr>
      </w:pPr>
    </w:p>
    <w:p w:rsidR="00B61A6F" w:rsidRDefault="00B61A6F" w:rsidP="00B61A6F">
      <w:pPr>
        <w:spacing w:line="480" w:lineRule="auto"/>
      </w:pPr>
      <w:r>
        <w:rPr>
          <w:sz w:val="20"/>
          <w:szCs w:val="20"/>
        </w:rPr>
        <w:t>Supplementary File S1.</w:t>
      </w:r>
      <w:r>
        <w:t xml:space="preserve"> </w:t>
      </w:r>
      <w:r>
        <w:rPr>
          <w:sz w:val="24"/>
        </w:rPr>
        <w:t xml:space="preserve">Soil properties and vegetation of study sites in each elevation along altitudinal gradients of Mt. Taibai. </w:t>
      </w:r>
    </w:p>
    <w:tbl>
      <w:tblPr>
        <w:tblW w:w="0" w:type="dxa"/>
        <w:jc w:val="center"/>
        <w:tblBorders>
          <w:top w:val="single" w:sz="4" w:space="0" w:color="auto"/>
          <w:bottom w:val="single" w:sz="4" w:space="0" w:color="auto"/>
        </w:tblBorders>
        <w:tblLayout w:type="fixed"/>
        <w:tblLook w:val="04A0" w:firstRow="1" w:lastRow="0" w:firstColumn="1" w:lastColumn="0" w:noHBand="0" w:noVBand="1"/>
      </w:tblPr>
      <w:tblGrid>
        <w:gridCol w:w="1180"/>
        <w:gridCol w:w="1088"/>
        <w:gridCol w:w="1038"/>
        <w:gridCol w:w="9042"/>
      </w:tblGrid>
      <w:tr w:rsidR="00B61A6F" w:rsidTr="00B61A6F">
        <w:trPr>
          <w:trHeight w:val="315"/>
          <w:jc w:val="center"/>
        </w:trPr>
        <w:tc>
          <w:tcPr>
            <w:tcW w:w="1180" w:type="dxa"/>
            <w:tcBorders>
              <w:top w:val="single" w:sz="4" w:space="0" w:color="auto"/>
              <w:left w:val="nil"/>
              <w:bottom w:val="single" w:sz="4" w:space="0" w:color="auto"/>
              <w:right w:val="nil"/>
            </w:tcBorders>
            <w:noWrap/>
            <w:vAlign w:val="center"/>
            <w:hideMark/>
          </w:tcPr>
          <w:p w:rsidR="00B61A6F" w:rsidRDefault="00B61A6F">
            <w:pPr>
              <w:ind w:leftChars="-26" w:left="-55" w:rightChars="-41" w:right="-86"/>
              <w:jc w:val="left"/>
              <w:rPr>
                <w:sz w:val="20"/>
                <w:szCs w:val="20"/>
              </w:rPr>
            </w:pPr>
            <w:bookmarkStart w:id="2" w:name="OLE_LINK6"/>
            <w:r>
              <w:rPr>
                <w:sz w:val="20"/>
                <w:szCs w:val="20"/>
              </w:rPr>
              <w:t>Elevation (m)</w:t>
            </w:r>
          </w:p>
        </w:tc>
        <w:tc>
          <w:tcPr>
            <w:tcW w:w="1088" w:type="dxa"/>
            <w:tcBorders>
              <w:top w:val="single" w:sz="4" w:space="0" w:color="auto"/>
              <w:left w:val="nil"/>
              <w:bottom w:val="single" w:sz="4" w:space="0" w:color="auto"/>
              <w:right w:val="nil"/>
            </w:tcBorders>
            <w:noWrap/>
            <w:vAlign w:val="center"/>
            <w:hideMark/>
          </w:tcPr>
          <w:p w:rsidR="00B61A6F" w:rsidRDefault="00B61A6F">
            <w:pPr>
              <w:jc w:val="left"/>
              <w:rPr>
                <w:sz w:val="20"/>
                <w:szCs w:val="20"/>
              </w:rPr>
            </w:pPr>
            <w:r>
              <w:rPr>
                <w:sz w:val="20"/>
                <w:szCs w:val="20"/>
              </w:rPr>
              <w:t>Soil types</w:t>
            </w:r>
          </w:p>
        </w:tc>
        <w:tc>
          <w:tcPr>
            <w:tcW w:w="1038" w:type="dxa"/>
            <w:tcBorders>
              <w:top w:val="single" w:sz="4" w:space="0" w:color="auto"/>
              <w:left w:val="nil"/>
              <w:bottom w:val="single" w:sz="4" w:space="0" w:color="auto"/>
              <w:right w:val="nil"/>
            </w:tcBorders>
            <w:noWrap/>
            <w:vAlign w:val="center"/>
            <w:hideMark/>
          </w:tcPr>
          <w:p w:rsidR="00B61A6F" w:rsidRDefault="00B61A6F">
            <w:pPr>
              <w:ind w:leftChars="-28" w:left="-59" w:rightChars="-32" w:right="-67"/>
              <w:jc w:val="left"/>
              <w:rPr>
                <w:sz w:val="20"/>
                <w:szCs w:val="20"/>
              </w:rPr>
            </w:pPr>
            <w:r>
              <w:rPr>
                <w:sz w:val="20"/>
                <w:szCs w:val="20"/>
              </w:rPr>
              <w:t>vegetation types</w:t>
            </w:r>
          </w:p>
        </w:tc>
        <w:tc>
          <w:tcPr>
            <w:tcW w:w="9042" w:type="dxa"/>
            <w:tcBorders>
              <w:top w:val="single" w:sz="4" w:space="0" w:color="auto"/>
              <w:left w:val="nil"/>
              <w:bottom w:val="single" w:sz="4" w:space="0" w:color="auto"/>
              <w:right w:val="nil"/>
            </w:tcBorders>
            <w:noWrap/>
            <w:vAlign w:val="center"/>
            <w:hideMark/>
          </w:tcPr>
          <w:p w:rsidR="00B61A6F" w:rsidRDefault="00B61A6F">
            <w:pPr>
              <w:jc w:val="left"/>
              <w:rPr>
                <w:sz w:val="20"/>
                <w:szCs w:val="20"/>
              </w:rPr>
            </w:pPr>
            <w:r>
              <w:rPr>
                <w:sz w:val="20"/>
                <w:szCs w:val="20"/>
              </w:rPr>
              <w:t>Main plant species</w:t>
            </w:r>
          </w:p>
        </w:tc>
      </w:tr>
      <w:tr w:rsidR="00B61A6F" w:rsidTr="00B61A6F">
        <w:trPr>
          <w:trHeight w:val="285"/>
          <w:jc w:val="center"/>
        </w:trPr>
        <w:tc>
          <w:tcPr>
            <w:tcW w:w="1180" w:type="dxa"/>
            <w:tcBorders>
              <w:top w:val="single" w:sz="4" w:space="0" w:color="auto"/>
              <w:left w:val="nil"/>
              <w:bottom w:val="nil"/>
              <w:right w:val="nil"/>
            </w:tcBorders>
            <w:noWrap/>
            <w:vAlign w:val="center"/>
            <w:hideMark/>
          </w:tcPr>
          <w:p w:rsidR="00B61A6F" w:rsidRDefault="00B61A6F">
            <w:pPr>
              <w:jc w:val="left"/>
              <w:rPr>
                <w:sz w:val="20"/>
                <w:szCs w:val="20"/>
              </w:rPr>
            </w:pPr>
            <w:bookmarkStart w:id="3" w:name="_Hlk382821137"/>
            <w:r>
              <w:rPr>
                <w:sz w:val="20"/>
                <w:szCs w:val="20"/>
              </w:rPr>
              <w:t>660-1100</w:t>
            </w:r>
          </w:p>
        </w:tc>
        <w:tc>
          <w:tcPr>
            <w:tcW w:w="1088" w:type="dxa"/>
            <w:tcBorders>
              <w:top w:val="single" w:sz="4" w:space="0" w:color="auto"/>
              <w:left w:val="nil"/>
              <w:bottom w:val="nil"/>
              <w:right w:val="nil"/>
            </w:tcBorders>
            <w:noWrap/>
            <w:vAlign w:val="center"/>
            <w:hideMark/>
          </w:tcPr>
          <w:p w:rsidR="00B61A6F" w:rsidRDefault="00B61A6F">
            <w:pPr>
              <w:jc w:val="left"/>
              <w:rPr>
                <w:sz w:val="20"/>
                <w:szCs w:val="20"/>
              </w:rPr>
            </w:pPr>
            <w:r>
              <w:rPr>
                <w:sz w:val="20"/>
                <w:szCs w:val="20"/>
              </w:rPr>
              <w:t>Cinnamon soil</w:t>
            </w:r>
          </w:p>
        </w:tc>
        <w:tc>
          <w:tcPr>
            <w:tcW w:w="1038" w:type="dxa"/>
            <w:tcBorders>
              <w:top w:val="single" w:sz="4" w:space="0" w:color="auto"/>
              <w:left w:val="nil"/>
              <w:bottom w:val="nil"/>
              <w:right w:val="nil"/>
            </w:tcBorders>
            <w:noWrap/>
            <w:vAlign w:val="center"/>
            <w:hideMark/>
          </w:tcPr>
          <w:p w:rsidR="00B61A6F" w:rsidRDefault="00B61A6F">
            <w:pPr>
              <w:jc w:val="left"/>
              <w:rPr>
                <w:sz w:val="20"/>
                <w:szCs w:val="20"/>
              </w:rPr>
            </w:pPr>
            <w:r>
              <w:rPr>
                <w:sz w:val="20"/>
                <w:szCs w:val="20"/>
              </w:rPr>
              <w:t>shrubs</w:t>
            </w:r>
          </w:p>
        </w:tc>
        <w:tc>
          <w:tcPr>
            <w:tcW w:w="9042" w:type="dxa"/>
            <w:tcBorders>
              <w:top w:val="single" w:sz="4" w:space="0" w:color="auto"/>
              <w:left w:val="nil"/>
              <w:bottom w:val="nil"/>
              <w:right w:val="nil"/>
            </w:tcBorders>
            <w:noWrap/>
            <w:vAlign w:val="center"/>
            <w:hideMark/>
          </w:tcPr>
          <w:p w:rsidR="00B61A6F" w:rsidRDefault="00B61A6F">
            <w:pPr>
              <w:jc w:val="left"/>
              <w:rPr>
                <w:i/>
                <w:sz w:val="20"/>
                <w:szCs w:val="20"/>
              </w:rPr>
            </w:pPr>
            <w:r>
              <w:rPr>
                <w:i/>
                <w:sz w:val="20"/>
                <w:szCs w:val="20"/>
              </w:rPr>
              <w:t>Acer grosseri, Agrimonia pilosa, Artemisia viridissima, Celastrus orbiculatus, Cercis chinensis, Cotinus coggygria, Diospyros lotus, Galium handelii, Lonicera ferdinandii, Lonicera hispida, Quercus aliena var. acuteserrata, Quercus variabilis, Rosa tsinglingensis, Thalictrum robustum</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1200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Cinnamon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grosseri, Carex japonica, Carpinus cordata, Carpinus shensiensis, Cotinus coggygria, Litsea pungens, Paederia scadens, Quercus aliena var. acuteserrata, Quercus variabilis, Rosa tsinglingensis, Rubia cordifolia, Rubus sp., Smilax discotis, Spiraea blumei, Viburnum dilatatum</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1350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Cinnamon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Acanthopanax stenophyllus, Acer grosseri, Carpinus turczaninowii, Deyeuxia sinelatior, Litsea pungens, Quercus variabilis, Sanguisorba officinalis, Scutellaria honanensis, Spiraea pubescens, Toxicodendron verniciflum, Viola mandshurica</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1500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grosseri, Agrimonia pilosa, Akebia trifoliata, Carex siderosticta, Celtis koraiensis, Lespedeza formosa, Litsea pungens, Litsea tsinlingensis, Lonicera japonica, Quercus aliena var. acuteserrata, Smilax scobinicaulis, Sorbus alnifolia, Spiraea mongolica, Toxicodendron verniciflum</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1650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grosseri, Acer robustum, Acer shankanensis, Agrimonia pilosa, Carex siderosticta, Crataegus kansuensis, Festuca modesta, Lespedeza formosa, Litsea pungens, Lonicera japonica, Maddenia hypolenca, Quercus aliena var. Acuteserrata, Rubus sp.</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1800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shankanensis, Berberis dolichobotrys, Carex japonica, Carpinus cordata, Cotoneaster divariacatus, Euonymus alatus, Euonymus phellomanus, Euonymus verucosoides, Lespedeza formosa, Lindera obtusiloba, Quercus liaotungensis, Rubia cordifolia, Sorbus alnifolia, Thalictrum robustum</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1950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 xml:space="preserve">Brown </w:t>
            </w:r>
            <w:r>
              <w:rPr>
                <w:sz w:val="20"/>
                <w:szCs w:val="20"/>
              </w:rPr>
              <w:lastRenderedPageBreak/>
              <w:t>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lastRenderedPageBreak/>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 xml:space="preserve">Acanthopanax henryi, Acer henryi, Ampelopsis megalophylla, Carpinus cordata, Cornus controversa, </w:t>
            </w:r>
            <w:r>
              <w:rPr>
                <w:i/>
                <w:sz w:val="20"/>
                <w:szCs w:val="20"/>
              </w:rPr>
              <w:lastRenderedPageBreak/>
              <w:t>Fraxinus inopinata, Lindera obtusiloba, Pyrus betulaefolia, Quercus liaotungensis, Rosa swiginzowii, Rubia cordifolia, Sorbaria arborea var. glabrata, Viola mandshurica, Viola sp.</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lastRenderedPageBreak/>
              <w:t>2100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grosseri, Acer miaotaiensis, Carex japonica, Carpinus cordata, Litsea pungens, Lonicera serreana, Pinus armandii, Populus purdomii, Quercus liaotungensis, Rosa davurica, Rubia cordifolia, Spiraea blumei, Viburnum dilatatum</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2250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Abelia engleriana, Betula albosinensis, Crataegus hupehensis, Deyeuxia sinelatior, Euphorbia pekinensis, Fraxinus mandschurica, Lonicera ferdinandii, Pinus armandii, Quercus liaotungensis, Rosa swiginzowii, Salix characta, Sorbaria arborea var. Glabrata, Spiraea mongolica, Viola pekinensis</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2400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Abelia engleriana, Acer henryi, Betula albosinensis, Corylus ferox, Corylus heterophylla var. Sutchuenensis, Deyeuxia sinelatior, Euonymus venosus, Euphorbia pekinensis, Fraxinus inopinata, Fraxinus mandschurica, Lonicera ferdinandii, Lonicera serreana, Quercus liaotungensis, Viola pekinensis</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2550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giraldii, Betula albosinensis, Carex japonica, Hydrangea bretschneideri, Lonicera ferdinandii, Lonicera japonica, Lonicera serreana, Lonicera tangutica, Phlomis umbrosa var. Stenocalyx, Pinus armandii, Quercus liaotungensis, Rosa omeiensis, Rubia membranacea, Rubus sp., Sorbus koehneana</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2700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Acer giraldii, Acer mono var. Tricuspis, Betula albo-sinensis var. Septentrionalis, Carex japonica, Euonymus alatus, Fragaria corymbosa, Oxylis corniculata, Rhododendron purdomii, Rosa omeiensis, Rubia cordifolia, Salix paraplesia, Sorbaria arborea var. Glabrata, Sorbus folgneri</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2850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Dark 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Abelia engleriana, Abies fargesii, Acer shankanensis, Berberis dolichobotrys, Berberis feddeana, Betula albo-sinensis, Betula albo-sinensis var. Septentrionalis, Carex japonica, Lonicera webbiana, Lonicera webbiana, Pinus armandii, Potentila glabra, Rhododendron purdomii, Rubia cordifolia, Sorbus folgneri, Spiraea pubescens</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3000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Dark brown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Abies fargesii, Betula albo-sinensis var. Septentrionalis, Callicarpa japonica var.angustata, Cardamine macrophylla, Carex japonica, Fragaria gracilis, Larix chinensis, Ligularia dentata, Lonicera serreana, Oxylis corniculata, Potentila glabra, Rosa tsinglingensis, Rubus amabilis, Spiraea mongolica, Viola bifloara</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3150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Mountain meadow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Abies chensiensis, Acanthopanax giraldii, Berberis cicumserrata, Cardamine macrophylla, Carex japonica, Chrysosplenium pilosum var. Valdepilosum, Festuca modesta, Fragaria gracilis,</w:t>
            </w:r>
            <w:r>
              <w:rPr>
                <w:sz w:val="20"/>
                <w:szCs w:val="20"/>
              </w:rPr>
              <w:t xml:space="preserve"> </w:t>
            </w:r>
            <w:r>
              <w:rPr>
                <w:i/>
                <w:sz w:val="20"/>
                <w:szCs w:val="20"/>
              </w:rPr>
              <w:t>Larix chinensis, Lonicera serreana, Oxylis corniculata, Rhododendron rufun, Rubus sp.</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3300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Mountain meadow soil</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forest</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Abies chensiensis, Abies fargesii, Anemone taibaiensis, Berberis cicumserrata, Carex scabrirostris, Festuca modesta, Larix chinensis, Lonicera taipeiensis, Lonicera webbiana, Oxylis corniculata, Potentila glabra, Rhododendron rufun, Saxifraga montana</w:t>
            </w:r>
          </w:p>
        </w:tc>
      </w:tr>
      <w:tr w:rsidR="00B61A6F" w:rsidTr="00B61A6F">
        <w:trPr>
          <w:trHeight w:val="285"/>
          <w:jc w:val="center"/>
        </w:trPr>
        <w:tc>
          <w:tcPr>
            <w:tcW w:w="1180" w:type="dxa"/>
            <w:tcBorders>
              <w:top w:val="nil"/>
              <w:left w:val="nil"/>
              <w:bottom w:val="nil"/>
              <w:right w:val="nil"/>
            </w:tcBorders>
            <w:noWrap/>
            <w:vAlign w:val="center"/>
            <w:hideMark/>
          </w:tcPr>
          <w:p w:rsidR="00B61A6F" w:rsidRDefault="00B61A6F">
            <w:pPr>
              <w:jc w:val="left"/>
              <w:rPr>
                <w:sz w:val="20"/>
                <w:szCs w:val="20"/>
              </w:rPr>
            </w:pPr>
            <w:r>
              <w:rPr>
                <w:sz w:val="20"/>
                <w:szCs w:val="20"/>
              </w:rPr>
              <w:t>3450</w:t>
            </w:r>
          </w:p>
        </w:tc>
        <w:tc>
          <w:tcPr>
            <w:tcW w:w="1088" w:type="dxa"/>
            <w:tcBorders>
              <w:top w:val="nil"/>
              <w:left w:val="nil"/>
              <w:bottom w:val="nil"/>
              <w:right w:val="nil"/>
            </w:tcBorders>
            <w:noWrap/>
            <w:vAlign w:val="center"/>
            <w:hideMark/>
          </w:tcPr>
          <w:p w:rsidR="00B61A6F" w:rsidRDefault="00B61A6F">
            <w:pPr>
              <w:jc w:val="left"/>
              <w:rPr>
                <w:sz w:val="20"/>
                <w:szCs w:val="20"/>
              </w:rPr>
            </w:pPr>
            <w:r>
              <w:rPr>
                <w:sz w:val="20"/>
                <w:szCs w:val="20"/>
              </w:rPr>
              <w:t>Alpine meadow</w:t>
            </w:r>
          </w:p>
        </w:tc>
        <w:tc>
          <w:tcPr>
            <w:tcW w:w="1038" w:type="dxa"/>
            <w:tcBorders>
              <w:top w:val="nil"/>
              <w:left w:val="nil"/>
              <w:bottom w:val="nil"/>
              <w:right w:val="nil"/>
            </w:tcBorders>
            <w:noWrap/>
            <w:vAlign w:val="center"/>
            <w:hideMark/>
          </w:tcPr>
          <w:p w:rsidR="00B61A6F" w:rsidRDefault="00B61A6F">
            <w:pPr>
              <w:jc w:val="left"/>
              <w:rPr>
                <w:sz w:val="20"/>
                <w:szCs w:val="20"/>
              </w:rPr>
            </w:pPr>
            <w:r>
              <w:rPr>
                <w:sz w:val="20"/>
                <w:szCs w:val="20"/>
              </w:rPr>
              <w:t>Shrub and grassland</w:t>
            </w:r>
          </w:p>
        </w:tc>
        <w:tc>
          <w:tcPr>
            <w:tcW w:w="9042" w:type="dxa"/>
            <w:tcBorders>
              <w:top w:val="nil"/>
              <w:left w:val="nil"/>
              <w:bottom w:val="nil"/>
              <w:right w:val="nil"/>
            </w:tcBorders>
            <w:noWrap/>
            <w:vAlign w:val="center"/>
            <w:hideMark/>
          </w:tcPr>
          <w:p w:rsidR="00B61A6F" w:rsidRDefault="00B61A6F">
            <w:pPr>
              <w:jc w:val="left"/>
              <w:rPr>
                <w:i/>
                <w:sz w:val="20"/>
                <w:szCs w:val="20"/>
              </w:rPr>
            </w:pPr>
            <w:r>
              <w:rPr>
                <w:i/>
                <w:sz w:val="20"/>
                <w:szCs w:val="20"/>
              </w:rPr>
              <w:t>Adenophora stricta, Anaphalis hancockii, Cardamine macrophylla, Carex japonica, Carex scabrirostris, Epilobium palustre, Festuca modesta, Parnassia delavayi, Polygonum sphaerostachyum, Potentila glabra, Rhododendron capitatum, Salix paraplesia, Saxifraga montana, Spiraea alpina, Viola bifloara</w:t>
            </w:r>
          </w:p>
        </w:tc>
      </w:tr>
      <w:tr w:rsidR="00B61A6F" w:rsidTr="00B61A6F">
        <w:trPr>
          <w:trHeight w:val="285"/>
          <w:jc w:val="center"/>
        </w:trPr>
        <w:tc>
          <w:tcPr>
            <w:tcW w:w="1180" w:type="dxa"/>
            <w:tcBorders>
              <w:top w:val="nil"/>
              <w:left w:val="nil"/>
              <w:bottom w:val="single" w:sz="4" w:space="0" w:color="auto"/>
              <w:right w:val="nil"/>
            </w:tcBorders>
            <w:noWrap/>
            <w:vAlign w:val="center"/>
            <w:hideMark/>
          </w:tcPr>
          <w:p w:rsidR="00B61A6F" w:rsidRDefault="00B61A6F">
            <w:pPr>
              <w:jc w:val="left"/>
              <w:rPr>
                <w:sz w:val="20"/>
                <w:szCs w:val="20"/>
              </w:rPr>
            </w:pPr>
            <w:r>
              <w:rPr>
                <w:sz w:val="20"/>
                <w:szCs w:val="20"/>
              </w:rPr>
              <w:t>3600</w:t>
            </w:r>
          </w:p>
        </w:tc>
        <w:tc>
          <w:tcPr>
            <w:tcW w:w="1088" w:type="dxa"/>
            <w:tcBorders>
              <w:top w:val="nil"/>
              <w:left w:val="nil"/>
              <w:bottom w:val="single" w:sz="4" w:space="0" w:color="auto"/>
              <w:right w:val="nil"/>
            </w:tcBorders>
            <w:noWrap/>
            <w:vAlign w:val="center"/>
            <w:hideMark/>
          </w:tcPr>
          <w:p w:rsidR="00B61A6F" w:rsidRDefault="00B61A6F">
            <w:pPr>
              <w:jc w:val="left"/>
              <w:rPr>
                <w:sz w:val="20"/>
                <w:szCs w:val="20"/>
              </w:rPr>
            </w:pPr>
            <w:r>
              <w:rPr>
                <w:sz w:val="20"/>
                <w:szCs w:val="20"/>
              </w:rPr>
              <w:t>Alpine meadow soil</w:t>
            </w:r>
          </w:p>
        </w:tc>
        <w:tc>
          <w:tcPr>
            <w:tcW w:w="1038" w:type="dxa"/>
            <w:tcBorders>
              <w:top w:val="nil"/>
              <w:left w:val="nil"/>
              <w:bottom w:val="single" w:sz="4" w:space="0" w:color="auto"/>
              <w:right w:val="nil"/>
            </w:tcBorders>
            <w:noWrap/>
            <w:vAlign w:val="center"/>
            <w:hideMark/>
          </w:tcPr>
          <w:p w:rsidR="00B61A6F" w:rsidRDefault="00B61A6F">
            <w:pPr>
              <w:jc w:val="left"/>
              <w:rPr>
                <w:sz w:val="20"/>
                <w:szCs w:val="20"/>
              </w:rPr>
            </w:pPr>
            <w:r>
              <w:rPr>
                <w:sz w:val="20"/>
                <w:szCs w:val="20"/>
              </w:rPr>
              <w:t>Shrub and grassland</w:t>
            </w:r>
          </w:p>
        </w:tc>
        <w:tc>
          <w:tcPr>
            <w:tcW w:w="9042" w:type="dxa"/>
            <w:tcBorders>
              <w:top w:val="nil"/>
              <w:left w:val="nil"/>
              <w:bottom w:val="single" w:sz="4" w:space="0" w:color="auto"/>
              <w:right w:val="nil"/>
            </w:tcBorders>
            <w:noWrap/>
            <w:vAlign w:val="center"/>
            <w:hideMark/>
          </w:tcPr>
          <w:p w:rsidR="00B61A6F" w:rsidRDefault="00B61A6F">
            <w:pPr>
              <w:jc w:val="left"/>
              <w:rPr>
                <w:i/>
                <w:sz w:val="20"/>
                <w:szCs w:val="20"/>
              </w:rPr>
            </w:pPr>
            <w:r>
              <w:rPr>
                <w:i/>
                <w:sz w:val="20"/>
                <w:szCs w:val="20"/>
              </w:rPr>
              <w:t>Cardamine macrophylla, Carex japonica, Carex scabrirostris, Festuca modesta, Pedicularis giraldiana, Polygonum sphaerostachyum, Potentila glabra, Rhododendron capitatum, Salix characta, Saussurea iodostegia, Saussurea licentiana, Saxifraga montana</w:t>
            </w:r>
          </w:p>
        </w:tc>
      </w:tr>
      <w:bookmarkEnd w:id="0"/>
      <w:bookmarkEnd w:id="1"/>
      <w:bookmarkEnd w:id="2"/>
      <w:bookmarkEnd w:id="3"/>
    </w:tbl>
    <w:p w:rsidR="00B61A6F" w:rsidRDefault="00B61A6F" w:rsidP="00B61A6F"/>
    <w:p w:rsidR="00D21BD3" w:rsidRPr="00B61A6F" w:rsidRDefault="00D21BD3">
      <w:bookmarkStart w:id="4" w:name="_GoBack"/>
      <w:bookmarkEnd w:id="4"/>
    </w:p>
    <w:sectPr w:rsidR="00D21BD3" w:rsidRPr="00B61A6F" w:rsidSect="00B61A6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CD" w:rsidRDefault="00E575CD" w:rsidP="00B61A6F">
      <w:r>
        <w:separator/>
      </w:r>
    </w:p>
  </w:endnote>
  <w:endnote w:type="continuationSeparator" w:id="0">
    <w:p w:rsidR="00E575CD" w:rsidRDefault="00E575CD" w:rsidP="00B6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CD" w:rsidRDefault="00E575CD" w:rsidP="00B61A6F">
      <w:r>
        <w:separator/>
      </w:r>
    </w:p>
  </w:footnote>
  <w:footnote w:type="continuationSeparator" w:id="0">
    <w:p w:rsidR="00E575CD" w:rsidRDefault="00E575CD" w:rsidP="00B6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7"/>
    <w:rsid w:val="00B61A6F"/>
    <w:rsid w:val="00C163C7"/>
    <w:rsid w:val="00D21BD3"/>
    <w:rsid w:val="00E5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B47FA-5DAF-460C-B651-8A91AB8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A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1A6F"/>
    <w:rPr>
      <w:sz w:val="18"/>
      <w:szCs w:val="18"/>
    </w:rPr>
  </w:style>
  <w:style w:type="paragraph" w:styleId="a5">
    <w:name w:val="footer"/>
    <w:basedOn w:val="a"/>
    <w:link w:val="a6"/>
    <w:uiPriority w:val="99"/>
    <w:unhideWhenUsed/>
    <w:rsid w:val="00B61A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1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2021-01-19T13:04:00Z</dcterms:created>
  <dcterms:modified xsi:type="dcterms:W3CDTF">2021-01-19T13:05:00Z</dcterms:modified>
</cp:coreProperties>
</file>