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8905" w14:textId="55E01296" w:rsidR="00E21CF0" w:rsidRPr="00E21CF0" w:rsidRDefault="001017A1" w:rsidP="00E21CF0">
      <w:pPr>
        <w:pStyle w:val="Legenda"/>
        <w:ind w:left="-709"/>
        <w:rPr>
          <w:b w:val="0"/>
          <w:bCs w:val="0"/>
          <w:sz w:val="20"/>
          <w:szCs w:val="20"/>
        </w:rPr>
      </w:pPr>
      <w:r w:rsidRPr="001E698C">
        <w:rPr>
          <w:sz w:val="20"/>
          <w:szCs w:val="20"/>
        </w:rPr>
        <w:t xml:space="preserve">Table </w:t>
      </w:r>
      <w:r w:rsidR="00751D0D">
        <w:rPr>
          <w:sz w:val="20"/>
          <w:szCs w:val="20"/>
        </w:rPr>
        <w:t>S</w:t>
      </w:r>
      <w:r w:rsidRPr="001E698C">
        <w:rPr>
          <w:sz w:val="20"/>
          <w:szCs w:val="20"/>
        </w:rPr>
        <w:fldChar w:fldCharType="begin"/>
      </w:r>
      <w:r w:rsidRPr="001E698C">
        <w:rPr>
          <w:sz w:val="20"/>
          <w:szCs w:val="20"/>
        </w:rPr>
        <w:instrText xml:space="preserve"> SEQ Table \* ARABIC </w:instrText>
      </w:r>
      <w:r w:rsidRPr="001E698C">
        <w:rPr>
          <w:sz w:val="20"/>
          <w:szCs w:val="20"/>
        </w:rPr>
        <w:fldChar w:fldCharType="separate"/>
      </w:r>
      <w:r w:rsidR="00D05DBA">
        <w:rPr>
          <w:noProof/>
          <w:sz w:val="20"/>
          <w:szCs w:val="20"/>
        </w:rPr>
        <w:t>1</w:t>
      </w:r>
      <w:r w:rsidRPr="001E698C">
        <w:rPr>
          <w:sz w:val="20"/>
          <w:szCs w:val="20"/>
        </w:rPr>
        <w:fldChar w:fldCharType="end"/>
      </w:r>
      <w:r w:rsidRPr="001E698C">
        <w:rPr>
          <w:sz w:val="20"/>
          <w:szCs w:val="20"/>
        </w:rPr>
        <w:t xml:space="preserve">. </w:t>
      </w:r>
      <w:r w:rsidRPr="001E698C">
        <w:rPr>
          <w:b w:val="0"/>
          <w:bCs w:val="0"/>
          <w:sz w:val="20"/>
          <w:szCs w:val="20"/>
        </w:rPr>
        <w:t>Paracetamol cytotoxicity, metabolism and mechanistic endpoints evaluation in different cell types and cell culture systems.</w:t>
      </w:r>
    </w:p>
    <w:tbl>
      <w:tblPr>
        <w:tblW w:w="14557" w:type="dxa"/>
        <w:jc w:val="center"/>
        <w:tblBorders>
          <w:insideH w:val="single" w:sz="4" w:space="0" w:color="auto"/>
        </w:tblBorders>
        <w:tblLayout w:type="fixed"/>
        <w:tblCellMar>
          <w:top w:w="28" w:type="dxa"/>
          <w:bottom w:w="28" w:type="dxa"/>
        </w:tblCellMar>
        <w:tblLook w:val="04A0" w:firstRow="1" w:lastRow="0" w:firstColumn="1" w:lastColumn="0" w:noHBand="0" w:noVBand="1"/>
      </w:tblPr>
      <w:tblGrid>
        <w:gridCol w:w="1560"/>
        <w:gridCol w:w="2835"/>
        <w:gridCol w:w="1842"/>
        <w:gridCol w:w="1418"/>
        <w:gridCol w:w="1984"/>
        <w:gridCol w:w="3687"/>
        <w:gridCol w:w="1231"/>
      </w:tblGrid>
      <w:tr w:rsidR="009A63E6" w:rsidRPr="00496FC3" w14:paraId="68E82E4C" w14:textId="77777777" w:rsidTr="00007CB5">
        <w:trPr>
          <w:trHeight w:val="320"/>
          <w:jc w:val="center"/>
        </w:trPr>
        <w:tc>
          <w:tcPr>
            <w:tcW w:w="1560" w:type="dxa"/>
            <w:shd w:val="clear" w:color="auto" w:fill="BFBFBF"/>
            <w:noWrap/>
            <w:vAlign w:val="center"/>
            <w:hideMark/>
          </w:tcPr>
          <w:p w14:paraId="5C2B10E6" w14:textId="77777777" w:rsidR="00E21CF0" w:rsidRPr="00496FC3" w:rsidRDefault="00E21CF0" w:rsidP="00E21CF0">
            <w:pPr>
              <w:spacing w:before="0" w:after="0"/>
              <w:contextualSpacing/>
              <w:rPr>
                <w:rFonts w:eastAsia="Times New Roman"/>
                <w:b/>
                <w:sz w:val="18"/>
                <w:lang w:eastAsia="en-GB"/>
              </w:rPr>
            </w:pPr>
            <w:r w:rsidRPr="00496FC3">
              <w:rPr>
                <w:rFonts w:eastAsia="Times New Roman"/>
                <w:b/>
                <w:sz w:val="18"/>
                <w:lang w:eastAsia="en-GB"/>
              </w:rPr>
              <w:t>Cell Type</w:t>
            </w:r>
          </w:p>
        </w:tc>
        <w:tc>
          <w:tcPr>
            <w:tcW w:w="2835" w:type="dxa"/>
            <w:shd w:val="clear" w:color="auto" w:fill="BFBFBF"/>
            <w:noWrap/>
            <w:vAlign w:val="center"/>
            <w:hideMark/>
          </w:tcPr>
          <w:p w14:paraId="7B343313" w14:textId="77777777" w:rsidR="00E21CF0" w:rsidRPr="00496FC3" w:rsidRDefault="00E21CF0" w:rsidP="00D11EE4">
            <w:pPr>
              <w:tabs>
                <w:tab w:val="left" w:pos="369"/>
              </w:tabs>
              <w:spacing w:before="0" w:after="0"/>
              <w:contextualSpacing/>
              <w:rPr>
                <w:rFonts w:eastAsia="Times New Roman"/>
                <w:b/>
                <w:sz w:val="18"/>
                <w:lang w:eastAsia="en-GB"/>
              </w:rPr>
            </w:pPr>
            <w:r w:rsidRPr="00496FC3">
              <w:rPr>
                <w:rFonts w:eastAsia="Times New Roman"/>
                <w:b/>
                <w:sz w:val="18"/>
                <w:lang w:eastAsia="en-GB"/>
              </w:rPr>
              <w:t xml:space="preserve">Cell </w:t>
            </w:r>
            <w:r>
              <w:rPr>
                <w:rFonts w:eastAsia="Times New Roman"/>
                <w:b/>
                <w:sz w:val="18"/>
                <w:lang w:eastAsia="en-GB"/>
              </w:rPr>
              <w:t>C</w:t>
            </w:r>
            <w:r w:rsidRPr="00496FC3">
              <w:rPr>
                <w:rFonts w:eastAsia="Times New Roman"/>
                <w:b/>
                <w:sz w:val="18"/>
                <w:lang w:eastAsia="en-GB"/>
              </w:rPr>
              <w:t xml:space="preserve">ulture </w:t>
            </w:r>
            <w:r>
              <w:rPr>
                <w:rFonts w:eastAsia="Times New Roman"/>
                <w:b/>
                <w:sz w:val="18"/>
                <w:lang w:eastAsia="en-GB"/>
              </w:rPr>
              <w:t>S</w:t>
            </w:r>
            <w:r w:rsidRPr="00496FC3">
              <w:rPr>
                <w:rFonts w:eastAsia="Times New Roman"/>
                <w:b/>
                <w:sz w:val="18"/>
                <w:lang w:eastAsia="en-GB"/>
              </w:rPr>
              <w:t>ystem</w:t>
            </w:r>
          </w:p>
        </w:tc>
        <w:tc>
          <w:tcPr>
            <w:tcW w:w="1842" w:type="dxa"/>
            <w:shd w:val="clear" w:color="auto" w:fill="BFBFBF"/>
            <w:noWrap/>
            <w:vAlign w:val="center"/>
            <w:hideMark/>
          </w:tcPr>
          <w:p w14:paraId="1C9852D8" w14:textId="77777777" w:rsidR="00E21CF0" w:rsidRPr="00496FC3" w:rsidRDefault="00E21CF0" w:rsidP="00E21CF0">
            <w:pPr>
              <w:spacing w:before="0" w:after="0"/>
              <w:contextualSpacing/>
              <w:rPr>
                <w:rFonts w:eastAsia="Times New Roman"/>
                <w:b/>
                <w:sz w:val="18"/>
                <w:lang w:eastAsia="en-GB"/>
              </w:rPr>
            </w:pPr>
            <w:r w:rsidRPr="00496FC3">
              <w:rPr>
                <w:rFonts w:eastAsia="Times New Roman"/>
                <w:b/>
                <w:sz w:val="18"/>
                <w:lang w:eastAsia="en-GB"/>
              </w:rPr>
              <w:t xml:space="preserve">Time of </w:t>
            </w:r>
            <w:r>
              <w:rPr>
                <w:rFonts w:eastAsia="Times New Roman"/>
                <w:b/>
                <w:sz w:val="18"/>
                <w:lang w:eastAsia="en-GB"/>
              </w:rPr>
              <w:t>E</w:t>
            </w:r>
            <w:r w:rsidRPr="00496FC3">
              <w:rPr>
                <w:rFonts w:eastAsia="Times New Roman"/>
                <w:b/>
                <w:sz w:val="18"/>
                <w:lang w:eastAsia="en-GB"/>
              </w:rPr>
              <w:t>xposure</w:t>
            </w:r>
          </w:p>
        </w:tc>
        <w:tc>
          <w:tcPr>
            <w:tcW w:w="1418" w:type="dxa"/>
            <w:shd w:val="clear" w:color="auto" w:fill="BFBFBF"/>
            <w:noWrap/>
            <w:vAlign w:val="center"/>
            <w:hideMark/>
          </w:tcPr>
          <w:p w14:paraId="1AAEF486" w14:textId="1DDFE948" w:rsidR="00E21CF0" w:rsidRPr="00496FC3" w:rsidRDefault="00676792" w:rsidP="00E21CF0">
            <w:pPr>
              <w:spacing w:before="0" w:after="0"/>
              <w:contextualSpacing/>
              <w:rPr>
                <w:rFonts w:eastAsia="Times New Roman"/>
                <w:b/>
                <w:sz w:val="18"/>
                <w:lang w:eastAsia="en-GB"/>
              </w:rPr>
            </w:pPr>
            <w:r w:rsidRPr="00B3016F">
              <w:rPr>
                <w:rFonts w:eastAsia="Times New Roman"/>
                <w:b/>
                <w:sz w:val="18"/>
                <w:szCs w:val="18"/>
                <w:lang w:eastAsia="en-GB"/>
              </w:rPr>
              <w:t>IC</w:t>
            </w:r>
            <w:r w:rsidRPr="00B3016F">
              <w:rPr>
                <w:rFonts w:eastAsia="Times New Roman"/>
                <w:b/>
                <w:sz w:val="18"/>
                <w:szCs w:val="18"/>
                <w:vertAlign w:val="subscript"/>
                <w:lang w:eastAsia="en-GB"/>
              </w:rPr>
              <w:t>50</w:t>
            </w:r>
            <w:r>
              <w:rPr>
                <w:rFonts w:eastAsia="Times New Roman"/>
                <w:b/>
                <w:sz w:val="18"/>
                <w:szCs w:val="18"/>
                <w:vertAlign w:val="subscript"/>
                <w:lang w:eastAsia="en-GB"/>
              </w:rPr>
              <w:t xml:space="preserve"> </w:t>
            </w:r>
            <w:r w:rsidR="009A63E6">
              <w:rPr>
                <w:rFonts w:eastAsia="Times New Roman"/>
                <w:b/>
                <w:sz w:val="18"/>
                <w:szCs w:val="18"/>
                <w:lang w:eastAsia="en-GB"/>
              </w:rPr>
              <w:t>/</w:t>
            </w:r>
            <w:r>
              <w:rPr>
                <w:rFonts w:eastAsia="Times New Roman"/>
                <w:b/>
                <w:sz w:val="18"/>
                <w:szCs w:val="18"/>
                <w:lang w:eastAsia="en-GB"/>
              </w:rPr>
              <w:t>EC</w:t>
            </w:r>
            <w:r w:rsidRPr="00676792">
              <w:rPr>
                <w:rFonts w:eastAsia="Times New Roman"/>
                <w:b/>
                <w:sz w:val="18"/>
                <w:szCs w:val="18"/>
                <w:vertAlign w:val="subscript"/>
                <w:lang w:eastAsia="en-GB"/>
              </w:rPr>
              <w:t>50</w:t>
            </w:r>
            <w:r>
              <w:rPr>
                <w:rFonts w:eastAsia="Times New Roman"/>
                <w:b/>
                <w:sz w:val="18"/>
                <w:szCs w:val="18"/>
                <w:vertAlign w:val="subscript"/>
                <w:lang w:eastAsia="en-GB"/>
              </w:rPr>
              <w:t xml:space="preserve"> </w:t>
            </w:r>
            <w:r>
              <w:rPr>
                <w:rFonts w:eastAsia="Times New Roman"/>
                <w:b/>
                <w:sz w:val="18"/>
                <w:szCs w:val="18"/>
                <w:lang w:eastAsia="en-GB"/>
              </w:rPr>
              <w:t>/ LC</w:t>
            </w:r>
            <w:r w:rsidRPr="00676792">
              <w:rPr>
                <w:rFonts w:eastAsia="Times New Roman"/>
                <w:b/>
                <w:sz w:val="18"/>
                <w:szCs w:val="18"/>
                <w:vertAlign w:val="subscript"/>
                <w:lang w:eastAsia="en-GB"/>
              </w:rPr>
              <w:t>50</w:t>
            </w:r>
            <w:r>
              <w:rPr>
                <w:rFonts w:eastAsia="Times New Roman"/>
                <w:b/>
                <w:sz w:val="18"/>
                <w:szCs w:val="18"/>
                <w:vertAlign w:val="subscript"/>
                <w:lang w:eastAsia="en-GB"/>
              </w:rPr>
              <w:t xml:space="preserve"> </w:t>
            </w:r>
            <w:r>
              <w:rPr>
                <w:rFonts w:eastAsia="Times New Roman"/>
                <w:b/>
                <w:sz w:val="18"/>
                <w:szCs w:val="18"/>
                <w:lang w:eastAsia="en-GB"/>
              </w:rPr>
              <w:t>/ TC</w:t>
            </w:r>
            <w:r w:rsidRPr="00676792">
              <w:rPr>
                <w:rFonts w:eastAsia="Times New Roman"/>
                <w:b/>
                <w:sz w:val="18"/>
                <w:szCs w:val="18"/>
                <w:vertAlign w:val="subscript"/>
                <w:lang w:eastAsia="en-GB"/>
              </w:rPr>
              <w:t>50</w:t>
            </w:r>
            <w:r>
              <w:rPr>
                <w:rFonts w:eastAsia="Times New Roman"/>
                <w:b/>
                <w:sz w:val="18"/>
                <w:szCs w:val="18"/>
                <w:lang w:eastAsia="en-GB"/>
              </w:rPr>
              <w:t xml:space="preserve"> </w:t>
            </w:r>
            <w:r w:rsidR="00E21CF0" w:rsidRPr="00496FC3">
              <w:rPr>
                <w:rFonts w:eastAsia="Times New Roman"/>
                <w:b/>
                <w:sz w:val="18"/>
                <w:lang w:eastAsia="en-GB"/>
              </w:rPr>
              <w:t>(mM)</w:t>
            </w:r>
          </w:p>
        </w:tc>
        <w:tc>
          <w:tcPr>
            <w:tcW w:w="1984" w:type="dxa"/>
            <w:shd w:val="clear" w:color="auto" w:fill="BFBFBF"/>
            <w:noWrap/>
            <w:vAlign w:val="center"/>
            <w:hideMark/>
          </w:tcPr>
          <w:p w14:paraId="44E77A2B" w14:textId="77777777" w:rsidR="00E21CF0" w:rsidRPr="00496FC3" w:rsidRDefault="00E21CF0" w:rsidP="00E21CF0">
            <w:pPr>
              <w:spacing w:before="0" w:after="0"/>
              <w:contextualSpacing/>
              <w:rPr>
                <w:rFonts w:eastAsia="Times New Roman"/>
                <w:b/>
                <w:sz w:val="18"/>
                <w:lang w:eastAsia="en-GB"/>
              </w:rPr>
            </w:pPr>
            <w:r>
              <w:rPr>
                <w:rFonts w:eastAsia="Times New Roman"/>
                <w:b/>
                <w:sz w:val="18"/>
                <w:lang w:eastAsia="en-GB"/>
              </w:rPr>
              <w:t>Cytotoxicity E</w:t>
            </w:r>
            <w:r w:rsidRPr="00496FC3">
              <w:rPr>
                <w:rFonts w:eastAsia="Times New Roman"/>
                <w:b/>
                <w:sz w:val="18"/>
                <w:lang w:eastAsia="en-GB"/>
              </w:rPr>
              <w:t>ndpoints</w:t>
            </w:r>
          </w:p>
        </w:tc>
        <w:tc>
          <w:tcPr>
            <w:tcW w:w="3687" w:type="dxa"/>
            <w:shd w:val="clear" w:color="auto" w:fill="BFBFBF"/>
            <w:vAlign w:val="center"/>
          </w:tcPr>
          <w:p w14:paraId="7F469404" w14:textId="609859FA" w:rsidR="00E21CF0" w:rsidRPr="00496FC3" w:rsidRDefault="00E21CF0" w:rsidP="003406C1">
            <w:pPr>
              <w:spacing w:before="0" w:after="0"/>
              <w:contextualSpacing/>
              <w:rPr>
                <w:rFonts w:eastAsia="Times New Roman"/>
                <w:b/>
                <w:sz w:val="18"/>
                <w:lang w:eastAsia="en-GB"/>
              </w:rPr>
            </w:pPr>
            <w:r>
              <w:rPr>
                <w:rFonts w:eastAsia="Times New Roman"/>
                <w:b/>
                <w:sz w:val="18"/>
                <w:lang w:eastAsia="en-GB"/>
              </w:rPr>
              <w:t>Biotransformation</w:t>
            </w:r>
            <w:r w:rsidR="003406C1">
              <w:rPr>
                <w:rFonts w:eastAsia="Times New Roman"/>
                <w:b/>
                <w:sz w:val="18"/>
                <w:lang w:eastAsia="en-GB"/>
              </w:rPr>
              <w:t xml:space="preserve"> |</w:t>
            </w:r>
            <w:r w:rsidRPr="00496FC3">
              <w:rPr>
                <w:rFonts w:eastAsia="Times New Roman"/>
                <w:b/>
                <w:sz w:val="18"/>
                <w:lang w:eastAsia="en-GB"/>
              </w:rPr>
              <w:t xml:space="preserve"> </w:t>
            </w:r>
            <w:r>
              <w:rPr>
                <w:rFonts w:eastAsia="Times New Roman"/>
                <w:b/>
                <w:sz w:val="18"/>
                <w:lang w:eastAsia="en-GB"/>
              </w:rPr>
              <w:t>M</w:t>
            </w:r>
            <w:r w:rsidRPr="00496FC3">
              <w:rPr>
                <w:rFonts w:eastAsia="Times New Roman"/>
                <w:b/>
                <w:sz w:val="18"/>
                <w:lang w:eastAsia="en-GB"/>
              </w:rPr>
              <w:t xml:space="preserve">echanistic </w:t>
            </w:r>
            <w:r>
              <w:rPr>
                <w:rFonts w:eastAsia="Times New Roman"/>
                <w:b/>
                <w:sz w:val="18"/>
                <w:lang w:eastAsia="en-GB"/>
              </w:rPr>
              <w:t>E</w:t>
            </w:r>
            <w:r w:rsidRPr="00496FC3">
              <w:rPr>
                <w:rFonts w:eastAsia="Times New Roman"/>
                <w:b/>
                <w:sz w:val="18"/>
                <w:lang w:eastAsia="en-GB"/>
              </w:rPr>
              <w:t>ndpoints</w:t>
            </w:r>
          </w:p>
        </w:tc>
        <w:tc>
          <w:tcPr>
            <w:tcW w:w="1231" w:type="dxa"/>
            <w:shd w:val="clear" w:color="auto" w:fill="BFBFBF"/>
            <w:noWrap/>
            <w:vAlign w:val="center"/>
            <w:hideMark/>
          </w:tcPr>
          <w:p w14:paraId="51A959D5" w14:textId="77777777" w:rsidR="00E21CF0" w:rsidRPr="00496FC3" w:rsidRDefault="00E21CF0" w:rsidP="00E21CF0">
            <w:pPr>
              <w:spacing w:before="0" w:after="0"/>
              <w:contextualSpacing/>
              <w:rPr>
                <w:rFonts w:eastAsia="Times New Roman"/>
                <w:b/>
                <w:sz w:val="18"/>
                <w:lang w:eastAsia="en-GB"/>
              </w:rPr>
            </w:pPr>
            <w:r w:rsidRPr="00496FC3">
              <w:rPr>
                <w:rFonts w:eastAsia="Times New Roman"/>
                <w:b/>
                <w:sz w:val="18"/>
                <w:lang w:eastAsia="en-GB"/>
              </w:rPr>
              <w:t>References</w:t>
            </w:r>
          </w:p>
        </w:tc>
      </w:tr>
      <w:tr w:rsidR="00DE184F" w:rsidRPr="00496FC3" w14:paraId="57BA6173" w14:textId="77777777" w:rsidTr="00007CB5">
        <w:trPr>
          <w:trHeight w:val="42"/>
          <w:jc w:val="center"/>
        </w:trPr>
        <w:tc>
          <w:tcPr>
            <w:tcW w:w="1560" w:type="dxa"/>
            <w:vMerge w:val="restart"/>
            <w:shd w:val="clear" w:color="auto" w:fill="auto"/>
            <w:noWrap/>
            <w:vAlign w:val="center"/>
            <w:hideMark/>
          </w:tcPr>
          <w:p w14:paraId="2E45055C" w14:textId="77777777" w:rsidR="00DE184F" w:rsidRPr="00496FC3" w:rsidRDefault="00DE184F" w:rsidP="00E21CF0">
            <w:pPr>
              <w:spacing w:before="0" w:after="0"/>
              <w:contextualSpacing/>
              <w:rPr>
                <w:sz w:val="18"/>
              </w:rPr>
            </w:pPr>
            <w:r w:rsidRPr="00496FC3">
              <w:rPr>
                <w:sz w:val="18"/>
              </w:rPr>
              <w:t>HepG2</w:t>
            </w:r>
          </w:p>
        </w:tc>
        <w:tc>
          <w:tcPr>
            <w:tcW w:w="2835" w:type="dxa"/>
            <w:vMerge w:val="restart"/>
            <w:shd w:val="clear" w:color="auto" w:fill="auto"/>
            <w:noWrap/>
            <w:vAlign w:val="center"/>
            <w:hideMark/>
          </w:tcPr>
          <w:p w14:paraId="28EB558B" w14:textId="77777777" w:rsidR="00DE184F" w:rsidRPr="00496FC3" w:rsidRDefault="00DE184F" w:rsidP="00E21CF0">
            <w:pPr>
              <w:spacing w:before="0" w:after="0"/>
              <w:contextualSpacing/>
              <w:rPr>
                <w:sz w:val="18"/>
              </w:rPr>
            </w:pPr>
            <w:r w:rsidRPr="00496FC3">
              <w:rPr>
                <w:sz w:val="18"/>
              </w:rPr>
              <w:t>2D</w:t>
            </w:r>
          </w:p>
          <w:p w14:paraId="673D7509" w14:textId="77777777" w:rsidR="00DE184F" w:rsidRPr="00496FC3" w:rsidRDefault="00DE184F" w:rsidP="00E21CF0">
            <w:pPr>
              <w:spacing w:before="0" w:after="0"/>
              <w:contextualSpacing/>
              <w:rPr>
                <w:sz w:val="18"/>
              </w:rPr>
            </w:pPr>
          </w:p>
        </w:tc>
        <w:tc>
          <w:tcPr>
            <w:tcW w:w="1842" w:type="dxa"/>
            <w:vMerge w:val="restart"/>
            <w:shd w:val="clear" w:color="auto" w:fill="auto"/>
            <w:vAlign w:val="center"/>
            <w:hideMark/>
          </w:tcPr>
          <w:p w14:paraId="3BBFB54F" w14:textId="77777777" w:rsidR="00DE184F" w:rsidRPr="008932D6" w:rsidRDefault="00DE184F" w:rsidP="00E21CF0">
            <w:pPr>
              <w:spacing w:before="0" w:after="0"/>
              <w:contextualSpacing/>
              <w:rPr>
                <w:sz w:val="18"/>
              </w:rPr>
            </w:pPr>
            <w:r w:rsidRPr="008932D6">
              <w:rPr>
                <w:sz w:val="18"/>
              </w:rPr>
              <w:t>24h</w:t>
            </w:r>
          </w:p>
          <w:p w14:paraId="449B65C6" w14:textId="77777777" w:rsidR="00DE184F" w:rsidRPr="008932D6" w:rsidRDefault="00DE184F" w:rsidP="00E21CF0">
            <w:pPr>
              <w:spacing w:before="0" w:after="0"/>
              <w:contextualSpacing/>
              <w:rPr>
                <w:sz w:val="18"/>
              </w:rPr>
            </w:pPr>
          </w:p>
        </w:tc>
        <w:tc>
          <w:tcPr>
            <w:tcW w:w="1418" w:type="dxa"/>
            <w:shd w:val="clear" w:color="auto" w:fill="auto"/>
            <w:noWrap/>
            <w:vAlign w:val="center"/>
            <w:hideMark/>
          </w:tcPr>
          <w:p w14:paraId="189C411D" w14:textId="77777777" w:rsidR="00DE184F" w:rsidRPr="008932D6" w:rsidRDefault="00DE184F" w:rsidP="00E21CF0">
            <w:pPr>
              <w:spacing w:before="0" w:after="0"/>
              <w:contextualSpacing/>
              <w:rPr>
                <w:sz w:val="18"/>
              </w:rPr>
            </w:pPr>
            <w:r w:rsidRPr="008932D6">
              <w:rPr>
                <w:sz w:val="18"/>
              </w:rPr>
              <w:t>29.7</w:t>
            </w:r>
          </w:p>
        </w:tc>
        <w:tc>
          <w:tcPr>
            <w:tcW w:w="1984" w:type="dxa"/>
            <w:shd w:val="clear" w:color="auto" w:fill="auto"/>
            <w:noWrap/>
            <w:vAlign w:val="center"/>
            <w:hideMark/>
          </w:tcPr>
          <w:p w14:paraId="3D7AA364" w14:textId="77777777" w:rsidR="00DE184F" w:rsidRPr="00496FC3" w:rsidRDefault="00DE184F" w:rsidP="00E21CF0">
            <w:pPr>
              <w:spacing w:before="0" w:after="0"/>
              <w:contextualSpacing/>
              <w:rPr>
                <w:sz w:val="18"/>
              </w:rPr>
            </w:pPr>
            <w:r w:rsidRPr="00496FC3">
              <w:rPr>
                <w:sz w:val="18"/>
              </w:rPr>
              <w:t>WST-1 assay</w:t>
            </w:r>
          </w:p>
        </w:tc>
        <w:tc>
          <w:tcPr>
            <w:tcW w:w="3687" w:type="dxa"/>
            <w:vAlign w:val="center"/>
          </w:tcPr>
          <w:p w14:paraId="24DB1377" w14:textId="77777777" w:rsidR="00DE184F" w:rsidRPr="00496FC3" w:rsidRDefault="00DE184F" w:rsidP="00E21CF0">
            <w:pPr>
              <w:spacing w:before="0" w:after="0"/>
              <w:contextualSpacing/>
              <w:rPr>
                <w:sz w:val="18"/>
              </w:rPr>
            </w:pPr>
            <w:r w:rsidRPr="00496FC3">
              <w:rPr>
                <w:rFonts w:eastAsia="Times New Roman"/>
                <w:sz w:val="18"/>
                <w:szCs w:val="18"/>
                <w:lang w:eastAsia="en-GB"/>
              </w:rPr>
              <w:t>NA</w:t>
            </w:r>
          </w:p>
        </w:tc>
        <w:tc>
          <w:tcPr>
            <w:tcW w:w="1231" w:type="dxa"/>
            <w:shd w:val="clear" w:color="auto" w:fill="auto"/>
            <w:noWrap/>
            <w:vAlign w:val="center"/>
          </w:tcPr>
          <w:p w14:paraId="0386716F" w14:textId="77777777" w:rsidR="00DE184F" w:rsidRPr="00D83073" w:rsidRDefault="00DE184F" w:rsidP="00E21CF0">
            <w:pPr>
              <w:spacing w:before="0" w:after="0"/>
              <w:contextualSpacing/>
              <w:rPr>
                <w:sz w:val="18"/>
              </w:rPr>
            </w:pPr>
            <w:r w:rsidRPr="00D83073">
              <w:rPr>
                <w:sz w:val="18"/>
                <w:szCs w:val="18"/>
              </w:rPr>
              <w:fldChar w:fldCharType="begin" w:fldLock="1"/>
            </w:r>
            <w:r w:rsidRPr="00D83073">
              <w:rPr>
                <w:rFonts w:eastAsia="Times New Roman"/>
                <w:sz w:val="18"/>
                <w:szCs w:val="18"/>
                <w:lang w:eastAsia="en-GB"/>
              </w:rPr>
              <w:instrText>ADDIN CSL_CITATION {"citationItems":[{"id":"ITEM-1","itemData":{"DOI":"10.2131/jts.27.229","ISSN":"03881350","PMID":"12238146","abstract":"We investigated and compared the cytotoxicity of 16 reference compounds in four in vitro systems: primary cultured rat hepatocytes, hepatoma HepG2 cell line, non-hepatic HeLa and Balb/c 3T3 cell lines. After 24 hr of exposure to the test compounds, the water-soluble tetrazolium salts WST-1 assay was used as an endpoint to evaluate cytotoxicity. Acetaminophen, diclofenac sodium cyclophosphamide and disulfiram displayed from 2 to more than 10 times higher IC50 values in three cell lines than in rat primary cultured hepatocytes. The cytotoxic effects of aspirin, amiodarone, clorfibiric acid, chlorpromazine, erythomycin, lithocholic acid, cisplatin and quinidine in rat hepatocytes were similar or 2 times stronger than those observed in cell lines. Ketoconazole resulted in the lowest IC50 value in the HeLa cell line. The data suggested that the compounds which are known to be metabolism-mediated liver toxicants have a differential hepatotoxicity in vitro and that primary cultured rat hepatocytes could represent a valuable tool for both screening and study of the effects of bio-transformation on the cytotoxicity of new chemical entities and xenobiotics in vitro.","author":[{"dropping-particle":"","family":"Wang","given":"Kun","non-dropping-particle":"","parse-names":false,"suffix":""},{"dropping-particle":"","family":"Shindoh","given":"Hidetoshi","non-dropping-particle":"","parse-names":false,"suffix":""},{"dropping-particle":"","family":"Inoue","given":"Tomoaki","non-dropping-particle":"","parse-names":false,"suffix":""},{"dropping-particle":"","family":"Horii","given":"Ikuo","non-dropping-particle":"","parse-names":false,"suffix":""}],"container-title":"Journal of Toxicological Sciences","id":"ITEM-1","issue":"3","issued":{"date-parts":[["2002"]]},"page":"229-37","title":"Advantages of in vitro cytotoxicity testing by using primary rat hepatocytes in comparison with established cell lines","type":"article-journal","volume":"27"},"uris":["http://www.mendeley.com/documents/?uuid=1e4bc29f-0686-4217-9b7b-ce1c9af70276","http://www.mendeley.com/documents/?uuid=7c852065-f8bf-4fca-93f8-6e2cb25b46c1"]}],"mendeley":{"formattedCitation":"(Wang et al., 2002)","plainTextFormattedCitation":"(Wang et al., 2002)","previouslyFormattedCitation":"(Wang et al., 2002)"},"properties":{"noteIndex":0},"schema":"https://github.com/citation-style-language/schema/raw/master/csl-citation.json"}</w:instrText>
            </w:r>
            <w:r w:rsidRPr="00D83073">
              <w:rPr>
                <w:sz w:val="18"/>
                <w:szCs w:val="18"/>
              </w:rPr>
              <w:fldChar w:fldCharType="separate"/>
            </w:r>
            <w:r w:rsidRPr="00D83073">
              <w:rPr>
                <w:rFonts w:eastAsia="Times New Roman"/>
                <w:noProof/>
                <w:sz w:val="18"/>
                <w:szCs w:val="18"/>
                <w:lang w:eastAsia="en-GB"/>
              </w:rPr>
              <w:t>(Wang et al., 2002)</w:t>
            </w:r>
            <w:r w:rsidRPr="00D83073">
              <w:rPr>
                <w:sz w:val="18"/>
                <w:szCs w:val="18"/>
              </w:rPr>
              <w:fldChar w:fldCharType="end"/>
            </w:r>
          </w:p>
        </w:tc>
      </w:tr>
      <w:tr w:rsidR="00DE184F" w:rsidRPr="00E076C9" w14:paraId="56A90731" w14:textId="77777777" w:rsidTr="00007CB5">
        <w:trPr>
          <w:trHeight w:val="381"/>
          <w:jc w:val="center"/>
        </w:trPr>
        <w:tc>
          <w:tcPr>
            <w:tcW w:w="1560" w:type="dxa"/>
            <w:vMerge/>
            <w:shd w:val="clear" w:color="auto" w:fill="auto"/>
            <w:vAlign w:val="center"/>
          </w:tcPr>
          <w:p w14:paraId="24396679" w14:textId="77777777" w:rsidR="00DE184F" w:rsidRPr="00496FC3" w:rsidRDefault="00DE184F" w:rsidP="00E21CF0">
            <w:pPr>
              <w:spacing w:before="0" w:after="0"/>
              <w:contextualSpacing/>
              <w:rPr>
                <w:sz w:val="18"/>
              </w:rPr>
            </w:pPr>
          </w:p>
        </w:tc>
        <w:tc>
          <w:tcPr>
            <w:tcW w:w="2835" w:type="dxa"/>
            <w:vMerge/>
            <w:shd w:val="clear" w:color="auto" w:fill="auto"/>
            <w:vAlign w:val="center"/>
          </w:tcPr>
          <w:p w14:paraId="491D06CC" w14:textId="77777777" w:rsidR="00DE184F" w:rsidRPr="00496FC3" w:rsidRDefault="00DE184F" w:rsidP="00E21CF0">
            <w:pPr>
              <w:spacing w:before="0" w:after="0"/>
              <w:contextualSpacing/>
              <w:rPr>
                <w:sz w:val="18"/>
              </w:rPr>
            </w:pPr>
          </w:p>
        </w:tc>
        <w:tc>
          <w:tcPr>
            <w:tcW w:w="1842" w:type="dxa"/>
            <w:vMerge/>
            <w:shd w:val="clear" w:color="auto" w:fill="auto"/>
            <w:vAlign w:val="center"/>
          </w:tcPr>
          <w:p w14:paraId="799AADF3" w14:textId="77777777" w:rsidR="00DE184F" w:rsidRPr="008932D6" w:rsidRDefault="00DE184F" w:rsidP="00E21CF0">
            <w:pPr>
              <w:spacing w:before="0" w:after="0"/>
              <w:contextualSpacing/>
              <w:rPr>
                <w:sz w:val="18"/>
              </w:rPr>
            </w:pPr>
          </w:p>
        </w:tc>
        <w:tc>
          <w:tcPr>
            <w:tcW w:w="1418" w:type="dxa"/>
            <w:shd w:val="clear" w:color="auto" w:fill="auto"/>
            <w:noWrap/>
            <w:vAlign w:val="center"/>
          </w:tcPr>
          <w:p w14:paraId="3E104E6B" w14:textId="77777777" w:rsidR="00DE184F" w:rsidRPr="008932D6" w:rsidRDefault="00DE184F" w:rsidP="00E21CF0">
            <w:pPr>
              <w:spacing w:before="0" w:after="0"/>
              <w:contextualSpacing/>
              <w:rPr>
                <w:sz w:val="18"/>
              </w:rPr>
            </w:pPr>
            <w:r w:rsidRPr="008932D6">
              <w:rPr>
                <w:sz w:val="18"/>
              </w:rPr>
              <w:t>24.0</w:t>
            </w:r>
          </w:p>
        </w:tc>
        <w:tc>
          <w:tcPr>
            <w:tcW w:w="1984" w:type="dxa"/>
            <w:shd w:val="clear" w:color="auto" w:fill="auto"/>
            <w:noWrap/>
            <w:vAlign w:val="center"/>
          </w:tcPr>
          <w:p w14:paraId="129D448D" w14:textId="77777777" w:rsidR="00DE184F" w:rsidRPr="003C2B14" w:rsidRDefault="00DE184F" w:rsidP="00E21CF0">
            <w:pPr>
              <w:spacing w:before="0" w:after="0"/>
              <w:contextualSpacing/>
              <w:rPr>
                <w:sz w:val="18"/>
              </w:rPr>
            </w:pPr>
            <w:r w:rsidRPr="00B3016F">
              <w:rPr>
                <w:rFonts w:eastAsia="Times New Roman"/>
                <w:sz w:val="18"/>
                <w:szCs w:val="18"/>
                <w:lang w:eastAsia="en-GB"/>
              </w:rPr>
              <w:t>ATP quantification</w:t>
            </w:r>
          </w:p>
        </w:tc>
        <w:tc>
          <w:tcPr>
            <w:tcW w:w="3687" w:type="dxa"/>
            <w:vAlign w:val="center"/>
          </w:tcPr>
          <w:p w14:paraId="365B9B5B" w14:textId="7ED2306A" w:rsidR="00DE184F" w:rsidRPr="00531E06" w:rsidRDefault="00DE184F" w:rsidP="00E21CF0">
            <w:pPr>
              <w:spacing w:before="0" w:after="0"/>
              <w:contextualSpacing/>
              <w:rPr>
                <w:sz w:val="18"/>
              </w:rPr>
            </w:pPr>
            <w:r>
              <w:rPr>
                <w:rFonts w:eastAsia="Times New Roman"/>
                <w:sz w:val="18"/>
                <w:szCs w:val="18"/>
                <w:lang w:eastAsia="en-GB"/>
              </w:rPr>
              <w:t xml:space="preserve">CYP activity, </w:t>
            </w:r>
            <w:r w:rsidRPr="00E66093">
              <w:rPr>
                <w:rFonts w:eastAsia="Times New Roman"/>
                <w:sz w:val="18"/>
                <w:szCs w:val="18"/>
                <w:lang w:eastAsia="en-GB"/>
              </w:rPr>
              <w:t>glucuronidation and sulfation activity</w:t>
            </w:r>
            <w:r>
              <w:rPr>
                <w:rFonts w:eastAsia="Times New Roman"/>
                <w:sz w:val="18"/>
                <w:szCs w:val="18"/>
                <w:lang w:eastAsia="en-GB"/>
              </w:rPr>
              <w:t xml:space="preserve">, </w:t>
            </w:r>
            <w:r w:rsidRPr="00E66093">
              <w:rPr>
                <w:rFonts w:eastAsia="Times New Roman"/>
                <w:sz w:val="18"/>
                <w:szCs w:val="18"/>
                <w:lang w:eastAsia="en-GB"/>
              </w:rPr>
              <w:t>hepatobiliary transport</w:t>
            </w:r>
            <w:r>
              <w:rPr>
                <w:rFonts w:eastAsia="Times New Roman"/>
                <w:sz w:val="18"/>
                <w:szCs w:val="18"/>
                <w:lang w:eastAsia="en-GB"/>
              </w:rPr>
              <w:t xml:space="preserve"> | NA</w:t>
            </w:r>
          </w:p>
        </w:tc>
        <w:tc>
          <w:tcPr>
            <w:tcW w:w="1231" w:type="dxa"/>
            <w:shd w:val="clear" w:color="auto" w:fill="auto"/>
            <w:noWrap/>
            <w:vAlign w:val="center"/>
          </w:tcPr>
          <w:p w14:paraId="7363CC7F" w14:textId="77777777" w:rsidR="00DE184F" w:rsidRPr="00D83073" w:rsidRDefault="00DE184F" w:rsidP="00E21CF0">
            <w:pPr>
              <w:spacing w:before="0" w:after="0"/>
              <w:contextualSpacing/>
              <w:rPr>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{"citationItems":[{"id":"ITEM-1","itemData":{"DOI":"10.1007/s00204-014-1215-9","ISSN":"14320738","abstract":"Immortalized hepatocyte cell lines show only a weak resemblance to primary hepatocytes in terms of gene expression and function, limiting their value in predicting drug-induced liver injury (DILI). Furthermore, primary hepatocytes cultured on two-dimensional tissue culture plastic surfaces rapidly dedifferentiate losing their hepatocyte functions and metabolic competence. We have developed a three-dimensional in vitro model using extracellular matrix-based hydrogel for long-term culture of the human hepatoma cell line HepG2. HepG2 cells cultured in this model stop proliferating, self-organize and differentiate to form multiple polarized spheroids. These spheroids re-acquire lost hepatocyte functions such as storage of glycogen, transport of bile salts and the formation of structures resembling bile canaliculi. HepG2 spheroids also show increased expression of albumin, urea, xenobiotic transcription factors, phase I and II drug metabolism enzymes and transporters. Consistent with this, cytochrome P450-mediated metabolism is significantly higher in HepG2 spheroids compared to monolayer cultures. This highly differentiated phenotype can be maintained in 384-well microtiter plates for at least 28 days. Toxicity assessment studies with this model showed an increased sensitivity in identifying hepatotoxic compounds with repeated dosing regimens. This simple and robust high-throughput-compatible methodology may have potential for use in toxicity screening assays and mechanistic studies and may represent an alternative to animal models for studying DILI. © 2014 Springer-Verlag.","author":[{"dropping-particle":"","family":"Ramaiahgari","given":"Sreenivasa C.","non-dropping-particle":"","parse-names":false,"suffix":""},{"dropping-particle":"","family":"Braver","given":"Michiel W.","non-dropping-particle":"Den","parse-names":false,"suffix":""},{"dropping-particle":"","family":"Herpers","given":"Bram","non-dropping-particle":"","parse-names":false,"suffix":""},{"dropping-particle":"","family":"Terpstra","given":"Valeska","non-dropping-particle":"","parse-names":false,"suffix":""},{"dropping-particle":"","family":"Commandeur","given":"Jan N.M.","non-dropping-particle":"","parse-names":false,"suffix":""},{"dropping-particle":"","family":"Water","given":"Bob","non-dropping-particle":"Van De","parse-names":false,"suffix":""},{"dropping-particle":"","family":"Price","given":"Leo S.","non-dropping-particle":"","parse-names":false,"suffix":""}],"container-title":"Archives of Toxicology","id":"ITEM-1","issue":"5","issued":{"date-parts":[["2014"]]},"page":"1083-1095","title":"A 3D in vitro model of differentiated HepG2 cell spheroids with improved liver-like properties for repeated dose high-throughput toxicity studies","type":"article-journal","volume":"88"},"uris":["http://www.mendeley.com/documents/?uuid=5882c6e4-a801-4b08-81ed-2963d9d09c6b"]}],"mendeley":{"formattedCitation":"(Ramaiahgari et al., 2014)","plainTextFormattedCitation":"(Ramaiahgari et al., 2014)","previouslyFormattedCitation":"(Ramaiahgari et al., 2014)"},"properties":{"noteIndex":0},"schema":"https://github.com/citation-style-language/schema/raw/master/csl-citation.json"}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(Ramaiahgari et al., 2014)</w:t>
            </w:r>
            <w:r w:rsidRPr="00D83073">
              <w:rPr>
                <w:rFonts w:eastAsia="Times New Roman"/>
                <w:sz w:val="18"/>
                <w:szCs w:val="18"/>
                <w:lang w:eastAsia="en-GB"/>
              </w:rPr>
              <w:fldChar w:fldCharType="end"/>
            </w:r>
          </w:p>
        </w:tc>
      </w:tr>
      <w:tr w:rsidR="00DE184F" w:rsidRPr="00E076C9" w14:paraId="67EA08FF" w14:textId="77777777" w:rsidTr="00007CB5">
        <w:trPr>
          <w:trHeight w:val="381"/>
          <w:jc w:val="center"/>
        </w:trPr>
        <w:tc>
          <w:tcPr>
            <w:tcW w:w="1560" w:type="dxa"/>
            <w:vMerge/>
            <w:shd w:val="clear" w:color="auto" w:fill="auto"/>
            <w:vAlign w:val="center"/>
          </w:tcPr>
          <w:p w14:paraId="2D85C1BD" w14:textId="77777777" w:rsidR="00DE184F" w:rsidRPr="00496FC3" w:rsidRDefault="00DE184F" w:rsidP="00E21CF0">
            <w:pPr>
              <w:spacing w:before="0" w:after="0"/>
              <w:contextualSpacing/>
              <w:rPr>
                <w:sz w:val="18"/>
              </w:rPr>
            </w:pPr>
          </w:p>
        </w:tc>
        <w:tc>
          <w:tcPr>
            <w:tcW w:w="2835" w:type="dxa"/>
            <w:vMerge/>
            <w:shd w:val="clear" w:color="auto" w:fill="auto"/>
            <w:vAlign w:val="center"/>
          </w:tcPr>
          <w:p w14:paraId="7F662874" w14:textId="77777777" w:rsidR="00DE184F" w:rsidRPr="00496FC3" w:rsidRDefault="00DE184F" w:rsidP="00E21CF0">
            <w:pPr>
              <w:spacing w:before="0" w:after="0"/>
              <w:contextualSpacing/>
              <w:rPr>
                <w:sz w:val="18"/>
              </w:rPr>
            </w:pPr>
          </w:p>
        </w:tc>
        <w:tc>
          <w:tcPr>
            <w:tcW w:w="1842" w:type="dxa"/>
            <w:vMerge/>
            <w:shd w:val="clear" w:color="auto" w:fill="auto"/>
            <w:vAlign w:val="center"/>
          </w:tcPr>
          <w:p w14:paraId="0D2ADE35" w14:textId="77777777" w:rsidR="00DE184F" w:rsidRPr="00496FC3" w:rsidRDefault="00DE184F" w:rsidP="00E21CF0">
            <w:pPr>
              <w:spacing w:before="0" w:after="0"/>
              <w:contextualSpacing/>
              <w:rPr>
                <w:sz w:val="18"/>
              </w:rPr>
            </w:pPr>
          </w:p>
        </w:tc>
        <w:tc>
          <w:tcPr>
            <w:tcW w:w="1418" w:type="dxa"/>
            <w:shd w:val="clear" w:color="auto" w:fill="auto"/>
            <w:noWrap/>
            <w:vAlign w:val="center"/>
          </w:tcPr>
          <w:p w14:paraId="409B58AB" w14:textId="39CD8B8E" w:rsidR="00DE184F" w:rsidRPr="00496FC3" w:rsidRDefault="00DE184F" w:rsidP="00E21CF0">
            <w:pPr>
              <w:spacing w:before="0" w:after="0"/>
              <w:contextualSpacing/>
              <w:rPr>
                <w:sz w:val="18"/>
              </w:rPr>
            </w:pPr>
            <w:r w:rsidRPr="002F38B0">
              <w:rPr>
                <w:sz w:val="18"/>
              </w:rPr>
              <w:t>23.8</w:t>
            </w:r>
          </w:p>
        </w:tc>
        <w:tc>
          <w:tcPr>
            <w:tcW w:w="1984" w:type="dxa"/>
            <w:vMerge w:val="restart"/>
            <w:shd w:val="clear" w:color="auto" w:fill="auto"/>
            <w:noWrap/>
            <w:vAlign w:val="center"/>
          </w:tcPr>
          <w:p w14:paraId="22A5618E" w14:textId="39E5A5E1" w:rsidR="00DE184F" w:rsidRPr="003C2B14" w:rsidRDefault="00DE184F" w:rsidP="00E21CF0">
            <w:pPr>
              <w:spacing w:before="0" w:after="0"/>
              <w:contextualSpacing/>
              <w:rPr>
                <w:sz w:val="18"/>
              </w:rPr>
            </w:pPr>
            <w:proofErr w:type="spellStart"/>
            <w:r w:rsidRPr="002F38B0">
              <w:rPr>
                <w:sz w:val="18"/>
              </w:rPr>
              <w:t>Calcein</w:t>
            </w:r>
            <w:proofErr w:type="spellEnd"/>
            <w:r w:rsidRPr="002F38B0">
              <w:rPr>
                <w:sz w:val="18"/>
              </w:rPr>
              <w:t>-AM (live) / ethidium homodimer (dead) fluorescence</w:t>
            </w:r>
          </w:p>
        </w:tc>
        <w:tc>
          <w:tcPr>
            <w:tcW w:w="3687" w:type="dxa"/>
            <w:vAlign w:val="center"/>
          </w:tcPr>
          <w:p w14:paraId="3D9C385D" w14:textId="376D7FF2" w:rsidR="00DE184F" w:rsidRPr="00531E06" w:rsidRDefault="00DE184F" w:rsidP="00E21CF0">
            <w:pPr>
              <w:spacing w:before="0" w:after="0"/>
              <w:contextualSpacing/>
              <w:rPr>
                <w:sz w:val="18"/>
              </w:rPr>
            </w:pPr>
            <w:r w:rsidRPr="002F38B0">
              <w:rPr>
                <w:sz w:val="18"/>
              </w:rPr>
              <w:t>CYP1A1/2 and glucuronidation activity, drug-drug interaction</w:t>
            </w:r>
            <w:r>
              <w:rPr>
                <w:sz w:val="18"/>
              </w:rPr>
              <w:t xml:space="preserve"> |</w:t>
            </w:r>
            <w:r w:rsidRPr="002F38B0">
              <w:rPr>
                <w:sz w:val="18"/>
              </w:rPr>
              <w:t xml:space="preserve"> NA</w:t>
            </w:r>
          </w:p>
        </w:tc>
        <w:tc>
          <w:tcPr>
            <w:tcW w:w="1231" w:type="dxa"/>
            <w:shd w:val="clear" w:color="auto" w:fill="auto"/>
            <w:noWrap/>
            <w:vAlign w:val="center"/>
          </w:tcPr>
          <w:p w14:paraId="2D2B0EF8" w14:textId="77777777" w:rsidR="00DE184F" w:rsidRPr="00D83073" w:rsidRDefault="00DE184F" w:rsidP="00E21CF0">
            <w:pPr>
              <w:spacing w:before="0" w:after="0"/>
              <w:contextualSpacing/>
              <w:rPr>
                <w:sz w:val="18"/>
              </w:rPr>
            </w:pPr>
            <w:r w:rsidRPr="00D83073">
              <w:rPr>
                <w:sz w:val="18"/>
              </w:rPr>
              <w:fldChar w:fldCharType="begin" w:fldLock="1"/>
            </w:r>
            <w:r w:rsidRPr="00D83073">
              <w:rPr>
                <w:sz w:val="18"/>
              </w:rPr>
              <w:instrText>ADDIN CSL_CITATION {"citationItems":[{"id":"ITEM-1","itemData":{"DOI":"10.1063/1.5070088","ISSN":"19321058","abstract":"The poor metabolic ability of cell lines fails to meet the requirements of an in vitro model for drug interaction testing which is crucial for the development or clinical application of drugs. Herein, we describe a liver sinusoid-on-a-chip device composed of four kinds of transformed cell lines (HepG2 cells, LX-2 cells, EAhy926 cells, and U937 cells) that were ordered in a physiological distribution with artificial liver blood flow and biliary efflux flowing in the opposite direction. This microfluidic device applied three-dimensional culturing of HepG2 cells with high density (107 ml-1), forming a tightly connected monolayer of EAhy926 cells and achieving the active transport of drugs in HepG2 cells. Results showed that the device maintained synthetic and secretory functions, preserved cytochrome P450 1A1/2 and uridine diphosphate glucuronyltransferase enzymatic activities, as well as sensitivity of drug metabolism. The cell lines derived device enables the investigation of a drug-drug interaction study. We used it to test the hepatotoxicity of acetaminophen and the following combinations: \"acetaminophen + rifampicin,\" \"acetaminophen + omeprazole,\" and \"acetaminophen + ciprofloxacin.\" The variations in hepatotoxicity of the combinations compared to acetaminophen alone, which is not found in a 96-well plate model, in the device were -17.15%, 14.88%, and -19.74%. In addition, this result was similar to the one tested by the classical primary hepatocyte plate model (-13.22%, 13.51%, and -15.81%). Thus, this cell lines derived liver model provides an alternative to investigate drug hepatotoxicity, drug-drug interaction.","author":[{"dropping-particle":"","family":"Deng","given":"Jiu","non-dropping-particle":"","parse-names":false,"suffix":""},{"dropping-particle":"","family":"Zhang","given":"Xiuli","non-dropping-particle":"","parse-names":false,"suffix":""},{"dropping-particle":"","family":"Chen","given":"Zongzheng","non-dropping-particle":"","parse-names":false,"suffix":""},{"dropping-particle":"","family":"Luo","given":"Yong","non-dropping-particle":"","parse-names":false,"suffix":""},{"dropping-particle":"","family":"Lu","given":"Yao","non-dropping-particle":"","parse-names":false,"suffix":""},{"dropping-particle":"","family":"Liu","given":"Tingjiao","non-dropping-particle":"","parse-names":false,"suffix":""},{"dropping-particle":"","family":"Wu","given":"Zhengzhi","non-dropping-particle":"","parse-names":false,"suffix":""},{"dropping-particle":"","family":"Jin","given":"Yu","non-dropping-particle":"","parse-names":false,"suffix":""},{"dropping-particle":"","family":"Zhao","given":"Weijie","non-dropping-particle":"","parse-names":false,"suffix":""},{"dropping-particle":"","family":"Lin","given":"Bingcheng","non-dropping-particle":"","parse-names":false,"suffix":""}],"container-title":"Biomicrofluidics","id":"ITEM-1","issue":"2","issued":{"date-parts":[["2019"]]},"page":"024101","title":"A cell lines derived microfluidic liver model for investigation of hepatotoxicity induced by drug-drug interaction","type":"article-journal","volume":"13"},"uris":["http://www.mendeley.com/documents/?uuid=9633c0f2-3999-4bda-8070-9949a1531dec","http://www.mendeley.com/documents/?uuid=fd498477-08c4-4dab-8e4f-43836f985df2"]}],"mendeley":{"formattedCitation":"(Deng et al., 2019)","plainTextFormattedCitation":"(Deng et al., 2019)","previouslyFormattedCitation":"(Deng et al., 2019)"},"properties":{"noteIndex":0},"schema":"https://github.com/citation-style-language/schema/raw/master/csl-citation.json"}</w:instrText>
            </w:r>
            <w:r w:rsidRPr="00D83073">
              <w:rPr>
                <w:sz w:val="18"/>
              </w:rPr>
              <w:fldChar w:fldCharType="separate"/>
            </w:r>
            <w:r w:rsidRPr="00D83073">
              <w:rPr>
                <w:noProof/>
                <w:sz w:val="18"/>
              </w:rPr>
              <w:t>(Deng et al., 2019)</w:t>
            </w:r>
            <w:r w:rsidRPr="00D83073">
              <w:rPr>
                <w:sz w:val="18"/>
              </w:rPr>
              <w:fldChar w:fldCharType="end"/>
            </w:r>
          </w:p>
        </w:tc>
      </w:tr>
      <w:tr w:rsidR="00DE184F" w:rsidRPr="00E076C9" w14:paraId="51C8DC5D" w14:textId="77777777" w:rsidTr="00007CB5">
        <w:trPr>
          <w:trHeight w:val="381"/>
          <w:jc w:val="center"/>
        </w:trPr>
        <w:tc>
          <w:tcPr>
            <w:tcW w:w="1560" w:type="dxa"/>
            <w:vMerge/>
            <w:shd w:val="clear" w:color="auto" w:fill="auto"/>
            <w:vAlign w:val="center"/>
          </w:tcPr>
          <w:p w14:paraId="186814BA" w14:textId="77777777" w:rsidR="00DE184F" w:rsidRPr="00496FC3" w:rsidRDefault="00DE184F" w:rsidP="00E21CF0">
            <w:pPr>
              <w:spacing w:before="0" w:after="0"/>
              <w:contextualSpacing/>
              <w:rPr>
                <w:sz w:val="18"/>
              </w:rPr>
            </w:pPr>
          </w:p>
        </w:tc>
        <w:tc>
          <w:tcPr>
            <w:tcW w:w="2835" w:type="dxa"/>
            <w:vMerge/>
            <w:shd w:val="clear" w:color="auto" w:fill="auto"/>
            <w:vAlign w:val="center"/>
          </w:tcPr>
          <w:p w14:paraId="6BEFE13C" w14:textId="77777777" w:rsidR="00DE184F" w:rsidRPr="00496FC3" w:rsidRDefault="00DE184F" w:rsidP="00E21CF0">
            <w:pPr>
              <w:spacing w:before="0" w:after="0"/>
              <w:contextualSpacing/>
              <w:rPr>
                <w:sz w:val="18"/>
              </w:rPr>
            </w:pPr>
          </w:p>
        </w:tc>
        <w:tc>
          <w:tcPr>
            <w:tcW w:w="1842" w:type="dxa"/>
            <w:shd w:val="clear" w:color="auto" w:fill="auto"/>
            <w:vAlign w:val="center"/>
          </w:tcPr>
          <w:p w14:paraId="6CA0A771" w14:textId="77777777" w:rsidR="00DE184F" w:rsidRPr="00496FC3" w:rsidRDefault="00DE184F" w:rsidP="00E21CF0">
            <w:pPr>
              <w:spacing w:before="0" w:after="0"/>
              <w:contextualSpacing/>
              <w:rPr>
                <w:sz w:val="18"/>
              </w:rPr>
            </w:pPr>
            <w:r w:rsidRPr="00496FC3">
              <w:rPr>
                <w:sz w:val="18"/>
              </w:rPr>
              <w:t>72h</w:t>
            </w:r>
          </w:p>
        </w:tc>
        <w:tc>
          <w:tcPr>
            <w:tcW w:w="1418" w:type="dxa"/>
            <w:shd w:val="clear" w:color="auto" w:fill="auto"/>
            <w:noWrap/>
            <w:vAlign w:val="center"/>
          </w:tcPr>
          <w:p w14:paraId="6A448293" w14:textId="77777777" w:rsidR="00DE184F" w:rsidRPr="00496FC3" w:rsidRDefault="00DE184F" w:rsidP="00E21CF0">
            <w:pPr>
              <w:spacing w:before="0" w:after="0"/>
              <w:contextualSpacing/>
              <w:rPr>
                <w:sz w:val="18"/>
              </w:rPr>
            </w:pPr>
            <w:r w:rsidRPr="00496FC3">
              <w:rPr>
                <w:sz w:val="18"/>
              </w:rPr>
              <w:t>15.8</w:t>
            </w:r>
          </w:p>
        </w:tc>
        <w:tc>
          <w:tcPr>
            <w:tcW w:w="1984" w:type="dxa"/>
            <w:vMerge/>
            <w:shd w:val="clear" w:color="auto" w:fill="auto"/>
            <w:noWrap/>
            <w:vAlign w:val="center"/>
          </w:tcPr>
          <w:p w14:paraId="61522A3A" w14:textId="3A196B47" w:rsidR="00DE184F" w:rsidRPr="00496FC3" w:rsidRDefault="00DE184F" w:rsidP="00E21CF0">
            <w:pPr>
              <w:spacing w:before="0" w:after="0"/>
              <w:contextualSpacing/>
              <w:rPr>
                <w:sz w:val="18"/>
              </w:rPr>
            </w:pPr>
          </w:p>
        </w:tc>
        <w:tc>
          <w:tcPr>
            <w:tcW w:w="3687" w:type="dxa"/>
            <w:vAlign w:val="center"/>
          </w:tcPr>
          <w:p w14:paraId="282AD155" w14:textId="2DB16CD3" w:rsidR="00DE184F" w:rsidRDefault="00DE184F" w:rsidP="00E21CF0">
            <w:pPr>
              <w:spacing w:before="0" w:after="0"/>
              <w:contextualSpacing/>
              <w:rPr>
                <w:bCs/>
                <w:sz w:val="18"/>
              </w:rPr>
            </w:pPr>
            <w:r w:rsidRPr="00531E06">
              <w:rPr>
                <w:sz w:val="18"/>
              </w:rPr>
              <w:t>CYP</w:t>
            </w:r>
            <w:r>
              <w:rPr>
                <w:sz w:val="18"/>
              </w:rPr>
              <w:t>1A1/2</w:t>
            </w:r>
            <w:r w:rsidRPr="00531E06">
              <w:rPr>
                <w:sz w:val="18"/>
              </w:rPr>
              <w:t xml:space="preserve"> induction</w:t>
            </w:r>
            <w:r>
              <w:rPr>
                <w:sz w:val="18"/>
              </w:rPr>
              <w:t xml:space="preserve"> |</w:t>
            </w:r>
            <w:r w:rsidRPr="00531E06">
              <w:rPr>
                <w:sz w:val="18"/>
              </w:rPr>
              <w:t xml:space="preserve"> NA</w:t>
            </w:r>
          </w:p>
        </w:tc>
        <w:tc>
          <w:tcPr>
            <w:tcW w:w="1231" w:type="dxa"/>
            <w:shd w:val="clear" w:color="auto" w:fill="auto"/>
            <w:noWrap/>
            <w:vAlign w:val="center"/>
          </w:tcPr>
          <w:p w14:paraId="0DAD70B1" w14:textId="77777777" w:rsidR="00DE184F" w:rsidRPr="00D83073" w:rsidRDefault="00DE184F" w:rsidP="00E21CF0">
            <w:pPr>
              <w:spacing w:before="0" w:after="0"/>
              <w:contextualSpacing/>
              <w:rPr>
                <w:bCs/>
                <w:sz w:val="18"/>
              </w:rPr>
            </w:pPr>
            <w:r w:rsidRPr="00D83073">
              <w:rPr>
                <w:sz w:val="18"/>
              </w:rPr>
              <w:fldChar w:fldCharType="begin" w:fldLock="1"/>
            </w:r>
            <w:r w:rsidRPr="00D83073">
              <w:rPr>
                <w:sz w:val="18"/>
              </w:rPr>
              <w:instrText>ADDIN CSL_CITATION {"citationItems":[{"id":"ITEM-1","itemData":{"DOI":"10.1063/1.4922863","ISSN":"19321058","PMID":"26180570","abstract":"The in vitro study of liver functions and liver cell specific responses to external stimuli deals with the problem to preserve the in vivo functions of primary hepatocytes. In this study, we used the biochip OrganoPlate™ (MIMETAS) that combines different advantages for the cultivation of hepatocytes in vitro: (1) the perfusion flow is achieved without a pump allowing easy handling and placement in the incubator (2) the phaseguides allow plating of matrix-embedded cells in lanes adjacent to the perfusion flow without physical barrier; and (3) the matrix-embedding ensures indirect contact of the cells to the flow. In order to evaluate the applicability of this biochip for the study of hepatocyte's functions, Matrigel™-embedded HepG2 cells were cultured over three weeks in this biochip and compared to a static Matrigel culture (3D) and a monolayer culture (2D). Chip-cultured cells grew in spheroid-like structures and were characterized by the formation of bile canaliculi and a high viability over 14 days. Hepatocyte-specific physiology was achieved as determined by an increase in albumin production. Improved detoxification metabolism was demonstrated by strongly increased cytochrome P450 activity and urea production. Additionally, chip-cultured cells displayed increased sensitivity to acetaminophen. Altogether, the OrganoPlate seems to be a very useful alternative for the cultivation of hepatocytes, as their behavior was strongly improved over 2D and static 3D cultures and the results were largely comparable and partly superior to the previous reports on biochip-cultured hepatocytes. As for the low technical needs, this platform has the appearance of being highly applicable for further studies of hepatocytes' responses to external stimuli.","author":[{"dropping-particle":"","family":"Jang","given":"Mi","non-dropping-particle":"","parse-names":false,"suffix":""},{"dropping-particle":"","family":"Neuzil","given":"Pavel","non-dropping-particle":"","parse-names":false,"suffix":""},{"dropping-particle":"","family":"Volk","given":"Thomas","non-dropping-particle":"","parse-names":false,"suffix":""},{"dropping-particle":"","family":"Manz","given":"Andreas","non-dropping-particle":"","parse-names":false,"suffix":""},{"dropping-particle":"","family":"Kleber","given":"Astrid","non-dropping-particle":"","parse-names":false,"suffix":""}],"container-title":"Biomicrofluidics","id":"ITEM-1","issue":"3","issued":{"date-parts":[["2015"]]},"page":"1-12","title":"On-chip three-dimensional cell culture in phaseguides improves hepatocyte functions in vitro","type":"article-journal","volume":"9"},"uris":["http://www.mendeley.com/documents/?uuid=1fa022b8-b859-4b4e-84ba-2c97edfd055e"]}],"mendeley":{"formattedCitation":"(Jang et al., 2015)","plainTextFormattedCitation":"(Jang et al., 2015)","previouslyFormattedCitation":"(Jang et al., 2015)"},"properties":{"noteIndex":0},"schema":"https://github.com/citation-style-language/schema/raw/master/csl-citation.json"}</w:instrText>
            </w:r>
            <w:r w:rsidRPr="00D83073">
              <w:rPr>
                <w:sz w:val="18"/>
              </w:rPr>
              <w:fldChar w:fldCharType="separate"/>
            </w:r>
            <w:r w:rsidRPr="00D83073">
              <w:rPr>
                <w:noProof/>
                <w:sz w:val="18"/>
              </w:rPr>
              <w:t>(Jang et al., 2015)</w:t>
            </w:r>
            <w:r w:rsidRPr="00D83073">
              <w:rPr>
                <w:sz w:val="18"/>
              </w:rPr>
              <w:fldChar w:fldCharType="end"/>
            </w:r>
          </w:p>
        </w:tc>
      </w:tr>
      <w:tr w:rsidR="00DE184F" w:rsidRPr="00E076C9" w14:paraId="38E5C482" w14:textId="77777777" w:rsidTr="00007CB5">
        <w:trPr>
          <w:trHeight w:val="381"/>
          <w:jc w:val="center"/>
        </w:trPr>
        <w:tc>
          <w:tcPr>
            <w:tcW w:w="1560" w:type="dxa"/>
            <w:vMerge/>
            <w:shd w:val="clear" w:color="auto" w:fill="auto"/>
            <w:vAlign w:val="center"/>
          </w:tcPr>
          <w:p w14:paraId="21BAC01E" w14:textId="77777777" w:rsidR="00DE184F" w:rsidRPr="00496FC3" w:rsidRDefault="00DE184F" w:rsidP="004C2E3E">
            <w:pPr>
              <w:spacing w:before="0" w:after="0"/>
              <w:contextualSpacing/>
              <w:rPr>
                <w:sz w:val="18"/>
              </w:rPr>
            </w:pPr>
          </w:p>
        </w:tc>
        <w:tc>
          <w:tcPr>
            <w:tcW w:w="2835" w:type="dxa"/>
            <w:vMerge/>
            <w:shd w:val="clear" w:color="auto" w:fill="auto"/>
            <w:vAlign w:val="center"/>
          </w:tcPr>
          <w:p w14:paraId="1468FAB2" w14:textId="77777777" w:rsidR="00DE184F" w:rsidRPr="00496FC3" w:rsidRDefault="00DE184F" w:rsidP="004C2E3E">
            <w:pPr>
              <w:spacing w:before="0" w:after="0"/>
              <w:contextualSpacing/>
              <w:rPr>
                <w:sz w:val="18"/>
              </w:rPr>
            </w:pPr>
          </w:p>
        </w:tc>
        <w:tc>
          <w:tcPr>
            <w:tcW w:w="1842" w:type="dxa"/>
            <w:shd w:val="clear" w:color="auto" w:fill="auto"/>
            <w:vAlign w:val="center"/>
          </w:tcPr>
          <w:p w14:paraId="1A663032" w14:textId="58CC9857" w:rsidR="00DE184F" w:rsidRPr="0004680F" w:rsidRDefault="00DE184F" w:rsidP="004C2E3E">
            <w:pPr>
              <w:spacing w:before="0" w:after="0"/>
              <w:contextualSpacing/>
              <w:rPr>
                <w:rFonts w:eastAsia="Times New Roman"/>
                <w:sz w:val="18"/>
                <w:szCs w:val="18"/>
                <w:lang w:eastAsia="en-GB"/>
              </w:rPr>
            </w:pPr>
            <w:r>
              <w:rPr>
                <w:rFonts w:eastAsia="Times New Roman"/>
                <w:sz w:val="18"/>
                <w:szCs w:val="18"/>
                <w:lang w:eastAsia="en-GB"/>
              </w:rPr>
              <w:t>5 days (compound addition at</w:t>
            </w:r>
            <w:r>
              <w:t xml:space="preserve"> </w:t>
            </w:r>
            <w:r>
              <w:rPr>
                <w:rFonts w:eastAsia="Times New Roman"/>
                <w:sz w:val="18"/>
                <w:szCs w:val="18"/>
                <w:lang w:eastAsia="en-GB"/>
              </w:rPr>
              <w:t>D0 and 2)</w:t>
            </w:r>
          </w:p>
        </w:tc>
        <w:tc>
          <w:tcPr>
            <w:tcW w:w="1418" w:type="dxa"/>
            <w:shd w:val="clear" w:color="auto" w:fill="auto"/>
            <w:noWrap/>
            <w:vAlign w:val="center"/>
          </w:tcPr>
          <w:p w14:paraId="5D53A41C" w14:textId="77777777" w:rsidR="00DE184F" w:rsidRPr="00496FC3" w:rsidRDefault="00DE184F" w:rsidP="004C2E3E">
            <w:pPr>
              <w:spacing w:before="0" w:after="0"/>
              <w:contextualSpacing/>
              <w:rPr>
                <w:sz w:val="18"/>
              </w:rPr>
            </w:pPr>
            <w:r>
              <w:rPr>
                <w:sz w:val="18"/>
              </w:rPr>
              <w:t>2.251</w:t>
            </w:r>
          </w:p>
        </w:tc>
        <w:tc>
          <w:tcPr>
            <w:tcW w:w="1984" w:type="dxa"/>
            <w:shd w:val="clear" w:color="auto" w:fill="auto"/>
            <w:noWrap/>
            <w:vAlign w:val="center"/>
          </w:tcPr>
          <w:p w14:paraId="6CCBBDFB" w14:textId="77777777" w:rsidR="00DE184F" w:rsidRPr="00496FC3" w:rsidRDefault="00DE184F" w:rsidP="004C2E3E">
            <w:pPr>
              <w:spacing w:before="0" w:after="0"/>
              <w:contextualSpacing/>
              <w:rPr>
                <w:sz w:val="18"/>
              </w:rPr>
            </w:pPr>
            <w:r>
              <w:rPr>
                <w:rFonts w:eastAsia="Times New Roman"/>
                <w:sz w:val="18"/>
                <w:szCs w:val="18"/>
              </w:rPr>
              <w:t>L</w:t>
            </w:r>
            <w:r w:rsidRPr="006C07C2">
              <w:rPr>
                <w:rFonts w:eastAsia="Times New Roman"/>
                <w:sz w:val="18"/>
                <w:szCs w:val="18"/>
              </w:rPr>
              <w:t xml:space="preserve">ive cell </w:t>
            </w:r>
            <w:r w:rsidRPr="00BE3A8A">
              <w:rPr>
                <w:rFonts w:eastAsia="Times New Roman"/>
                <w:sz w:val="18"/>
                <w:szCs w:val="18"/>
                <w:lang w:eastAsia="en-GB"/>
              </w:rPr>
              <w:t>protease activity</w:t>
            </w:r>
          </w:p>
        </w:tc>
        <w:tc>
          <w:tcPr>
            <w:tcW w:w="3687" w:type="dxa"/>
            <w:vAlign w:val="center"/>
          </w:tcPr>
          <w:p w14:paraId="5F443108" w14:textId="0151CB01" w:rsidR="00DE184F" w:rsidRDefault="00DE184F" w:rsidP="004C2E3E">
            <w:pPr>
              <w:spacing w:before="0" w:after="0"/>
              <w:contextualSpacing/>
              <w:rPr>
                <w:bCs/>
                <w:sz w:val="18"/>
              </w:rPr>
            </w:pPr>
            <w:r w:rsidRPr="00FD5918">
              <w:rPr>
                <w:rFonts w:eastAsia="Times New Roman"/>
                <w:sz w:val="18"/>
                <w:szCs w:val="18"/>
                <w:lang w:eastAsia="en-GB"/>
              </w:rPr>
              <w:t>CYP activity, glucuronidation and sulfation activity</w:t>
            </w:r>
            <w:r>
              <w:rPr>
                <w:rFonts w:eastAsia="Times New Roman"/>
                <w:sz w:val="18"/>
                <w:szCs w:val="18"/>
                <w:lang w:eastAsia="en-GB"/>
              </w:rPr>
              <w:t xml:space="preserve"> | NA</w:t>
            </w:r>
          </w:p>
        </w:tc>
        <w:tc>
          <w:tcPr>
            <w:tcW w:w="1231" w:type="dxa"/>
            <w:shd w:val="clear" w:color="auto" w:fill="auto"/>
            <w:noWrap/>
            <w:vAlign w:val="center"/>
          </w:tcPr>
          <w:p w14:paraId="5619DAA5" w14:textId="77777777" w:rsidR="00DE184F" w:rsidRPr="00D83073" w:rsidRDefault="00DE184F" w:rsidP="004C2E3E">
            <w:pPr>
              <w:spacing w:before="0" w:after="0"/>
              <w:contextualSpacing/>
              <w:rPr>
                <w:bCs/>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{"citationItems":[{"id":"ITEM-1","itemData":{"DOI":"10.1016/j.taap.2013.11.022","ISSN":"0041008X","PMID":"24333257","abstract":"Drug Induced Liver Injury (DILI) is a major cause of attrition during early and late stage drug development. Consequently, there is a need to develop better in vitro primary hepatocyte models from different species for predicting hepatotoxicity in both animals and humans early in drug development. Dog is often chosen as the non-rodent species for toxicology studies. Unfortunately, dog in vitro models allowing long term cultures are not available. The objective of the present manuscript is to describe the development of a co-culture dog model for predicting hepatotoxic drugs in humans and to compare the predictivity of the canine model along with primary human hepatocytes and HepG2 cells. After rigorous optimization, the dog co-culture model displayed metabolic capacities that were maintained up to 2. weeks which indicates that such model could be also used for long term metabolism studies. Most of the human hepatotoxic drugs were detected with a sensitivity of approximately 80% (n. = 40) for the three cellular models. Nevertheless, the specificity was low approximately 40% for the HepG2 cells and hepatocytes compared to 72.7% for the canine model (n. = 11). Furthermore, the dog co-culture model showed a higher superiority for the classification of 5 pairs of close structural analogs with different DILI concerns in comparison to both human cellular models. Finally, the reproducibility of the canine system was also satisfactory with a coefficient of correlation of 75.2% (n. = 14). Overall, the present manuscript indicates that the dog co-culture model may represent a relevant tool to perform chronic hepatotoxicity and metabolism studies. © 2013 Elsevier Inc.","author":[{"dropping-particle":"","family":"Atienzar","given":"Franck A.","non-dropping-particle":"","parse-names":false,"suffix":""},{"dropping-particle":"","family":"Novik","given":"Eric I.","non-dropping-particle":"","parse-names":false,"suffix":""},{"dropping-particle":"","family":"Gerets","given":"Helga H.","non-dropping-particle":"","parse-names":false,"suffix":""},{"dropping-particle":"","family":"Parekh","given":"Amit","non-dropping-particle":"","parse-names":false,"suffix":""},{"dropping-particle":"","family":"Delatour","given":"Claude","non-dropping-particle":"","parse-names":false,"suffix":""},{"dropping-particle":"","family":"Cardenas","given":"Alvaro","non-dropping-particle":"","parse-names":false,"suffix":""},{"dropping-particle":"","family":"MacDonald","given":"James","non-dropping-particle":"","parse-names":false,"suffix":""},{"dropping-particle":"","family":"Yarmush","given":"Martin L.","non-dropping-particle":"","parse-names":false,"suffix":""},{"dropping-particle":"","family":"Dhalluin","given":"Stéphane","non-dropping-particle":"","parse-names":false,"suffix":""}],"container-title":"Toxicology and Applied Pharmacology","id":"ITEM-1","issue":"1","issued":{"date-parts":[["2014"]]},"page":"44-61","title":"Predictivity of dog co-culture model, primary human hepatocytes and HepG2 cells for the detection of hepatotoxic drugs in humans","type":"article-journal","volume":"275"},"uris":["http://www.mendeley.com/documents/?uuid=794f4ea1-ef2f-4a19-a58a-b1a5985d2918"]}],"mendeley":{"formattedCitation":"(Atienzar et al., 2014)","plainTextFormattedCitation":"(Atienzar et al., 2014)","previouslyFormattedCitation":"(Atienzar et al., 2014)"},"properties":{"noteIndex":0},"schema":"https://github.com/citation-style-language/schema/raw/master/csl-citation.json"}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(Atienzar et al., 2014)</w:t>
            </w:r>
            <w:r w:rsidRPr="00D83073">
              <w:rPr>
                <w:rFonts w:eastAsia="Times New Roman"/>
                <w:sz w:val="18"/>
                <w:szCs w:val="18"/>
                <w:lang w:eastAsia="en-GB"/>
              </w:rPr>
              <w:fldChar w:fldCharType="end"/>
            </w:r>
          </w:p>
        </w:tc>
      </w:tr>
      <w:tr w:rsidR="00AB7883" w:rsidRPr="00E076C9" w14:paraId="630A6373" w14:textId="77777777" w:rsidTr="00007CB5">
        <w:trPr>
          <w:trHeight w:val="381"/>
          <w:jc w:val="center"/>
        </w:trPr>
        <w:tc>
          <w:tcPr>
            <w:tcW w:w="1560" w:type="dxa"/>
            <w:vMerge/>
            <w:shd w:val="clear" w:color="auto" w:fill="auto"/>
            <w:vAlign w:val="center"/>
          </w:tcPr>
          <w:p w14:paraId="61B07D86" w14:textId="77777777" w:rsidR="00AB7883" w:rsidRPr="00496FC3" w:rsidRDefault="00AB7883" w:rsidP="004C2E3E">
            <w:pPr>
              <w:spacing w:before="0" w:after="0"/>
              <w:contextualSpacing/>
              <w:rPr>
                <w:sz w:val="18"/>
              </w:rPr>
            </w:pPr>
          </w:p>
        </w:tc>
        <w:tc>
          <w:tcPr>
            <w:tcW w:w="2835" w:type="dxa"/>
            <w:vMerge w:val="restart"/>
            <w:shd w:val="clear" w:color="auto" w:fill="auto"/>
            <w:vAlign w:val="center"/>
          </w:tcPr>
          <w:p w14:paraId="20F50510" w14:textId="313CF390" w:rsidR="00AB7883" w:rsidRPr="00496FC3" w:rsidRDefault="00AB7883" w:rsidP="004C2E3E">
            <w:pPr>
              <w:spacing w:before="0" w:after="0"/>
              <w:contextualSpacing/>
              <w:rPr>
                <w:sz w:val="18"/>
              </w:rPr>
            </w:pPr>
            <w:r w:rsidRPr="000268A6">
              <w:rPr>
                <w:rFonts w:eastAsia="Times New Roman"/>
                <w:sz w:val="18"/>
                <w:szCs w:val="18"/>
                <w:lang w:eastAsia="en-GB"/>
              </w:rPr>
              <w:t>3D Spheroids with Matrigel</w:t>
            </w:r>
          </w:p>
        </w:tc>
        <w:tc>
          <w:tcPr>
            <w:tcW w:w="1842" w:type="dxa"/>
            <w:shd w:val="clear" w:color="auto" w:fill="auto"/>
            <w:vAlign w:val="center"/>
          </w:tcPr>
          <w:p w14:paraId="72CFF1B4" w14:textId="77777777" w:rsidR="00AB7883" w:rsidRPr="006734E4" w:rsidRDefault="00AB7883" w:rsidP="004C2E3E">
            <w:pPr>
              <w:spacing w:before="0" w:after="0"/>
              <w:contextualSpacing/>
              <w:rPr>
                <w:rFonts w:eastAsia="Times New Roman"/>
                <w:sz w:val="18"/>
                <w:szCs w:val="18"/>
              </w:rPr>
            </w:pPr>
            <w:r>
              <w:rPr>
                <w:rFonts w:eastAsia="Times New Roman"/>
                <w:sz w:val="18"/>
                <w:szCs w:val="18"/>
              </w:rPr>
              <w:t>6</w:t>
            </w:r>
            <w:r w:rsidRPr="00B3016F">
              <w:rPr>
                <w:rFonts w:eastAsia="Times New Roman"/>
                <w:sz w:val="18"/>
                <w:szCs w:val="18"/>
              </w:rPr>
              <w:t xml:space="preserve"> days</w:t>
            </w:r>
            <w:r>
              <w:rPr>
                <w:rFonts w:eastAsia="Times New Roman"/>
                <w:sz w:val="18"/>
                <w:szCs w:val="18"/>
              </w:rPr>
              <w:t xml:space="preserve"> (repeated exposure)</w:t>
            </w:r>
          </w:p>
        </w:tc>
        <w:tc>
          <w:tcPr>
            <w:tcW w:w="1418" w:type="dxa"/>
            <w:shd w:val="clear" w:color="auto" w:fill="auto"/>
            <w:noWrap/>
            <w:vAlign w:val="center"/>
          </w:tcPr>
          <w:p w14:paraId="2E787DC1" w14:textId="77777777" w:rsidR="00AB7883" w:rsidRPr="006734E4" w:rsidRDefault="00AB7883" w:rsidP="004C2E3E">
            <w:pPr>
              <w:spacing w:before="0" w:after="0"/>
              <w:contextualSpacing/>
              <w:rPr>
                <w:rFonts w:eastAsia="Times New Roman"/>
                <w:sz w:val="18"/>
                <w:szCs w:val="18"/>
                <w:lang w:eastAsia="en-GB"/>
              </w:rPr>
            </w:pPr>
            <w:r w:rsidRPr="00D83073">
              <w:rPr>
                <w:sz w:val="18"/>
              </w:rPr>
              <w:t>9.4</w:t>
            </w:r>
          </w:p>
        </w:tc>
        <w:tc>
          <w:tcPr>
            <w:tcW w:w="1984" w:type="dxa"/>
            <w:shd w:val="clear" w:color="auto" w:fill="auto"/>
            <w:noWrap/>
            <w:vAlign w:val="center"/>
          </w:tcPr>
          <w:p w14:paraId="5F7D1639" w14:textId="77777777" w:rsidR="00AB7883" w:rsidRPr="00496FC3" w:rsidRDefault="00AB7883" w:rsidP="004C2E3E">
            <w:pPr>
              <w:spacing w:before="0" w:after="0"/>
              <w:contextualSpacing/>
              <w:rPr>
                <w:sz w:val="18"/>
              </w:rPr>
            </w:pPr>
            <w:r w:rsidRPr="00B3016F">
              <w:rPr>
                <w:rFonts w:eastAsia="Times New Roman"/>
                <w:sz w:val="18"/>
                <w:szCs w:val="18"/>
                <w:lang w:eastAsia="en-GB"/>
              </w:rPr>
              <w:t>ATP quantification</w:t>
            </w:r>
          </w:p>
        </w:tc>
        <w:tc>
          <w:tcPr>
            <w:tcW w:w="3687" w:type="dxa"/>
            <w:vAlign w:val="center"/>
          </w:tcPr>
          <w:p w14:paraId="5CCA82FD" w14:textId="4605AE53" w:rsidR="00AB7883" w:rsidRDefault="00AB7883" w:rsidP="004C2E3E">
            <w:pPr>
              <w:spacing w:before="0" w:after="0"/>
              <w:contextualSpacing/>
              <w:rPr>
                <w:bCs/>
                <w:sz w:val="18"/>
              </w:rPr>
            </w:pPr>
            <w:r>
              <w:rPr>
                <w:rFonts w:eastAsia="Times New Roman"/>
                <w:sz w:val="18"/>
                <w:szCs w:val="18"/>
                <w:lang w:eastAsia="en-GB"/>
              </w:rPr>
              <w:t xml:space="preserve">CYP activity, </w:t>
            </w:r>
            <w:r w:rsidRPr="00E66093">
              <w:rPr>
                <w:rFonts w:eastAsia="Times New Roman"/>
                <w:sz w:val="18"/>
                <w:szCs w:val="18"/>
                <w:lang w:eastAsia="en-GB"/>
              </w:rPr>
              <w:t>glucuronidation and sulfation activity</w:t>
            </w:r>
            <w:r>
              <w:rPr>
                <w:rFonts w:eastAsia="Times New Roman"/>
                <w:sz w:val="18"/>
                <w:szCs w:val="18"/>
                <w:lang w:eastAsia="en-GB"/>
              </w:rPr>
              <w:t xml:space="preserve">, </w:t>
            </w:r>
            <w:r w:rsidRPr="00E66093">
              <w:rPr>
                <w:rFonts w:eastAsia="Times New Roman"/>
                <w:sz w:val="18"/>
                <w:szCs w:val="18"/>
                <w:lang w:eastAsia="en-GB"/>
              </w:rPr>
              <w:t>hepatobiliary transport</w:t>
            </w:r>
            <w:r>
              <w:rPr>
                <w:rFonts w:eastAsia="Times New Roman"/>
                <w:sz w:val="18"/>
                <w:szCs w:val="18"/>
                <w:lang w:eastAsia="en-GB"/>
              </w:rPr>
              <w:t xml:space="preserve"> | NA</w:t>
            </w:r>
          </w:p>
        </w:tc>
        <w:tc>
          <w:tcPr>
            <w:tcW w:w="1231" w:type="dxa"/>
            <w:shd w:val="clear" w:color="auto" w:fill="auto"/>
            <w:noWrap/>
            <w:vAlign w:val="center"/>
          </w:tcPr>
          <w:p w14:paraId="60100E88" w14:textId="77777777" w:rsidR="00AB7883" w:rsidRPr="00D83073" w:rsidRDefault="00AB7883" w:rsidP="004C2E3E">
            <w:pPr>
              <w:spacing w:before="0" w:after="0"/>
              <w:contextualSpacing/>
              <w:rPr>
                <w:bCs/>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{"citationItems":[{"id":"ITEM-1","itemData":{"DOI":"10.1007/s00204-014-1215-9","ISSN":"14320738","abstract":"Immortalized hepatocyte cell lines show only a weak resemblance to primary hepatocytes in terms of gene expression and function, limiting their value in predicting drug-induced liver injury (DILI). Furthermore, primary hepatocytes cultured on two-dimensional tissue culture plastic surfaces rapidly dedifferentiate losing their hepatocyte functions and metabolic competence. We have developed a three-dimensional in vitro model using extracellular matrix-based hydrogel for long-term culture of the human hepatoma cell line HepG2. HepG2 cells cultured in this model stop proliferating, self-organize and differentiate to form multiple polarized spheroids. These spheroids re-acquire lost hepatocyte functions such as storage of glycogen, transport of bile salts and the formation of structures resembling bile canaliculi. HepG2 spheroids also show increased expression of albumin, urea, xenobiotic transcription factors, phase I and II drug metabolism enzymes and transporters. Consistent with this, cytochrome P450-mediated metabolism is significantly higher in HepG2 spheroids compared to monolayer cultures. This highly differentiated phenotype can be maintained in 384-well microtiter plates for at least 28 days. Toxicity assessment studies with this model showed an increased sensitivity in identifying hepatotoxic compounds with repeated dosing regimens. This simple and robust high-throughput-compatible methodology may have potential for use in toxicity screening assays and mechanistic studies and may represent an alternative to animal models for studying DILI. © 2014 Springer-Verlag.","author":[{"dropping-particle":"","family":"Ramaiahgari","given":"Sreenivasa C.","non-dropping-particle":"","parse-names":false,"suffix":""},{"dropping-particle":"","family":"Braver","given":"Michiel W.","non-dropping-particle":"Den","parse-names":false,"suffix":""},{"dropping-particle":"","family":"Herpers","given":"Bram","non-dropping-particle":"","parse-names":false,"suffix":""},{"dropping-particle":"","family":"Terpstra","given":"Valeska","non-dropping-particle":"","parse-names":false,"suffix":""},{"dropping-particle":"","family":"Commandeur","given":"Jan N.M.","non-dropping-particle":"","parse-names":false,"suffix":""},{"dropping-particle":"","family":"Water","given":"Bob","non-dropping-particle":"Van De","parse-names":false,"suffix":""},{"dropping-particle":"","family":"Price","given":"Leo S.","non-dropping-particle":"","parse-names":false,"suffix":""}],"container-title":"Archives of Toxicology","id":"ITEM-1","issue":"5","issued":{"date-parts":[["2014"]]},"page":"1083-1095","title":"A 3D in vitro model of differentiated HepG2 cell spheroids with improved liver-like properties for repeated dose high-throughput toxicity studies","type":"article-journal","volume":"88"},"uris":["http://www.mendeley.com/documents/?uuid=5882c6e4-a801-4b08-81ed-2963d9d09c6b"]}],"mendeley":{"formattedCitation":"(Ramaiahgari et al., 2014)","plainTextFormattedCitation":"(Ramaiahgari et al., 2014)","previouslyFormattedCitation":"(Ramaiahgari et al., 2014)"},"properties":{"noteIndex":0},"schema":"https://github.com/citation-style-language/schema/raw/master/csl-citation.json"}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(Ramaiahgari et al., 2014)</w:t>
            </w:r>
            <w:r w:rsidRPr="00D83073">
              <w:rPr>
                <w:rFonts w:eastAsia="Times New Roman"/>
                <w:sz w:val="18"/>
                <w:szCs w:val="18"/>
                <w:lang w:eastAsia="en-GB"/>
              </w:rPr>
              <w:fldChar w:fldCharType="end"/>
            </w:r>
          </w:p>
        </w:tc>
      </w:tr>
      <w:tr w:rsidR="00AB7883" w:rsidRPr="00E076C9" w14:paraId="51BBC0B2" w14:textId="77777777" w:rsidTr="00007CB5">
        <w:trPr>
          <w:trHeight w:val="288"/>
          <w:jc w:val="center"/>
        </w:trPr>
        <w:tc>
          <w:tcPr>
            <w:tcW w:w="1560" w:type="dxa"/>
            <w:vMerge/>
            <w:shd w:val="clear" w:color="auto" w:fill="auto"/>
            <w:vAlign w:val="center"/>
          </w:tcPr>
          <w:p w14:paraId="20963022" w14:textId="77777777" w:rsidR="00AB7883" w:rsidRPr="00496FC3" w:rsidRDefault="00AB7883" w:rsidP="004C2E3E">
            <w:pPr>
              <w:spacing w:before="0" w:after="0"/>
              <w:contextualSpacing/>
              <w:rPr>
                <w:sz w:val="18"/>
              </w:rPr>
            </w:pPr>
          </w:p>
        </w:tc>
        <w:tc>
          <w:tcPr>
            <w:tcW w:w="2835" w:type="dxa"/>
            <w:vMerge/>
            <w:shd w:val="clear" w:color="auto" w:fill="auto"/>
            <w:vAlign w:val="center"/>
          </w:tcPr>
          <w:p w14:paraId="1C7D6ACD" w14:textId="0E4C4ECC" w:rsidR="00AB7883" w:rsidRPr="00496FC3" w:rsidRDefault="00AB7883" w:rsidP="004C2E3E">
            <w:pPr>
              <w:spacing w:before="0" w:after="0"/>
              <w:contextualSpacing/>
              <w:rPr>
                <w:sz w:val="18"/>
              </w:rPr>
            </w:pPr>
          </w:p>
        </w:tc>
        <w:tc>
          <w:tcPr>
            <w:tcW w:w="1842" w:type="dxa"/>
            <w:vMerge w:val="restart"/>
            <w:shd w:val="clear" w:color="auto" w:fill="auto"/>
            <w:vAlign w:val="center"/>
          </w:tcPr>
          <w:p w14:paraId="1276F299" w14:textId="77777777" w:rsidR="00AB7883" w:rsidRPr="00496FC3" w:rsidRDefault="00AB7883" w:rsidP="004C2E3E">
            <w:pPr>
              <w:spacing w:before="0" w:after="0"/>
              <w:contextualSpacing/>
              <w:rPr>
                <w:sz w:val="18"/>
              </w:rPr>
            </w:pPr>
            <w:r w:rsidRPr="00496FC3">
              <w:rPr>
                <w:sz w:val="18"/>
              </w:rPr>
              <w:t>72h</w:t>
            </w:r>
          </w:p>
        </w:tc>
        <w:tc>
          <w:tcPr>
            <w:tcW w:w="1418" w:type="dxa"/>
            <w:shd w:val="clear" w:color="auto" w:fill="auto"/>
            <w:noWrap/>
            <w:vAlign w:val="center"/>
          </w:tcPr>
          <w:p w14:paraId="31695136" w14:textId="1E56CBA6" w:rsidR="00AB7883" w:rsidRPr="00496FC3" w:rsidRDefault="00AB7883" w:rsidP="004C2E3E">
            <w:pPr>
              <w:spacing w:before="0" w:after="0"/>
              <w:contextualSpacing/>
              <w:rPr>
                <w:sz w:val="18"/>
              </w:rPr>
            </w:pPr>
            <w:r w:rsidRPr="00496FC3">
              <w:rPr>
                <w:sz w:val="18"/>
              </w:rPr>
              <w:t>11.8</w:t>
            </w:r>
          </w:p>
        </w:tc>
        <w:tc>
          <w:tcPr>
            <w:tcW w:w="1984" w:type="dxa"/>
            <w:vMerge w:val="restart"/>
            <w:shd w:val="clear" w:color="auto" w:fill="auto"/>
            <w:noWrap/>
            <w:vAlign w:val="center"/>
          </w:tcPr>
          <w:p w14:paraId="305D4E7F" w14:textId="62FD92CC" w:rsidR="00AB7883" w:rsidRPr="00496FC3" w:rsidRDefault="00AB7883" w:rsidP="004C2E3E">
            <w:pPr>
              <w:spacing w:before="0" w:after="0"/>
              <w:contextualSpacing/>
              <w:rPr>
                <w:sz w:val="18"/>
              </w:rPr>
            </w:pPr>
            <w:proofErr w:type="spellStart"/>
            <w:r w:rsidRPr="003C2B14">
              <w:rPr>
                <w:sz w:val="18"/>
              </w:rPr>
              <w:t>Calcein</w:t>
            </w:r>
            <w:proofErr w:type="spellEnd"/>
            <w:r w:rsidRPr="003C2B14">
              <w:rPr>
                <w:sz w:val="18"/>
              </w:rPr>
              <w:t>-AM (live) / ethidium homodimer (dead) fluorescence</w:t>
            </w:r>
          </w:p>
        </w:tc>
        <w:tc>
          <w:tcPr>
            <w:tcW w:w="3687" w:type="dxa"/>
            <w:vMerge w:val="restart"/>
            <w:vAlign w:val="center"/>
          </w:tcPr>
          <w:p w14:paraId="06993BBA" w14:textId="734BCE74" w:rsidR="00AB7883" w:rsidRDefault="00AB7883" w:rsidP="004C2E3E">
            <w:pPr>
              <w:spacing w:before="0" w:after="0"/>
              <w:contextualSpacing/>
              <w:rPr>
                <w:bCs/>
                <w:sz w:val="18"/>
              </w:rPr>
            </w:pPr>
            <w:r w:rsidRPr="00531E06">
              <w:rPr>
                <w:sz w:val="18"/>
              </w:rPr>
              <w:t>CYP</w:t>
            </w:r>
            <w:r>
              <w:rPr>
                <w:sz w:val="18"/>
              </w:rPr>
              <w:t>1A1/2</w:t>
            </w:r>
            <w:r w:rsidRPr="00531E06">
              <w:rPr>
                <w:sz w:val="18"/>
              </w:rPr>
              <w:t xml:space="preserve"> induction</w:t>
            </w:r>
            <w:r>
              <w:rPr>
                <w:sz w:val="18"/>
              </w:rPr>
              <w:t xml:space="preserve"> |</w:t>
            </w:r>
            <w:r w:rsidRPr="00531E06">
              <w:rPr>
                <w:sz w:val="18"/>
              </w:rPr>
              <w:t xml:space="preserve"> NA</w:t>
            </w:r>
          </w:p>
        </w:tc>
        <w:tc>
          <w:tcPr>
            <w:tcW w:w="1231" w:type="dxa"/>
            <w:vMerge w:val="restart"/>
            <w:shd w:val="clear" w:color="auto" w:fill="auto"/>
            <w:noWrap/>
            <w:vAlign w:val="center"/>
          </w:tcPr>
          <w:p w14:paraId="3F94FD07" w14:textId="77777777" w:rsidR="00AB7883" w:rsidRPr="00D83073" w:rsidRDefault="00AB7883"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{"citationItems":[{"id":"ITEM-1","itemData":{"DOI":"10.1063/1.4922863","ISSN":"19321058","PMID":"26180570","abstract":"The in vitro study of liver functions and liver cell specific responses to external stimuli deals with the problem to preserve the in vivo functions of primary hepatocytes. In this study, we used the biochip OrganoPlate™ (MIMETAS) that combines different advantages for the cultivation of hepatocytes in vitro: (1) the perfusion flow is achieved without a pump allowing easy handling and placement in the incubator (2) the phaseguides allow plating of matrix-embedded cells in lanes adjacent to the perfusion flow without physical barrier; and (3) the matrix-embedding ensures indirect contact of the cells to the flow. In order to evaluate the applicability of this biochip for the study of hepatocyte's functions, Matrigel™-embedded HepG2 cells were cultured over three weeks in this biochip and compared to a static Matrigel culture (3D) and a monolayer culture (2D). Chip-cultured cells grew in spheroid-like structures and were characterized by the formation of bile canaliculi and a high viability over 14 days. Hepatocyte-specific physiology was achieved as determined by an increase in albumin production. Improved detoxification metabolism was demonstrated by strongly increased cytochrome P450 activity and urea production. Additionally, chip-cultured cells displayed increased sensitivity to acetaminophen. Altogether, the OrganoPlate seems to be a very useful alternative for the cultivation of hepatocytes, as their behavior was strongly improved over 2D and static 3D cultures and the results were largely comparable and partly superior to the previous reports on biochip-cultured hepatocytes. As for the low technical needs, this platform has the appearance of being highly applicable for further studies of hepatocytes' responses to external stimuli.","author":[{"dropping-particle":"","family":"Jang","given":"Mi","non-dropping-particle":"","parse-names":false,"suffix":""},{"dropping-particle":"","family":"Neuzil","given":"Pavel","non-dropping-particle":"","parse-names":false,"suffix":""},{"dropping-particle":"","family":"Volk","given":"Thomas","non-dropping-particle":"","parse-names":false,"suffix":""},{"dropping-particle":"","family":"Manz","given":"Andreas","non-dropping-particle":"","parse-names":false,"suffix":""},{"dropping-particle":"","family":"Kleber","given":"Astrid","non-dropping-particle":"","parse-names":false,"suffix":""}],"container-title":"Biomicrofluidics","id":"ITEM-1","issue":"3","issued":{"date-parts":[["2015"]]},"page":"1-12","title":"On-chip three-dimensional cell culture in phaseguides improves hepatocyte functions in vitro","type":"article-journal","volume":"9"},"uris":["http://www.mendeley.com/documents/?uuid=1fa022b8-b859-4b4e-84ba-2c97edfd055e"]}],"mendeley":{"formattedCitation":"(Jang et al., 2015)","plainTextFormattedCitation":"(Jang et al., 2015)","previouslyFormattedCitation":"(Jang et al., 2015)"},"properties":{"noteIndex":0},"schema":"https://github.com/citation-style-language/schema/raw/master/csl-citation.json"}</w:instrText>
            </w:r>
            <w:r w:rsidRPr="00D83073">
              <w:rPr>
                <w:sz w:val="18"/>
              </w:rPr>
              <w:fldChar w:fldCharType="separate"/>
            </w:r>
            <w:r w:rsidRPr="00D83073">
              <w:rPr>
                <w:noProof/>
                <w:sz w:val="18"/>
              </w:rPr>
              <w:t>(Jang et al., 2015)</w:t>
            </w:r>
            <w:r w:rsidRPr="00D83073">
              <w:rPr>
                <w:sz w:val="18"/>
              </w:rPr>
              <w:fldChar w:fldCharType="end"/>
            </w:r>
          </w:p>
        </w:tc>
      </w:tr>
      <w:tr w:rsidR="00DE184F" w:rsidRPr="00E076C9" w14:paraId="73A66ED3" w14:textId="77777777" w:rsidTr="00007CB5">
        <w:trPr>
          <w:trHeight w:val="288"/>
          <w:jc w:val="center"/>
        </w:trPr>
        <w:tc>
          <w:tcPr>
            <w:tcW w:w="1560" w:type="dxa"/>
            <w:vMerge/>
            <w:shd w:val="clear" w:color="auto" w:fill="auto"/>
            <w:vAlign w:val="center"/>
          </w:tcPr>
          <w:p w14:paraId="56479C2C" w14:textId="77777777" w:rsidR="00DE184F" w:rsidRPr="00496FC3" w:rsidRDefault="00DE184F" w:rsidP="004C2E3E">
            <w:pPr>
              <w:spacing w:before="0" w:after="0"/>
              <w:contextualSpacing/>
              <w:rPr>
                <w:sz w:val="18"/>
              </w:rPr>
            </w:pPr>
          </w:p>
        </w:tc>
        <w:tc>
          <w:tcPr>
            <w:tcW w:w="2835" w:type="dxa"/>
            <w:shd w:val="clear" w:color="auto" w:fill="auto"/>
            <w:vAlign w:val="center"/>
          </w:tcPr>
          <w:p w14:paraId="143F241F" w14:textId="487E606F" w:rsidR="00DE184F" w:rsidRPr="00496FC3" w:rsidRDefault="00DE184F" w:rsidP="004C2E3E">
            <w:pPr>
              <w:spacing w:before="0" w:after="0"/>
              <w:contextualSpacing/>
              <w:rPr>
                <w:sz w:val="18"/>
              </w:rPr>
            </w:pPr>
            <w:r>
              <w:rPr>
                <w:sz w:val="18"/>
              </w:rPr>
              <w:t xml:space="preserve">3D </w:t>
            </w:r>
            <w:r w:rsidRPr="00496FC3">
              <w:rPr>
                <w:sz w:val="18"/>
              </w:rPr>
              <w:t>Spheroids in a microfluidic chip</w:t>
            </w:r>
            <w:r>
              <w:rPr>
                <w:sz w:val="18"/>
              </w:rPr>
              <w:t xml:space="preserve"> – </w:t>
            </w:r>
            <w:proofErr w:type="spellStart"/>
            <w:r w:rsidRPr="00F91730">
              <w:rPr>
                <w:sz w:val="18"/>
              </w:rPr>
              <w:t>OrganoPlate</w:t>
            </w:r>
            <w:r w:rsidRPr="00F91730">
              <w:rPr>
                <w:sz w:val="18"/>
                <w:vertAlign w:val="superscript"/>
              </w:rPr>
              <w:t>TM</w:t>
            </w:r>
            <w:proofErr w:type="spellEnd"/>
            <w:r w:rsidRPr="00F91730">
              <w:rPr>
                <w:sz w:val="18"/>
              </w:rPr>
              <w:t xml:space="preserve"> </w:t>
            </w:r>
            <w:r w:rsidRPr="00496FC3">
              <w:rPr>
                <w:sz w:val="18"/>
              </w:rPr>
              <w:t>(MIMETAS)</w:t>
            </w:r>
          </w:p>
        </w:tc>
        <w:tc>
          <w:tcPr>
            <w:tcW w:w="1842" w:type="dxa"/>
            <w:vMerge/>
            <w:shd w:val="clear" w:color="auto" w:fill="auto"/>
            <w:vAlign w:val="center"/>
          </w:tcPr>
          <w:p w14:paraId="55596E76" w14:textId="77777777" w:rsidR="00DE184F" w:rsidRPr="00496FC3" w:rsidRDefault="00DE184F" w:rsidP="004C2E3E">
            <w:pPr>
              <w:spacing w:before="0" w:after="0"/>
              <w:contextualSpacing/>
              <w:rPr>
                <w:sz w:val="18"/>
              </w:rPr>
            </w:pPr>
          </w:p>
        </w:tc>
        <w:tc>
          <w:tcPr>
            <w:tcW w:w="1418" w:type="dxa"/>
            <w:shd w:val="clear" w:color="auto" w:fill="auto"/>
            <w:noWrap/>
            <w:vAlign w:val="center"/>
          </w:tcPr>
          <w:p w14:paraId="62EF7D5B" w14:textId="5C1B4C9B" w:rsidR="00DE184F" w:rsidRPr="00496FC3" w:rsidRDefault="00DE184F" w:rsidP="004C2E3E">
            <w:pPr>
              <w:spacing w:before="0" w:after="0"/>
              <w:contextualSpacing/>
              <w:rPr>
                <w:sz w:val="18"/>
              </w:rPr>
            </w:pPr>
            <w:r>
              <w:rPr>
                <w:sz w:val="18"/>
              </w:rPr>
              <w:t>7</w:t>
            </w:r>
            <w:r w:rsidRPr="00496FC3">
              <w:rPr>
                <w:sz w:val="18"/>
              </w:rPr>
              <w:t>.</w:t>
            </w:r>
            <w:r>
              <w:rPr>
                <w:sz w:val="18"/>
              </w:rPr>
              <w:t>1</w:t>
            </w:r>
          </w:p>
        </w:tc>
        <w:tc>
          <w:tcPr>
            <w:tcW w:w="1984" w:type="dxa"/>
            <w:vMerge/>
            <w:shd w:val="clear" w:color="auto" w:fill="auto"/>
            <w:noWrap/>
            <w:vAlign w:val="center"/>
          </w:tcPr>
          <w:p w14:paraId="18A8F9C2" w14:textId="77777777" w:rsidR="00DE184F" w:rsidRPr="003C2B14" w:rsidRDefault="00DE184F" w:rsidP="004C2E3E">
            <w:pPr>
              <w:spacing w:before="0" w:after="0"/>
              <w:contextualSpacing/>
              <w:rPr>
                <w:sz w:val="18"/>
              </w:rPr>
            </w:pPr>
          </w:p>
        </w:tc>
        <w:tc>
          <w:tcPr>
            <w:tcW w:w="3687" w:type="dxa"/>
            <w:vMerge/>
            <w:vAlign w:val="center"/>
          </w:tcPr>
          <w:p w14:paraId="258237F5" w14:textId="77777777" w:rsidR="00DE184F" w:rsidRPr="00531E06" w:rsidRDefault="00DE184F" w:rsidP="004C2E3E">
            <w:pPr>
              <w:spacing w:before="0" w:after="0"/>
              <w:contextualSpacing/>
              <w:rPr>
                <w:sz w:val="18"/>
              </w:rPr>
            </w:pPr>
          </w:p>
        </w:tc>
        <w:tc>
          <w:tcPr>
            <w:tcW w:w="1231" w:type="dxa"/>
            <w:vMerge/>
            <w:shd w:val="clear" w:color="auto" w:fill="auto"/>
            <w:noWrap/>
            <w:vAlign w:val="center"/>
          </w:tcPr>
          <w:p w14:paraId="0FA9797D" w14:textId="77777777" w:rsidR="00DE184F" w:rsidRPr="00D83073" w:rsidRDefault="00DE184F" w:rsidP="004C2E3E">
            <w:pPr>
              <w:spacing w:before="0" w:after="0"/>
              <w:contextualSpacing/>
              <w:rPr>
                <w:sz w:val="18"/>
              </w:rPr>
            </w:pPr>
          </w:p>
        </w:tc>
      </w:tr>
      <w:tr w:rsidR="00DE184F" w:rsidRPr="00E076C9" w14:paraId="1C14F0AF" w14:textId="77777777" w:rsidTr="00007CB5">
        <w:trPr>
          <w:trHeight w:val="381"/>
          <w:jc w:val="center"/>
        </w:trPr>
        <w:tc>
          <w:tcPr>
            <w:tcW w:w="1560" w:type="dxa"/>
            <w:vMerge/>
            <w:shd w:val="clear" w:color="auto" w:fill="auto"/>
            <w:vAlign w:val="center"/>
          </w:tcPr>
          <w:p w14:paraId="2ADC4D9F" w14:textId="77777777" w:rsidR="00DE184F" w:rsidRPr="00496FC3" w:rsidRDefault="00DE184F" w:rsidP="004C2E3E">
            <w:pPr>
              <w:spacing w:before="0" w:after="0"/>
              <w:contextualSpacing/>
              <w:rPr>
                <w:sz w:val="18"/>
              </w:rPr>
            </w:pPr>
          </w:p>
        </w:tc>
        <w:tc>
          <w:tcPr>
            <w:tcW w:w="2835" w:type="dxa"/>
            <w:shd w:val="clear" w:color="auto" w:fill="auto"/>
            <w:vAlign w:val="center"/>
          </w:tcPr>
          <w:p w14:paraId="609AA83F" w14:textId="77777777" w:rsidR="00DE184F" w:rsidRPr="00496FC3" w:rsidRDefault="00DE184F" w:rsidP="004C2E3E">
            <w:pPr>
              <w:spacing w:before="0" w:after="0"/>
              <w:contextualSpacing/>
              <w:rPr>
                <w:sz w:val="18"/>
              </w:rPr>
            </w:pPr>
            <w:bookmarkStart w:id="0" w:name="_Hlk51478275"/>
            <w:r w:rsidRPr="002F38B0">
              <w:rPr>
                <w:sz w:val="18"/>
              </w:rPr>
              <w:t>3D liver-sinusoid-on-a-chip (LSOC)</w:t>
            </w:r>
            <w:bookmarkEnd w:id="0"/>
          </w:p>
        </w:tc>
        <w:tc>
          <w:tcPr>
            <w:tcW w:w="1842" w:type="dxa"/>
            <w:shd w:val="clear" w:color="auto" w:fill="auto"/>
            <w:vAlign w:val="center"/>
          </w:tcPr>
          <w:p w14:paraId="283570C6" w14:textId="77777777" w:rsidR="00DE184F" w:rsidRPr="00496FC3" w:rsidRDefault="00DE184F" w:rsidP="004C2E3E">
            <w:pPr>
              <w:spacing w:before="0" w:after="0"/>
              <w:contextualSpacing/>
              <w:rPr>
                <w:sz w:val="18"/>
              </w:rPr>
            </w:pPr>
            <w:r w:rsidRPr="002F38B0">
              <w:rPr>
                <w:sz w:val="18"/>
              </w:rPr>
              <w:t>24h</w:t>
            </w:r>
          </w:p>
        </w:tc>
        <w:tc>
          <w:tcPr>
            <w:tcW w:w="1418" w:type="dxa"/>
            <w:shd w:val="clear" w:color="auto" w:fill="auto"/>
            <w:noWrap/>
            <w:vAlign w:val="center"/>
          </w:tcPr>
          <w:p w14:paraId="25342762" w14:textId="1D6FA18D" w:rsidR="00DE184F" w:rsidRPr="00496FC3" w:rsidRDefault="00DE184F" w:rsidP="004C2E3E">
            <w:pPr>
              <w:spacing w:before="0" w:after="0"/>
              <w:contextualSpacing/>
              <w:rPr>
                <w:sz w:val="18"/>
              </w:rPr>
            </w:pPr>
            <w:r w:rsidRPr="002F38B0">
              <w:rPr>
                <w:sz w:val="18"/>
              </w:rPr>
              <w:t>9.8</w:t>
            </w:r>
          </w:p>
        </w:tc>
        <w:tc>
          <w:tcPr>
            <w:tcW w:w="1984" w:type="dxa"/>
            <w:vMerge/>
            <w:shd w:val="clear" w:color="auto" w:fill="auto"/>
            <w:noWrap/>
            <w:vAlign w:val="center"/>
          </w:tcPr>
          <w:p w14:paraId="5CD7B111" w14:textId="77777777" w:rsidR="00DE184F" w:rsidRPr="00496FC3" w:rsidRDefault="00DE184F" w:rsidP="004C2E3E">
            <w:pPr>
              <w:spacing w:before="0" w:after="0"/>
              <w:contextualSpacing/>
              <w:rPr>
                <w:sz w:val="18"/>
              </w:rPr>
            </w:pPr>
          </w:p>
        </w:tc>
        <w:tc>
          <w:tcPr>
            <w:tcW w:w="3687" w:type="dxa"/>
            <w:vAlign w:val="center"/>
          </w:tcPr>
          <w:p w14:paraId="59B0CA8B" w14:textId="62E70E8F" w:rsidR="00DE184F" w:rsidRDefault="00DE184F" w:rsidP="004C2E3E">
            <w:pPr>
              <w:spacing w:before="0" w:after="0"/>
              <w:contextualSpacing/>
              <w:rPr>
                <w:bCs/>
                <w:sz w:val="18"/>
              </w:rPr>
            </w:pPr>
            <w:r w:rsidRPr="002F38B0">
              <w:rPr>
                <w:sz w:val="18"/>
              </w:rPr>
              <w:t>CYP1A1/2 and glucuronidation activity, drug-drug interaction</w:t>
            </w:r>
            <w:r>
              <w:rPr>
                <w:sz w:val="18"/>
              </w:rPr>
              <w:t xml:space="preserve"> |</w:t>
            </w:r>
            <w:r w:rsidRPr="002F38B0">
              <w:rPr>
                <w:sz w:val="18"/>
              </w:rPr>
              <w:t xml:space="preserve"> NA</w:t>
            </w:r>
          </w:p>
        </w:tc>
        <w:tc>
          <w:tcPr>
            <w:tcW w:w="1231" w:type="dxa"/>
            <w:shd w:val="clear" w:color="auto" w:fill="auto"/>
            <w:noWrap/>
            <w:vAlign w:val="center"/>
          </w:tcPr>
          <w:p w14:paraId="6E570984" w14:textId="77777777" w:rsidR="00DE184F" w:rsidRPr="00D83073" w:rsidRDefault="00DE184F"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{"citationItems":[{"id":"ITEM-1","itemData":{"DOI":"10.1063/1.5070088","ISSN":"19321058","abstract":"The poor metabolic ability of cell lines fails to meet the requirements of an in vitro model for drug interaction testing which is crucial for the development or clinical application of drugs. Herein, we describe a liver sinusoid-on-a-chip device composed of four kinds of transformed cell lines (HepG2 cells, LX-2 cells, EAhy926 cells, and U937 cells) that were ordered in a physiological distribution with artificial liver blood flow and biliary efflux flowing in the opposite direction. This microfluidic device applied three-dimensional culturing of HepG2 cells with high density (107 ml-1), forming a tightly connected monolayer of EAhy926 cells and achieving the active transport of drugs in HepG2 cells. Results showed that the device maintained synthetic and secretory functions, preserved cytochrome P450 1A1/2 and uridine diphosphate glucuronyltransferase enzymatic activities, as well as sensitivity of drug metabolism. The cell lines derived device enables the investigation of a drug-drug interaction study. We used it to test the hepatotoxicity of acetaminophen and the following combinations: \"acetaminophen + rifampicin,\" \"acetaminophen + omeprazole,\" and \"acetaminophen + ciprofloxacin.\" The variations in hepatotoxicity of the combinations compared to acetaminophen alone, which is not found in a 96-well plate model, in the device were -17.15%, 14.88%, and -19.74%. In addition, this result was similar to the one tested by the classical primary hepatocyte plate model (-13.22%, 13.51%, and -15.81%). Thus, this cell lines derived liver model provides an alternative to investigate drug hepatotoxicity, drug-drug interaction.","author":[{"dropping-particle":"","family":"Deng","given":"Jiu","non-dropping-particle":"","parse-names":false,"suffix":""},{"dropping-particle":"","family":"Zhang","given":"Xiuli","non-dropping-particle":"","parse-names":false,"suffix":""},{"dropping-particle":"","family":"Chen","given":"Zongzheng","non-dropping-particle":"","parse-names":false,"suffix":""},{"dropping-particle":"","family":"Luo","given":"Yong","non-dropping-particle":"","parse-names":false,"suffix":""},{"dropping-particle":"","family":"Lu","given":"Yao","non-dropping-particle":"","parse-names":false,"suffix":""},{"dropping-particle":"","family":"Liu","given":"Tingjiao","non-dropping-particle":"","parse-names":false,"suffix":""},{"dropping-particle":"","family":"Wu","given":"Zhengzhi","non-dropping-particle":"","parse-names":false,"suffix":""},{"dropping-particle":"","family":"Jin","given":"Yu","non-dropping-particle":"","parse-names":false,"suffix":""},{"dropping-particle":"","family":"Zhao","given":"Weijie","non-dropping-particle":"","parse-names":false,"suffix":""},{"dropping-particle":"","family":"Lin","given":"Bingcheng","non-dropping-particle":"","parse-names":false,"suffix":""}],"container-title":"Biomicrofluidics","id":"ITEM-1","issue":"2","issued":{"date-parts":[["2019"]]},"page":"024101","title":"A cell lines derived microfluidic liver model for investigation of hepatotoxicity induced by drug-drug interaction","type":"article-journal","volume":"13"},"uris":["http://www.mendeley.com/documents/?uuid=9633c0f2-3999-4bda-8070-9949a1531dec","http://www.mendeley.com/documents/?uuid=fd498477-08c4-4dab-8e4f-43836f985df2"]}],"mendeley":{"formattedCitation":"(Deng et al., 2019)","plainTextFormattedCitation":"(Deng et al., 2019)","previouslyFormattedCitation":"(Deng et al., 2019)"},"properties":{"noteIndex":0},"schema":"https://github.com/citation-style-language/schema/raw/master/csl-citation.json"}</w:instrText>
            </w:r>
            <w:r w:rsidRPr="00D83073">
              <w:rPr>
                <w:sz w:val="18"/>
              </w:rPr>
              <w:fldChar w:fldCharType="separate"/>
            </w:r>
            <w:r w:rsidRPr="00D83073">
              <w:rPr>
                <w:noProof/>
                <w:sz w:val="18"/>
              </w:rPr>
              <w:t>(Deng et al., 2019)</w:t>
            </w:r>
            <w:r w:rsidRPr="00D83073">
              <w:rPr>
                <w:sz w:val="18"/>
              </w:rPr>
              <w:fldChar w:fldCharType="end"/>
            </w:r>
          </w:p>
        </w:tc>
      </w:tr>
      <w:tr w:rsidR="004C2E3E" w:rsidRPr="00496FC3" w14:paraId="667A1C11" w14:textId="77777777" w:rsidTr="00007CB5">
        <w:trPr>
          <w:trHeight w:val="343"/>
          <w:jc w:val="center"/>
        </w:trPr>
        <w:tc>
          <w:tcPr>
            <w:tcW w:w="1560" w:type="dxa"/>
            <w:vMerge w:val="restart"/>
            <w:tcBorders>
              <w:top w:val="single" w:sz="4" w:space="0" w:color="auto"/>
            </w:tcBorders>
            <w:shd w:val="clear" w:color="auto" w:fill="auto"/>
            <w:noWrap/>
            <w:vAlign w:val="center"/>
          </w:tcPr>
          <w:p w14:paraId="6A623A6B" w14:textId="77777777" w:rsidR="004C2E3E" w:rsidRPr="00496FC3" w:rsidRDefault="004C2E3E" w:rsidP="004C2E3E">
            <w:pPr>
              <w:spacing w:before="0" w:after="0"/>
              <w:contextualSpacing/>
              <w:rPr>
                <w:sz w:val="18"/>
              </w:rPr>
            </w:pPr>
            <w:r w:rsidRPr="00496FC3">
              <w:rPr>
                <w:sz w:val="18"/>
              </w:rPr>
              <w:t>HepG2/C3A</w:t>
            </w:r>
          </w:p>
        </w:tc>
        <w:tc>
          <w:tcPr>
            <w:tcW w:w="2835" w:type="dxa"/>
            <w:shd w:val="clear" w:color="auto" w:fill="auto"/>
            <w:noWrap/>
            <w:vAlign w:val="center"/>
          </w:tcPr>
          <w:p w14:paraId="55681AB3" w14:textId="77777777" w:rsidR="004C2E3E" w:rsidRPr="00496FC3" w:rsidRDefault="004C2E3E" w:rsidP="004C2E3E">
            <w:pPr>
              <w:spacing w:before="0" w:after="0"/>
              <w:contextualSpacing/>
              <w:rPr>
                <w:sz w:val="18"/>
              </w:rPr>
            </w:pPr>
            <w:r w:rsidRPr="00496FC3">
              <w:rPr>
                <w:sz w:val="18"/>
              </w:rPr>
              <w:t>2D</w:t>
            </w:r>
          </w:p>
        </w:tc>
        <w:tc>
          <w:tcPr>
            <w:tcW w:w="1842" w:type="dxa"/>
            <w:shd w:val="clear" w:color="auto" w:fill="auto"/>
            <w:vAlign w:val="center"/>
          </w:tcPr>
          <w:p w14:paraId="15D51A39" w14:textId="77777777" w:rsidR="004C2E3E" w:rsidRPr="00496FC3" w:rsidRDefault="004C2E3E" w:rsidP="004C2E3E">
            <w:pPr>
              <w:spacing w:before="0" w:after="0"/>
              <w:contextualSpacing/>
              <w:rPr>
                <w:sz w:val="18"/>
              </w:rPr>
            </w:pPr>
            <w:r w:rsidRPr="00496FC3">
              <w:rPr>
                <w:sz w:val="18"/>
              </w:rPr>
              <w:t>24h</w:t>
            </w:r>
          </w:p>
        </w:tc>
        <w:tc>
          <w:tcPr>
            <w:tcW w:w="1418" w:type="dxa"/>
            <w:shd w:val="clear" w:color="auto" w:fill="auto"/>
            <w:noWrap/>
            <w:vAlign w:val="center"/>
          </w:tcPr>
          <w:p w14:paraId="2B5BC457" w14:textId="77777777" w:rsidR="004C2E3E" w:rsidRPr="00496FC3" w:rsidRDefault="004C2E3E" w:rsidP="004C2E3E">
            <w:pPr>
              <w:spacing w:before="0" w:after="0"/>
              <w:contextualSpacing/>
              <w:rPr>
                <w:sz w:val="18"/>
              </w:rPr>
            </w:pPr>
            <w:r w:rsidRPr="00496FC3">
              <w:rPr>
                <w:sz w:val="18"/>
              </w:rPr>
              <w:t>33.8</w:t>
            </w:r>
          </w:p>
        </w:tc>
        <w:tc>
          <w:tcPr>
            <w:tcW w:w="1984" w:type="dxa"/>
            <w:shd w:val="clear" w:color="auto" w:fill="auto"/>
            <w:noWrap/>
            <w:vAlign w:val="center"/>
          </w:tcPr>
          <w:p w14:paraId="7A8809F4" w14:textId="2474A519" w:rsidR="004C2E3E" w:rsidRPr="00496FC3" w:rsidRDefault="004C2E3E" w:rsidP="004C2E3E">
            <w:pPr>
              <w:spacing w:before="0" w:after="0"/>
              <w:contextualSpacing/>
              <w:rPr>
                <w:sz w:val="18"/>
              </w:rPr>
            </w:pPr>
            <w:r w:rsidRPr="00496FC3">
              <w:rPr>
                <w:sz w:val="18"/>
              </w:rPr>
              <w:t>ATP Quantificatio</w:t>
            </w:r>
            <w:r w:rsidR="00DE184F">
              <w:rPr>
                <w:sz w:val="18"/>
              </w:rPr>
              <w:t>n</w:t>
            </w:r>
          </w:p>
        </w:tc>
        <w:tc>
          <w:tcPr>
            <w:tcW w:w="3687" w:type="dxa"/>
            <w:vAlign w:val="center"/>
          </w:tcPr>
          <w:p w14:paraId="4FF2D95D" w14:textId="0309F3E2" w:rsidR="004C2E3E" w:rsidRDefault="004C2E3E" w:rsidP="004C2E3E">
            <w:pPr>
              <w:spacing w:before="0" w:after="0"/>
              <w:contextualSpacing/>
              <w:rPr>
                <w:sz w:val="18"/>
              </w:rPr>
            </w:pPr>
            <w:r>
              <w:rPr>
                <w:sz w:val="18"/>
              </w:rPr>
              <w:t>CYP2E1 expression and transporter function | NA</w:t>
            </w:r>
          </w:p>
        </w:tc>
        <w:tc>
          <w:tcPr>
            <w:tcW w:w="1231" w:type="dxa"/>
            <w:shd w:val="clear" w:color="auto" w:fill="auto"/>
            <w:vAlign w:val="center"/>
          </w:tcPr>
          <w:p w14:paraId="3289AB37" w14:textId="77777777" w:rsidR="004C2E3E" w:rsidRPr="00D83073" w:rsidRDefault="004C2E3E" w:rsidP="004C2E3E">
            <w:pPr>
              <w:spacing w:before="0" w:after="0"/>
              <w:contextualSpacing/>
              <w:rPr>
                <w:sz w:val="18"/>
              </w:rPr>
            </w:pPr>
            <w:r w:rsidRPr="00D83073">
              <w:rPr>
                <w:sz w:val="18"/>
              </w:rPr>
              <w:fldChar w:fldCharType="begin" w:fldLock="1"/>
            </w:r>
            <w:r w:rsidRPr="00D83073">
              <w:rPr>
                <w:sz w:val="18"/>
              </w:rPr>
              <w:instrText>ADDIN CSL_CITATION {"citationItems":[{"id":"ITEM-1","itemData":{"DOI":"10.1039/c6tx00101g","ISSN":"20454538","abstract":"More predictive in vitro liver models are a critical requirement for preclinical screening of compounds demonstrating hepatotoxic liability. 3D liver spheroids have been shown to have an enhanced functional lifespan compared to 2D monocultures; however a detailed characterisation of spatiotemporal function and structure of spheroids still needs further attention before widespread use in industry. We have developed and characterized the structure and function of a 3D liver spheroid model formed from C3A hepatoma cells. Spheroids were viable and maintained a compact in vivo-like structure with zonation features for up to 32 days. MRP2 and Pgp transporters had polarised expression on the canalicular membrane of cells in the spheroids and were able to functionally transport CMFDA substrate into these canalicular structures. Spheroids expressed CYP2E1 and were able to synthesise and secrete albumin and urea to a higher degree than monolayer C3A cultures. Penetration of doxorubicin throughout the spheroid core was demonstrated. Spheroids showed increased susceptibility to hepatotoxins when compared to 2D cultures, with acetaminophen having an IC50 of 7.2 mM in spheroids compared to 33.8 mM in monolayer culture. To conclude, we developed an alternative method for creating C3A liver spheroids and demonstrated cellular polarisation and zonation, as well as superior liver-specific functionality and more sensitive toxicological response compared to standard 2D liver models, confirming a more in vivo-like liver model.","author":[{"dropping-particle":"","family":"Gaskell","given":"Harriet","non-dropping-particle":"","parse-names":false,"suffix":""},{"dropping-particle":"","family":"Sharma","given":"Parveen","non-dropping-particle":"","parse-names":false,"suffix":""},{"dropping-particle":"","family":"Colley","given":"Helen E.","non-dropping-particle":"","parse-names":false,"suffix":""},{"dropping-particle":"","family":"Murdoch","given":"Craig","non-dropping-particle":"","parse-names":false,"suffix":""},{"dropping-particle":"","family":"Williams","given":"Dominic P.","non-dropping-particle":"","parse-names":false,"suffix":""},{"dropping-particle":"","family":"Webb","given":"Steven D.","non-dropping-particle":"","parse-names":false,"suffix":""}],"container-title":"Toxicology Research","id":"ITEM-1","issue":"4","issued":{"date-parts":[["2016"]]},"page":"1053–1065","title":"Characterization of a functional C3A liver spheroid model","type":"article-journal","volume":"5"},"uris":["http://www.mendeley.com/documents/?uuid=e9226fa3-fe16-454d-ad66-e1a2f6dca436","http://www.mendeley.com/documents/?uuid=3d35c72f-245e-427f-b2d5-16330c7a0fe9"]}],"mendeley":{"formattedCitation":"(Gaskell et al., 2016)","plainTextFormattedCitation":"(Gaskell et al., 2016)","previouslyFormattedCitation":"(Gaskell et al., 2016)"},"properties":{"noteIndex":0},"schema":"https://github.com/citation-style-language/schema/raw/master/csl-citation.json"}</w:instrText>
            </w:r>
            <w:r w:rsidRPr="00D83073">
              <w:rPr>
                <w:sz w:val="18"/>
              </w:rPr>
              <w:fldChar w:fldCharType="separate"/>
            </w:r>
            <w:r w:rsidRPr="00D83073">
              <w:rPr>
                <w:noProof/>
                <w:sz w:val="18"/>
              </w:rPr>
              <w:t>(Gaskell et al., 2016)</w:t>
            </w:r>
            <w:r w:rsidRPr="00D83073">
              <w:rPr>
                <w:sz w:val="18"/>
              </w:rPr>
              <w:fldChar w:fldCharType="end"/>
            </w:r>
          </w:p>
        </w:tc>
      </w:tr>
      <w:tr w:rsidR="00DE184F" w:rsidRPr="00496FC3" w14:paraId="029DF8AD" w14:textId="77777777" w:rsidTr="00007CB5">
        <w:trPr>
          <w:trHeight w:val="271"/>
          <w:jc w:val="center"/>
        </w:trPr>
        <w:tc>
          <w:tcPr>
            <w:tcW w:w="1560" w:type="dxa"/>
            <w:vMerge/>
            <w:shd w:val="clear" w:color="auto" w:fill="auto"/>
            <w:noWrap/>
            <w:vAlign w:val="center"/>
          </w:tcPr>
          <w:p w14:paraId="7593B621" w14:textId="77777777" w:rsidR="00DE184F" w:rsidRPr="00496FC3" w:rsidRDefault="00DE184F" w:rsidP="004C2E3E">
            <w:pPr>
              <w:spacing w:before="0" w:after="0"/>
              <w:contextualSpacing/>
              <w:rPr>
                <w:sz w:val="18"/>
              </w:rPr>
            </w:pPr>
          </w:p>
        </w:tc>
        <w:tc>
          <w:tcPr>
            <w:tcW w:w="2835" w:type="dxa"/>
            <w:shd w:val="clear" w:color="auto" w:fill="auto"/>
            <w:noWrap/>
            <w:vAlign w:val="center"/>
          </w:tcPr>
          <w:p w14:paraId="3EBEF6CA" w14:textId="77777777" w:rsidR="00DE184F" w:rsidRPr="00496FC3" w:rsidRDefault="00DE184F" w:rsidP="004C2E3E">
            <w:pPr>
              <w:spacing w:before="0" w:after="0"/>
              <w:contextualSpacing/>
              <w:rPr>
                <w:sz w:val="18"/>
              </w:rPr>
            </w:pPr>
            <w:r w:rsidRPr="00496FC3">
              <w:rPr>
                <w:sz w:val="18"/>
              </w:rPr>
              <w:t>3D Spheroids</w:t>
            </w:r>
          </w:p>
        </w:tc>
        <w:tc>
          <w:tcPr>
            <w:tcW w:w="1842" w:type="dxa"/>
            <w:shd w:val="clear" w:color="auto" w:fill="auto"/>
            <w:vAlign w:val="center"/>
          </w:tcPr>
          <w:p w14:paraId="3F0E8551" w14:textId="77777777" w:rsidR="00DE184F" w:rsidRPr="00496FC3" w:rsidRDefault="00DE184F" w:rsidP="004C2E3E">
            <w:pPr>
              <w:spacing w:before="0" w:after="0"/>
              <w:contextualSpacing/>
              <w:rPr>
                <w:sz w:val="18"/>
              </w:rPr>
            </w:pPr>
            <w:r w:rsidRPr="00496FC3">
              <w:rPr>
                <w:sz w:val="18"/>
              </w:rPr>
              <w:t>24h after 21 days in culture</w:t>
            </w:r>
          </w:p>
        </w:tc>
        <w:tc>
          <w:tcPr>
            <w:tcW w:w="1418" w:type="dxa"/>
            <w:shd w:val="clear" w:color="auto" w:fill="auto"/>
            <w:noWrap/>
            <w:vAlign w:val="center"/>
          </w:tcPr>
          <w:p w14:paraId="2B1D376A" w14:textId="77777777" w:rsidR="00DE184F" w:rsidRPr="00496FC3" w:rsidRDefault="00DE184F" w:rsidP="004C2E3E">
            <w:pPr>
              <w:spacing w:before="0" w:after="0"/>
              <w:contextualSpacing/>
              <w:rPr>
                <w:sz w:val="18"/>
              </w:rPr>
            </w:pPr>
            <w:r w:rsidRPr="00496FC3">
              <w:rPr>
                <w:sz w:val="18"/>
              </w:rPr>
              <w:t>40.0</w:t>
            </w:r>
          </w:p>
        </w:tc>
        <w:tc>
          <w:tcPr>
            <w:tcW w:w="1984" w:type="dxa"/>
            <w:vMerge w:val="restart"/>
            <w:shd w:val="clear" w:color="auto" w:fill="auto"/>
            <w:noWrap/>
            <w:vAlign w:val="center"/>
          </w:tcPr>
          <w:p w14:paraId="1AE39FD2" w14:textId="50656F8D" w:rsidR="00DE184F" w:rsidRPr="00496FC3" w:rsidRDefault="00DE184F" w:rsidP="00DE184F">
            <w:pPr>
              <w:spacing w:before="0" w:after="0"/>
              <w:contextualSpacing/>
              <w:rPr>
                <w:sz w:val="18"/>
              </w:rPr>
            </w:pPr>
            <w:r w:rsidRPr="00496FC3">
              <w:rPr>
                <w:sz w:val="18"/>
              </w:rPr>
              <w:t>ATP Quantification</w:t>
            </w:r>
          </w:p>
        </w:tc>
        <w:tc>
          <w:tcPr>
            <w:tcW w:w="3687" w:type="dxa"/>
            <w:vAlign w:val="center"/>
          </w:tcPr>
          <w:p w14:paraId="29770B9D" w14:textId="77777777" w:rsidR="00DE184F" w:rsidRDefault="00DE184F" w:rsidP="004C2E3E">
            <w:pPr>
              <w:spacing w:before="0" w:after="0"/>
              <w:contextualSpacing/>
              <w:rPr>
                <w:sz w:val="18"/>
              </w:rPr>
            </w:pPr>
            <w:r>
              <w:rPr>
                <w:sz w:val="18"/>
              </w:rPr>
              <w:t>NA</w:t>
            </w:r>
          </w:p>
        </w:tc>
        <w:tc>
          <w:tcPr>
            <w:tcW w:w="1231" w:type="dxa"/>
            <w:shd w:val="clear" w:color="auto" w:fill="auto"/>
            <w:vAlign w:val="center"/>
          </w:tcPr>
          <w:p w14:paraId="57055515" w14:textId="77777777" w:rsidR="00DE184F" w:rsidRPr="00D83073" w:rsidRDefault="00DE184F" w:rsidP="004C2E3E">
            <w:pPr>
              <w:spacing w:before="0" w:after="0"/>
              <w:contextualSpacing/>
              <w:rPr>
                <w:sz w:val="18"/>
              </w:rPr>
            </w:pPr>
            <w:r w:rsidRPr="00D83073">
              <w:rPr>
                <w:sz w:val="18"/>
              </w:rPr>
              <w:fldChar w:fldCharType="begin" w:fldLock="1"/>
            </w:r>
            <w:r w:rsidRPr="00D83073">
              <w:rPr>
                <w:sz w:val="18"/>
              </w:rPr>
              <w:instrText>ADDIN CSL_CITATION {"citationItems":[{"id":"ITEM-1","itemData":{"DOI":"10.1093/toxsci/kfs122","ISBN":"1096-0929 (Electronic)\\r1096-0929 (Linking)","ISSN":"10966080","PMID":"22454432","abstract":"Numerous publications have documented that the immortal cells grown in three-dimensional (3D) cultures possess physiological behavior, which is more reminiscent of their parental organ than when the same cells are cultivated using classical two-dimensional (2D) culture techniques. The goal of this study was to investigate whether this observation could be extended to the determination of LD(50) values and whether 3D data could be correlated to in vivo observations. We developed a noninvasive means to estimate the amount of protein present in a 3D spheroid from it is planar area (± 21%) so that a precise dose can be provided in a manner similar to in vivo studies. This avoided correction of the actual dose given based on a protein determination after treatment (when some cells may have lysed). Conversion of published in vitro LC(50) data (mM) for six common drugs (acetaminophen, amiodarone, diclofenac, metformin, phenformin, and valproic acid) to LD(50) data (mg compound/mg cellular protein) showed that the variation in LD(50) values was generally less than that suggested by the original LC(50) data. Toxicological analysis of these six compounds in 3D spheroid culture (either published or presented here) demonstrated similar LD(50) values. Although in vitro 2D HepG2 data showed a poor correlation, the primary hepatocyte and 3D spheroid data resulted in a much higher degree of correlation with in vivo lethal blood plasma levels. These results corroborate that 3D hepatocyte cultures are significantly different from 2D cultures and are more representative of the liver in vivo.","author":[{"dropping-particle":"","family":"Fey","given":"Stephen J.","non-dropping-particle":"","parse-names":false,"suffix":""},{"dropping-particle":"","family":"Wrzesinski","given":"Krzysztof","non-dropping-particle":"","parse-names":false,"suffix":""}],"container-title":"Toxicological Sciences","id":"ITEM-1","issue":"2","issued":{"date-parts":[["2012"]]},"page":"403-411","title":"Determination of drug toxicity using 3D spheroids constructed from an immortal human hepatocyte cell line","type":"article-journal","volume":"127"},"uris":["http://www.mendeley.com/documents/?uuid=a300e023-d440-4843-ab02-064277333d3f"]}],"mendeley":{"formattedCitation":"(Fey and Wrzesinski, 2012)","plainTextFormattedCitation":"(Fey and Wrzesinski, 2012)","previouslyFormattedCitation":"(Fey and Wrzesinski, 2012)"},"properties":{"noteIndex":0},"schema":"https://github.com/citation-style-language/schema/raw/master/csl-citation.json"}</w:instrText>
            </w:r>
            <w:r w:rsidRPr="00D83073">
              <w:rPr>
                <w:sz w:val="18"/>
              </w:rPr>
              <w:fldChar w:fldCharType="separate"/>
            </w:r>
            <w:r w:rsidRPr="00D83073">
              <w:rPr>
                <w:noProof/>
                <w:sz w:val="18"/>
              </w:rPr>
              <w:t>(Fey and Wrzesinski, 2012)</w:t>
            </w:r>
            <w:r w:rsidRPr="00D83073">
              <w:rPr>
                <w:sz w:val="18"/>
              </w:rPr>
              <w:fldChar w:fldCharType="end"/>
            </w:r>
          </w:p>
        </w:tc>
      </w:tr>
      <w:tr w:rsidR="00DE184F" w:rsidRPr="00496FC3" w14:paraId="0E6518DA" w14:textId="77777777" w:rsidTr="00007CB5">
        <w:trPr>
          <w:trHeight w:val="271"/>
          <w:jc w:val="center"/>
        </w:trPr>
        <w:tc>
          <w:tcPr>
            <w:tcW w:w="1560" w:type="dxa"/>
            <w:vMerge/>
            <w:shd w:val="clear" w:color="auto" w:fill="auto"/>
            <w:noWrap/>
            <w:vAlign w:val="center"/>
          </w:tcPr>
          <w:p w14:paraId="0159A37F" w14:textId="77777777" w:rsidR="00DE184F" w:rsidRPr="00496FC3" w:rsidRDefault="00DE184F" w:rsidP="004C2E3E">
            <w:pPr>
              <w:spacing w:before="0" w:after="0"/>
              <w:contextualSpacing/>
              <w:rPr>
                <w:sz w:val="18"/>
              </w:rPr>
            </w:pPr>
          </w:p>
        </w:tc>
        <w:tc>
          <w:tcPr>
            <w:tcW w:w="2835" w:type="dxa"/>
            <w:shd w:val="clear" w:color="auto" w:fill="auto"/>
            <w:noWrap/>
            <w:vAlign w:val="center"/>
          </w:tcPr>
          <w:p w14:paraId="66E1FDC7" w14:textId="77777777" w:rsidR="00DE184F" w:rsidRPr="00496FC3" w:rsidRDefault="00DE184F" w:rsidP="004C2E3E">
            <w:pPr>
              <w:spacing w:before="0" w:after="0"/>
              <w:contextualSpacing/>
              <w:rPr>
                <w:sz w:val="18"/>
              </w:rPr>
            </w:pPr>
            <w:r w:rsidRPr="00496FC3">
              <w:rPr>
                <w:sz w:val="18"/>
              </w:rPr>
              <w:t>3D Spheroids on Agarose overlay</w:t>
            </w:r>
          </w:p>
        </w:tc>
        <w:tc>
          <w:tcPr>
            <w:tcW w:w="1842" w:type="dxa"/>
            <w:shd w:val="clear" w:color="auto" w:fill="auto"/>
            <w:vAlign w:val="center"/>
          </w:tcPr>
          <w:p w14:paraId="06D1A670" w14:textId="77777777" w:rsidR="00DE184F" w:rsidRPr="00496FC3" w:rsidRDefault="00DE184F" w:rsidP="004C2E3E">
            <w:pPr>
              <w:spacing w:before="0" w:after="0"/>
              <w:contextualSpacing/>
              <w:rPr>
                <w:sz w:val="18"/>
              </w:rPr>
            </w:pPr>
            <w:r w:rsidRPr="00496FC3">
              <w:rPr>
                <w:sz w:val="18"/>
              </w:rPr>
              <w:t>24h</w:t>
            </w:r>
          </w:p>
        </w:tc>
        <w:tc>
          <w:tcPr>
            <w:tcW w:w="1418" w:type="dxa"/>
            <w:shd w:val="clear" w:color="auto" w:fill="auto"/>
            <w:noWrap/>
            <w:vAlign w:val="center"/>
          </w:tcPr>
          <w:p w14:paraId="33EAD3AE" w14:textId="77777777" w:rsidR="00DE184F" w:rsidRPr="00496FC3" w:rsidRDefault="00DE184F" w:rsidP="004C2E3E">
            <w:pPr>
              <w:spacing w:before="0" w:after="0"/>
              <w:contextualSpacing/>
              <w:rPr>
                <w:sz w:val="18"/>
              </w:rPr>
            </w:pPr>
            <w:r w:rsidRPr="00496FC3">
              <w:rPr>
                <w:sz w:val="18"/>
              </w:rPr>
              <w:t>7.2</w:t>
            </w:r>
          </w:p>
        </w:tc>
        <w:tc>
          <w:tcPr>
            <w:tcW w:w="1984" w:type="dxa"/>
            <w:vMerge/>
            <w:shd w:val="clear" w:color="auto" w:fill="auto"/>
            <w:noWrap/>
            <w:vAlign w:val="center"/>
          </w:tcPr>
          <w:p w14:paraId="52C78E81" w14:textId="5C687A74" w:rsidR="00DE184F" w:rsidRPr="00496FC3" w:rsidRDefault="00DE184F" w:rsidP="004C2E3E">
            <w:pPr>
              <w:spacing w:before="0" w:after="0"/>
              <w:contextualSpacing/>
              <w:rPr>
                <w:sz w:val="18"/>
              </w:rPr>
            </w:pPr>
          </w:p>
        </w:tc>
        <w:tc>
          <w:tcPr>
            <w:tcW w:w="3687" w:type="dxa"/>
            <w:vAlign w:val="center"/>
          </w:tcPr>
          <w:p w14:paraId="4CB2D1F7" w14:textId="0CF32466" w:rsidR="00DE184F" w:rsidRDefault="00DE184F" w:rsidP="004C2E3E">
            <w:pPr>
              <w:spacing w:before="0" w:after="0"/>
              <w:contextualSpacing/>
              <w:rPr>
                <w:sz w:val="18"/>
              </w:rPr>
            </w:pPr>
            <w:r>
              <w:rPr>
                <w:sz w:val="18"/>
              </w:rPr>
              <w:t>CYP2E1 expression and transporter function | NA</w:t>
            </w:r>
          </w:p>
        </w:tc>
        <w:tc>
          <w:tcPr>
            <w:tcW w:w="1231" w:type="dxa"/>
            <w:shd w:val="clear" w:color="auto" w:fill="auto"/>
            <w:vAlign w:val="center"/>
          </w:tcPr>
          <w:p w14:paraId="032DC82D" w14:textId="77777777" w:rsidR="00DE184F" w:rsidRPr="00D83073" w:rsidRDefault="00DE184F" w:rsidP="004C2E3E">
            <w:pPr>
              <w:spacing w:before="0" w:after="0"/>
              <w:contextualSpacing/>
              <w:rPr>
                <w:sz w:val="18"/>
              </w:rPr>
            </w:pPr>
            <w:r w:rsidRPr="00D83073">
              <w:rPr>
                <w:sz w:val="18"/>
              </w:rPr>
              <w:fldChar w:fldCharType="begin" w:fldLock="1"/>
            </w:r>
            <w:r w:rsidRPr="00D83073">
              <w:rPr>
                <w:sz w:val="18"/>
              </w:rPr>
              <w:instrText>ADDIN CSL_CITATION {"citationItems":[{"id":"ITEM-1","itemData":{"DOI":"10.1039/c6tx00101g","ISSN":"20454538","abstract":"More predictive in vitro liver models are a critical requirement for preclinical screening of compounds demonstrating hepatotoxic liability. 3D liver spheroids have been shown to have an enhanced functional lifespan compared to 2D monocultures; however a detailed characterisation of spatiotemporal function and structure of spheroids still needs further attention before widespread use in industry. We have developed and characterized the structure and function of a 3D liver spheroid model formed from C3A hepatoma cells. Spheroids were viable and maintained a compact in vivo-like structure with zonation features for up to 32 days. MRP2 and Pgp transporters had polarised expression on the canalicular membrane of cells in the spheroids and were able to functionally transport CMFDA substrate into these canalicular structures. Spheroids expressed CYP2E1 and were able to synthesise and secrete albumin and urea to a higher degree than monolayer C3A cultures. Penetration of doxorubicin throughout the spheroid core was demonstrated. Spheroids showed increased susceptibility to hepatotoxins when compared to 2D cultures, with acetaminophen having an IC50 of 7.2 mM in spheroids compared to 33.8 mM in monolayer culture. To conclude, we developed an alternative method for creating C3A liver spheroids and demonstrated cellular polarisation and zonation, as well as superior liver-specific functionality and more sensitive toxicological response compared to standard 2D liver models, confirming a more in vivo-like liver model.","author":[{"dropping-particle":"","family":"Gaskell","given":"Harriet","non-dropping-particle":"","parse-names":false,"suffix":""},{"dropping-particle":"","family":"Sharma","given":"Parveen","non-dropping-particle":"","parse-names":false,"suffix":""},{"dropping-particle":"","family":"Colley","given":"Helen E.","non-dropping-particle":"","parse-names":false,"suffix":""},{"dropping-particle":"","family":"Murdoch","given":"Craig","non-dropping-particle":"","parse-names":false,"suffix":""},{"dropping-particle":"","family":"Williams","given":"Dominic P.","non-dropping-particle":"","parse-names":false,"suffix":""},{"dropping-particle":"","family":"Webb","given":"Steven D.","non-dropping-particle":"","parse-names":false,"suffix":""}],"container-title":"Toxicology Research","id":"ITEM-1","issue":"4","issued":{"date-parts":[["2016"]]},"page":"1053–1065","title":"Characterization of a functional C3A liver spheroid model","type":"article-journal","volume":"5"},"uris":["http://www.mendeley.com/documents/?uuid=e9226fa3-fe16-454d-ad66-e1a2f6dca436","http://www.mendeley.com/documents/?uuid=3d35c72f-245e-427f-b2d5-16330c7a0fe9"]}],"mendeley":{"formattedCitation":"(Gaskell et al., 2016)","plainTextFormattedCitation":"(Gaskell et al., 2016)","previouslyFormattedCitation":"(Gaskell et al., 2016)"},"properties":{"noteIndex":0},"schema":"https://github.com/citation-style-language/schema/raw/master/csl-citation.json"}</w:instrText>
            </w:r>
            <w:r w:rsidRPr="00D83073">
              <w:rPr>
                <w:sz w:val="18"/>
              </w:rPr>
              <w:fldChar w:fldCharType="separate"/>
            </w:r>
            <w:r w:rsidRPr="00D83073">
              <w:rPr>
                <w:noProof/>
                <w:sz w:val="18"/>
              </w:rPr>
              <w:t>(Gaskell et al., 2016)</w:t>
            </w:r>
            <w:r w:rsidRPr="00D83073">
              <w:rPr>
                <w:sz w:val="18"/>
              </w:rPr>
              <w:fldChar w:fldCharType="end"/>
            </w:r>
          </w:p>
        </w:tc>
      </w:tr>
      <w:tr w:rsidR="004C2E3E" w:rsidRPr="00531E06" w14:paraId="2DEFCE52" w14:textId="77777777" w:rsidTr="00007CB5">
        <w:trPr>
          <w:trHeight w:val="576"/>
          <w:jc w:val="center"/>
        </w:trPr>
        <w:tc>
          <w:tcPr>
            <w:tcW w:w="1560" w:type="dxa"/>
            <w:vMerge/>
            <w:shd w:val="clear" w:color="auto" w:fill="auto"/>
            <w:vAlign w:val="center"/>
          </w:tcPr>
          <w:p w14:paraId="57772702" w14:textId="77777777" w:rsidR="004C2E3E" w:rsidRPr="00496FC3" w:rsidRDefault="004C2E3E" w:rsidP="004C2E3E">
            <w:pPr>
              <w:spacing w:before="0" w:after="0"/>
              <w:contextualSpacing/>
              <w:rPr>
                <w:sz w:val="18"/>
              </w:rPr>
            </w:pPr>
          </w:p>
        </w:tc>
        <w:tc>
          <w:tcPr>
            <w:tcW w:w="2835" w:type="dxa"/>
            <w:shd w:val="clear" w:color="auto" w:fill="auto"/>
            <w:vAlign w:val="center"/>
          </w:tcPr>
          <w:p w14:paraId="112050F8" w14:textId="77777777" w:rsidR="004C2E3E" w:rsidRPr="00496FC3" w:rsidRDefault="004C2E3E" w:rsidP="004C2E3E">
            <w:pPr>
              <w:spacing w:before="0" w:after="0"/>
              <w:contextualSpacing/>
              <w:rPr>
                <w:sz w:val="18"/>
              </w:rPr>
            </w:pPr>
            <w:r w:rsidRPr="00496FC3">
              <w:rPr>
                <w:sz w:val="18"/>
              </w:rPr>
              <w:t>3D Spheroids on a perfused microbioreactor</w:t>
            </w:r>
          </w:p>
        </w:tc>
        <w:tc>
          <w:tcPr>
            <w:tcW w:w="1842" w:type="dxa"/>
            <w:shd w:val="clear" w:color="auto" w:fill="auto"/>
            <w:vAlign w:val="center"/>
          </w:tcPr>
          <w:p w14:paraId="1FCEFA62" w14:textId="77777777" w:rsidR="004C2E3E" w:rsidRPr="00496FC3" w:rsidRDefault="004C2E3E" w:rsidP="004C2E3E">
            <w:pPr>
              <w:spacing w:before="0" w:after="0"/>
              <w:contextualSpacing/>
              <w:rPr>
                <w:sz w:val="18"/>
              </w:rPr>
            </w:pPr>
            <w:r w:rsidRPr="00496FC3">
              <w:rPr>
                <w:sz w:val="18"/>
              </w:rPr>
              <w:t>12h</w:t>
            </w:r>
          </w:p>
        </w:tc>
        <w:tc>
          <w:tcPr>
            <w:tcW w:w="1418" w:type="dxa"/>
            <w:shd w:val="clear" w:color="auto" w:fill="auto"/>
            <w:noWrap/>
            <w:vAlign w:val="center"/>
          </w:tcPr>
          <w:p w14:paraId="62685598" w14:textId="77777777" w:rsidR="004C2E3E" w:rsidRPr="00496FC3" w:rsidRDefault="004C2E3E" w:rsidP="004C2E3E">
            <w:pPr>
              <w:spacing w:before="0" w:after="0"/>
              <w:contextualSpacing/>
              <w:rPr>
                <w:sz w:val="18"/>
              </w:rPr>
            </w:pPr>
            <w:r w:rsidRPr="00496FC3">
              <w:rPr>
                <w:sz w:val="18"/>
              </w:rPr>
              <w:t>12.3</w:t>
            </w:r>
          </w:p>
        </w:tc>
        <w:tc>
          <w:tcPr>
            <w:tcW w:w="1984" w:type="dxa"/>
            <w:shd w:val="clear" w:color="auto" w:fill="auto"/>
            <w:noWrap/>
            <w:vAlign w:val="center"/>
          </w:tcPr>
          <w:p w14:paraId="57A899CF" w14:textId="77777777" w:rsidR="004C2E3E" w:rsidRPr="00496FC3" w:rsidRDefault="004C2E3E" w:rsidP="004C2E3E">
            <w:pPr>
              <w:spacing w:before="0" w:after="0"/>
              <w:contextualSpacing/>
              <w:rPr>
                <w:sz w:val="18"/>
              </w:rPr>
            </w:pPr>
            <w:r w:rsidRPr="00496FC3">
              <w:rPr>
                <w:sz w:val="18"/>
              </w:rPr>
              <w:t>TUNEL assay</w:t>
            </w:r>
          </w:p>
        </w:tc>
        <w:tc>
          <w:tcPr>
            <w:tcW w:w="3687" w:type="dxa"/>
            <w:vAlign w:val="center"/>
          </w:tcPr>
          <w:p w14:paraId="7A21821F" w14:textId="4D806D09" w:rsidR="004C2E3E" w:rsidRPr="00601DCD" w:rsidRDefault="004C2E3E" w:rsidP="004C2E3E">
            <w:pPr>
              <w:spacing w:before="0" w:after="0"/>
              <w:contextualSpacing/>
              <w:rPr>
                <w:sz w:val="18"/>
              </w:rPr>
            </w:pPr>
            <w:r>
              <w:rPr>
                <w:sz w:val="18"/>
              </w:rPr>
              <w:t xml:space="preserve">NA | </w:t>
            </w:r>
            <w:r w:rsidRPr="00601DCD">
              <w:rPr>
                <w:sz w:val="18"/>
              </w:rPr>
              <w:t>Mitochondrial function and metabolic activity (oxygen uptake)</w:t>
            </w:r>
            <w:r>
              <w:rPr>
                <w:sz w:val="18"/>
              </w:rPr>
              <w:t xml:space="preserve">, </w:t>
            </w:r>
            <w:proofErr w:type="spellStart"/>
            <w:r w:rsidRPr="004C1711">
              <w:rPr>
                <w:sz w:val="18"/>
              </w:rPr>
              <w:t>phospholipidosis</w:t>
            </w:r>
            <w:proofErr w:type="spellEnd"/>
            <w:r w:rsidRPr="004C1711">
              <w:rPr>
                <w:sz w:val="18"/>
              </w:rPr>
              <w:t xml:space="preserve"> and </w:t>
            </w:r>
            <w:proofErr w:type="spellStart"/>
            <w:r w:rsidRPr="004C1711">
              <w:rPr>
                <w:sz w:val="18"/>
              </w:rPr>
              <w:t>microvesicular</w:t>
            </w:r>
            <w:proofErr w:type="spellEnd"/>
            <w:r w:rsidRPr="004C1711">
              <w:rPr>
                <w:sz w:val="18"/>
              </w:rPr>
              <w:t xml:space="preserve"> steatosis induction</w:t>
            </w:r>
          </w:p>
        </w:tc>
        <w:tc>
          <w:tcPr>
            <w:tcW w:w="1231" w:type="dxa"/>
            <w:shd w:val="clear" w:color="auto" w:fill="auto"/>
            <w:noWrap/>
            <w:vAlign w:val="center"/>
          </w:tcPr>
          <w:p w14:paraId="7289DCFD" w14:textId="77777777" w:rsidR="004C2E3E" w:rsidRPr="00D83073" w:rsidRDefault="004C2E3E" w:rsidP="004C2E3E">
            <w:pPr>
              <w:spacing w:before="0" w:after="0"/>
              <w:contextualSpacing/>
              <w:rPr>
                <w:sz w:val="18"/>
              </w:rPr>
            </w:pPr>
            <w:r w:rsidRPr="00D83073">
              <w:rPr>
                <w:sz w:val="18"/>
              </w:rPr>
              <w:fldChar w:fldCharType="begin" w:fldLock="1"/>
            </w:r>
            <w:r w:rsidRPr="00D83073">
              <w:rPr>
                <w:sz w:val="18"/>
              </w:rPr>
              <w:instrText>ADDIN CSL_CITATION {"citationItems":[{"id":"ITEM-1","itemData":{"DOI":"10.1007/s00204-015-1537-2","ISSN":"14320738","abstract":"Prediction of drug-induced toxicity is complicated by the failure of animal models to extrapolate human response, especially during assessment of repeated dose toxicity for cosmetic or chronic drug treatments. In this work, we present a 3D microreactor capable of maintaining metabolically active HepG2/C3A spheroids for over 28 days in vitro under stable oxygen gradients mimicking the in vivo microenvironment. Mitochondrial respiration was monitored using two-frequency phase modulation of phosphorescent microprobes embedded in the tissue. Phase modulation is focus independent and unaffected by cell death or migration. This sensitive measurement of oxygen dynamics revealed important information on the drug mechanism of action and transient subthreshold effects. Specifically, exposure to antiarrhythmic agent, amiodarone, showed that both respiration and the time to onset of mitochondrial damage were dose dependent showing a TC50 of 425 μm. Analysis showed significant induction of both phospholipidosis and microvesicular steatosis during long-term exposure. Importantly, exposure to widely used analgesic, acetaminophen, caused an immediate, reversible, dose-dependent loss of oxygen uptake followed by a slow, irreversible, dose-independent death, with a TC50 of 12.3 mM. Transient loss of mitochondrial respiration was also detected below the threshold of acetaminophen toxicity. The phenomenon was repeated in HeLa cells that lack CYP2E1 and 3A4, and was blocked by preincubation with ascorbate and TMPD. These results mark the importance of tracing toxicity effects over time, suggesting a NAPQI-independent targeting of mitochondrial complex III might be responsible for acetaminophen toxicity in extrahepatic tissues.","author":[{"dropping-particle":"","family":"Prill","given":"Sebastian","non-dropping-particle":"","parse-names":false,"suffix":""},{"dropping-particle":"","family":"Bavli","given":"Danny","non-dropping-particle":"","parse-names":false,"suffix":""},{"dropping-particle":"","family":"Levy","given":"Gahl","non-dropping-particle":"","parse-names":false,"suffix":""},{"dropping-particle":"","family":"Ezra","given":"Elishai","non-dropping-particle":"","parse-names":false,"suffix":""},{"dropping-particle":"","family":"Schmälzlin","given":"Elmar","non-dropping-particle":"","parse-names":false,"suffix":""},{"dropping-particle":"","family":"Jaeger","given":"Magnus S.","non-dropping-particle":"","parse-names":false,"suffix":""},{"dropping-particle":"","family":"Schwarz","given":"Michael","non-dropping-particle":"","parse-names":false,"suffix":""},{"dropping-particle":"","family":"Duschl","given":"Claus","non-dropping-particle":"","parse-names":false,"suffix":""},{"dropping-particle":"","family":"Cohen","given":"Merav","non-dropping-particle":"","parse-names":false,"suffix":""},{"dropping-particle":"","family":"Nahmias","given":"Yaakov","non-dropping-particle":"","parse-names":false,"suffix":""}],"container-title":"Archives of Toxicology","id":"ITEM-1","issue":"5","issued":{"date-parts":[["2016"]]},"page":"1181-91","title":"Real-time monitoring of oxygen uptake in hepatic bioreactor shows CYP450-independent mitochondrial toxicity of acetaminophen and amiodarone","type":"article-journal","volume":"90"},"uris":["http://www.mendeley.com/documents/?uuid=3c2b19d2-825f-48ab-b04d-39fe2e9903e0","http://www.mendeley.com/documents/?uuid=96d75931-7fa2-414a-9cb1-73a3bd892d24"]}],"mendeley":{"formattedCitation":"(Prill et al., 2016)","plainTextFormattedCitation":"(Prill et al., 2016)","previouslyFormattedCitation":"(Prill et al., 2016)"},"properties":{"noteIndex":0},"schema":"https://github.com/citation-style-language/schema/raw/master/csl-citation.json"}</w:instrText>
            </w:r>
            <w:r w:rsidRPr="00D83073">
              <w:rPr>
                <w:sz w:val="18"/>
              </w:rPr>
              <w:fldChar w:fldCharType="separate"/>
            </w:r>
            <w:r w:rsidRPr="00D83073">
              <w:rPr>
                <w:noProof/>
                <w:sz w:val="18"/>
              </w:rPr>
              <w:t>(Prill et al., 2016)</w:t>
            </w:r>
            <w:r w:rsidRPr="00D83073">
              <w:rPr>
                <w:sz w:val="18"/>
              </w:rPr>
              <w:fldChar w:fldCharType="end"/>
            </w:r>
          </w:p>
        </w:tc>
      </w:tr>
      <w:tr w:rsidR="004C2E3E" w:rsidRPr="00E076C9" w14:paraId="5C0FA4D2" w14:textId="77777777" w:rsidTr="00007CB5">
        <w:trPr>
          <w:trHeight w:val="381"/>
          <w:jc w:val="center"/>
        </w:trPr>
        <w:tc>
          <w:tcPr>
            <w:tcW w:w="1560" w:type="dxa"/>
            <w:vMerge w:val="restart"/>
            <w:shd w:val="clear" w:color="auto" w:fill="auto"/>
            <w:vAlign w:val="center"/>
          </w:tcPr>
          <w:p w14:paraId="10D2301A" w14:textId="77777777" w:rsidR="004C2E3E" w:rsidRPr="00496FC3" w:rsidRDefault="004C2E3E" w:rsidP="004C2E3E">
            <w:pPr>
              <w:spacing w:before="0" w:after="0"/>
              <w:contextualSpacing/>
              <w:rPr>
                <w:sz w:val="18"/>
              </w:rPr>
            </w:pPr>
            <w:r w:rsidRPr="00496FC3">
              <w:rPr>
                <w:sz w:val="18"/>
              </w:rPr>
              <w:t>Hep3B</w:t>
            </w:r>
          </w:p>
        </w:tc>
        <w:tc>
          <w:tcPr>
            <w:tcW w:w="2835" w:type="dxa"/>
            <w:shd w:val="clear" w:color="auto" w:fill="auto"/>
            <w:vAlign w:val="center"/>
          </w:tcPr>
          <w:p w14:paraId="6A8C07B8" w14:textId="77777777" w:rsidR="004C2E3E" w:rsidRPr="00496FC3" w:rsidRDefault="004C2E3E" w:rsidP="004C2E3E">
            <w:pPr>
              <w:spacing w:before="0" w:after="0"/>
              <w:contextualSpacing/>
              <w:rPr>
                <w:sz w:val="18"/>
              </w:rPr>
            </w:pPr>
            <w:r w:rsidRPr="00496FC3">
              <w:rPr>
                <w:sz w:val="18"/>
              </w:rPr>
              <w:t>2D</w:t>
            </w:r>
          </w:p>
        </w:tc>
        <w:tc>
          <w:tcPr>
            <w:tcW w:w="1842" w:type="dxa"/>
            <w:shd w:val="clear" w:color="auto" w:fill="auto"/>
            <w:vAlign w:val="center"/>
          </w:tcPr>
          <w:p w14:paraId="1911197A" w14:textId="77777777" w:rsidR="004C2E3E" w:rsidRPr="00496FC3" w:rsidRDefault="004C2E3E" w:rsidP="004C2E3E">
            <w:pPr>
              <w:spacing w:before="0" w:after="0"/>
              <w:contextualSpacing/>
              <w:rPr>
                <w:sz w:val="18"/>
              </w:rPr>
            </w:pPr>
            <w:r w:rsidRPr="00531E06">
              <w:rPr>
                <w:sz w:val="18"/>
              </w:rPr>
              <w:t>72h</w:t>
            </w:r>
          </w:p>
        </w:tc>
        <w:tc>
          <w:tcPr>
            <w:tcW w:w="1418" w:type="dxa"/>
            <w:shd w:val="clear" w:color="auto" w:fill="auto"/>
            <w:noWrap/>
            <w:vAlign w:val="center"/>
          </w:tcPr>
          <w:p w14:paraId="400B2BEC" w14:textId="3C01AE77" w:rsidR="004C2E3E" w:rsidRPr="00496FC3" w:rsidRDefault="004C2E3E" w:rsidP="004C2E3E">
            <w:pPr>
              <w:spacing w:before="0" w:after="0"/>
              <w:contextualSpacing/>
              <w:rPr>
                <w:sz w:val="18"/>
              </w:rPr>
            </w:pPr>
            <w:r>
              <w:rPr>
                <w:sz w:val="18"/>
              </w:rPr>
              <w:t>0.3</w:t>
            </w:r>
          </w:p>
        </w:tc>
        <w:tc>
          <w:tcPr>
            <w:tcW w:w="1984" w:type="dxa"/>
            <w:shd w:val="clear" w:color="auto" w:fill="auto"/>
            <w:noWrap/>
            <w:vAlign w:val="center"/>
          </w:tcPr>
          <w:p w14:paraId="07A0C4F8" w14:textId="77777777" w:rsidR="004C2E3E" w:rsidRPr="00496FC3" w:rsidRDefault="004C2E3E" w:rsidP="004C2E3E">
            <w:pPr>
              <w:spacing w:before="0" w:after="0"/>
              <w:contextualSpacing/>
              <w:rPr>
                <w:sz w:val="18"/>
              </w:rPr>
            </w:pPr>
            <w:r w:rsidRPr="00531E06">
              <w:rPr>
                <w:sz w:val="18"/>
              </w:rPr>
              <w:t>MTT</w:t>
            </w:r>
            <w:r>
              <w:rPr>
                <w:sz w:val="18"/>
              </w:rPr>
              <w:t xml:space="preserve"> Assay</w:t>
            </w:r>
          </w:p>
        </w:tc>
        <w:tc>
          <w:tcPr>
            <w:tcW w:w="3687" w:type="dxa"/>
            <w:vMerge w:val="restart"/>
            <w:vAlign w:val="center"/>
          </w:tcPr>
          <w:p w14:paraId="3DB11577" w14:textId="77777777" w:rsidR="004C2E3E" w:rsidRDefault="004C2E3E" w:rsidP="004C2E3E">
            <w:pPr>
              <w:spacing w:before="0" w:after="0"/>
              <w:contextualSpacing/>
              <w:rPr>
                <w:bCs/>
                <w:sz w:val="18"/>
              </w:rPr>
            </w:pPr>
            <w:r w:rsidRPr="00531E06">
              <w:rPr>
                <w:sz w:val="18"/>
              </w:rPr>
              <w:t>NA</w:t>
            </w:r>
          </w:p>
        </w:tc>
        <w:tc>
          <w:tcPr>
            <w:tcW w:w="1231" w:type="dxa"/>
            <w:vMerge w:val="restart"/>
            <w:shd w:val="clear" w:color="auto" w:fill="auto"/>
            <w:noWrap/>
            <w:vAlign w:val="center"/>
          </w:tcPr>
          <w:p w14:paraId="4D9158FC" w14:textId="77777777" w:rsidR="004C2E3E" w:rsidRPr="00D83073" w:rsidRDefault="004C2E3E"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{"citationItems":[{"id":"ITEM-1","itemData":{"DOI":"10.1007/s00204-017-2126-3","ISSN":"14320738","abstract":"Human liver contains various oxidative and conjugative enzymes that can convert nontoxic parent compounds to toxic metabolites or, conversely, toxic parent compounds to nontoxic metabolites. Unlike primary hepatocytes, which contain myriad drug-metabolizing enzymes (DMEs), but are difficult to culture and maintain physiological levels of DMEs, immortalized hepatic cell lines used in predictive toxicity assays are easy to culture, but lack the ability to metabolize compounds. To address this limitation and predict metabolism-induced hepatotoxicity in high-throughput, we developed an advanced miniaturized three-dimensional (3D) cell culture array (DataChip 2.0) and an advanced metabolizing enzyme microarray (MetaChip 2.0). The DataChip is a functionalized micropillar chip that supports the Hep3B human hepatoma cell line in a 3D microarray format. The MetaChip is a microwell chip containing immobilized DMEs found in the human liver. As a proof of concept for generating compound metabolites in situ on the chip and rapidly assessing their toxicity, 22 model compounds were dispensed into the MetaChip and sandwiched with the DataChip. The IC 50 values obtained from the chip platform were correlated with rat LD 50 values, human C max values, and drug-induced liver injury categories to predict adverse drug reactions in vivo. As a result, the platform had 100% sensitivity, 86% specificity, and 93% overall predictivity at optimum cutoffs of IC 50 and C max values. Therefore, the DataChip/MetaChip platform could be used as a high-throughput, early stage, microscale alternative to conventional in vitro multi-well plate platforms and provide a rapid and inexpensive assessment of metabolism-induced toxicity at early phases of drug development.","author":[{"dropping-particle":"","family":"Yu","given":"Kyeong Nam","non-dropping-particle":"","parse-names":false,"suffix":""},{"dropping-particle":"","family":"Nadanaciva","given":"Sashi","non-dropping-particle":"","parse-names":false,"suffix":""},{"dropping-particle":"","family":"Rana","given":"Payal","non-dropping-particle":"","parse-names":false,"suffix":""},{"dropping-particle":"","family":"Lee","given":"Dong Woo","non-dropping-particle":"","parse-names":false,"suffix":""},{"dropping-particle":"","family":"Ku","given":"Bosung","non-dropping-particle":"","parse-names":false,"suffix":""},{"dropping-particle":"","family":"Roth","given":"Alexander D.","non-dropping-particle":"","parse-names":false,"suffix":""},{"dropping-particle":"","family":"Dordick","given":"Jonathan S.","non-dropping-particle":"","parse-names":false,"suffix":""},{"dropping-particle":"","family":"Will","given":"Yvonne","non-dropping-particle":"","parse-names":false,"suffix":""},{"dropping-particle":"","family":"Lee","given":"Moo Yeal","non-dropping-particle":"","parse-names":false,"suffix":""}],"container-title":"Archives of Toxicology","id":"ITEM-1","issue":"3","issued":{"date-parts":[["2018"]]},"page":"1925-1310","title":"Prediction of metabolism-induced hepatotoxicity on three-dimensional hepatic cell culture and enzyme microarrays","type":"article-journal","volume":"92"},"uris":["http://www.mendeley.com/documents/?uuid=a9b35c0b-2e3f-4a67-af27-fe343444a9ef","http://www.mendeley.com/documents/?uuid=be95fc7a-7b6c-4768-a4ed-df8d2e4b5989"]}],"mendeley":{"formattedCitation":"(Yu et al., 2018)","plainTextFormattedCitation":"(Yu et al., 2018)","previouslyFormattedCitation":"(Yu et al., 2018)"},"properties":{"noteIndex":0},"schema":"https://github.com/citation-style-language/schema/raw/master/csl-citation.json"}</w:instrText>
            </w:r>
            <w:r w:rsidRPr="00D83073">
              <w:rPr>
                <w:sz w:val="18"/>
              </w:rPr>
              <w:fldChar w:fldCharType="separate"/>
            </w:r>
            <w:r w:rsidRPr="00D83073">
              <w:rPr>
                <w:noProof/>
                <w:sz w:val="18"/>
              </w:rPr>
              <w:t>(Yu et al., 2018)</w:t>
            </w:r>
            <w:r w:rsidRPr="00D83073">
              <w:rPr>
                <w:sz w:val="18"/>
              </w:rPr>
              <w:fldChar w:fldCharType="end"/>
            </w:r>
          </w:p>
        </w:tc>
      </w:tr>
      <w:tr w:rsidR="004C2E3E" w:rsidRPr="00E076C9" w14:paraId="011209EA" w14:textId="77777777" w:rsidTr="00007CB5">
        <w:trPr>
          <w:trHeight w:val="381"/>
          <w:jc w:val="center"/>
        </w:trPr>
        <w:tc>
          <w:tcPr>
            <w:tcW w:w="1560" w:type="dxa"/>
            <w:vMerge/>
            <w:shd w:val="clear" w:color="auto" w:fill="auto"/>
            <w:vAlign w:val="center"/>
          </w:tcPr>
          <w:p w14:paraId="5F32EDFE" w14:textId="77777777" w:rsidR="004C2E3E" w:rsidRPr="00496FC3" w:rsidRDefault="004C2E3E" w:rsidP="004C2E3E">
            <w:pPr>
              <w:spacing w:before="0" w:after="0"/>
              <w:contextualSpacing/>
              <w:rPr>
                <w:sz w:val="18"/>
              </w:rPr>
            </w:pPr>
          </w:p>
        </w:tc>
        <w:tc>
          <w:tcPr>
            <w:tcW w:w="2835" w:type="dxa"/>
            <w:shd w:val="clear" w:color="auto" w:fill="auto"/>
            <w:vAlign w:val="center"/>
          </w:tcPr>
          <w:p w14:paraId="3FE12415" w14:textId="77777777" w:rsidR="004C2E3E" w:rsidRPr="00496FC3" w:rsidRDefault="004C2E3E" w:rsidP="004C2E3E">
            <w:pPr>
              <w:spacing w:before="0" w:after="0"/>
              <w:contextualSpacing/>
              <w:rPr>
                <w:sz w:val="18"/>
              </w:rPr>
            </w:pPr>
            <w:r w:rsidRPr="00496FC3">
              <w:rPr>
                <w:sz w:val="18"/>
              </w:rPr>
              <w:t xml:space="preserve">3D </w:t>
            </w:r>
            <w:r>
              <w:rPr>
                <w:sz w:val="18"/>
              </w:rPr>
              <w:t>M</w:t>
            </w:r>
            <w:r w:rsidRPr="00496FC3">
              <w:rPr>
                <w:sz w:val="18"/>
              </w:rPr>
              <w:t xml:space="preserve">iniaturized cell-culture array </w:t>
            </w:r>
            <w:r>
              <w:rPr>
                <w:sz w:val="18"/>
              </w:rPr>
              <w:t>(</w:t>
            </w:r>
            <w:proofErr w:type="spellStart"/>
            <w:r w:rsidRPr="00496FC3">
              <w:rPr>
                <w:sz w:val="18"/>
              </w:rPr>
              <w:t>DataChip</w:t>
            </w:r>
            <w:proofErr w:type="spellEnd"/>
            <w:r>
              <w:rPr>
                <w:sz w:val="18"/>
              </w:rPr>
              <w:t xml:space="preserve"> + </w:t>
            </w:r>
            <w:proofErr w:type="spellStart"/>
            <w:r>
              <w:rPr>
                <w:sz w:val="18"/>
              </w:rPr>
              <w:t>Metachip</w:t>
            </w:r>
            <w:proofErr w:type="spellEnd"/>
            <w:r>
              <w:rPr>
                <w:sz w:val="18"/>
              </w:rPr>
              <w:t>)</w:t>
            </w:r>
          </w:p>
        </w:tc>
        <w:tc>
          <w:tcPr>
            <w:tcW w:w="1842" w:type="dxa"/>
            <w:vMerge w:val="restart"/>
            <w:shd w:val="clear" w:color="auto" w:fill="auto"/>
            <w:vAlign w:val="center"/>
          </w:tcPr>
          <w:p w14:paraId="3B32084E" w14:textId="77777777" w:rsidR="004C2E3E" w:rsidRPr="00531E06" w:rsidRDefault="004C2E3E" w:rsidP="004C2E3E">
            <w:pPr>
              <w:spacing w:before="0" w:after="0"/>
              <w:contextualSpacing/>
              <w:rPr>
                <w:sz w:val="18"/>
              </w:rPr>
            </w:pPr>
            <w:r w:rsidRPr="00531E06">
              <w:rPr>
                <w:sz w:val="18"/>
              </w:rPr>
              <w:t>24</w:t>
            </w:r>
            <w:r>
              <w:rPr>
                <w:sz w:val="18"/>
              </w:rPr>
              <w:t>h</w:t>
            </w:r>
          </w:p>
        </w:tc>
        <w:tc>
          <w:tcPr>
            <w:tcW w:w="1418" w:type="dxa"/>
            <w:shd w:val="clear" w:color="auto" w:fill="auto"/>
            <w:noWrap/>
            <w:vAlign w:val="center"/>
          </w:tcPr>
          <w:p w14:paraId="0975678A" w14:textId="16ABF5A5" w:rsidR="004C2E3E" w:rsidRPr="00531E06" w:rsidRDefault="004C2E3E" w:rsidP="004C2E3E">
            <w:pPr>
              <w:spacing w:before="0" w:after="0"/>
              <w:contextualSpacing/>
              <w:rPr>
                <w:sz w:val="18"/>
              </w:rPr>
            </w:pPr>
            <w:r w:rsidRPr="00531E06">
              <w:rPr>
                <w:sz w:val="18"/>
              </w:rPr>
              <w:t>1</w:t>
            </w:r>
            <w:r>
              <w:rPr>
                <w:sz w:val="18"/>
              </w:rPr>
              <w:t>.200</w:t>
            </w:r>
          </w:p>
        </w:tc>
        <w:tc>
          <w:tcPr>
            <w:tcW w:w="1984" w:type="dxa"/>
            <w:vMerge w:val="restart"/>
            <w:shd w:val="clear" w:color="auto" w:fill="auto"/>
            <w:noWrap/>
            <w:vAlign w:val="center"/>
          </w:tcPr>
          <w:p w14:paraId="7811CC61" w14:textId="37405FE5" w:rsidR="004C2E3E" w:rsidRPr="00531E06" w:rsidRDefault="004C2E3E" w:rsidP="004C2E3E">
            <w:pPr>
              <w:spacing w:before="0" w:after="0"/>
              <w:contextualSpacing/>
              <w:rPr>
                <w:sz w:val="18"/>
              </w:rPr>
            </w:pPr>
            <w:proofErr w:type="spellStart"/>
            <w:r w:rsidRPr="00531E06">
              <w:rPr>
                <w:sz w:val="18"/>
              </w:rPr>
              <w:t>Calcein</w:t>
            </w:r>
            <w:proofErr w:type="spellEnd"/>
            <w:r w:rsidRPr="00531E06">
              <w:rPr>
                <w:sz w:val="18"/>
              </w:rPr>
              <w:t>-AM (live) / ethidium homodimer- (dead) fluorescence</w:t>
            </w:r>
          </w:p>
        </w:tc>
        <w:tc>
          <w:tcPr>
            <w:tcW w:w="3687" w:type="dxa"/>
            <w:vMerge/>
            <w:vAlign w:val="center"/>
          </w:tcPr>
          <w:p w14:paraId="5DDAAEBB" w14:textId="77777777" w:rsidR="004C2E3E" w:rsidRDefault="004C2E3E" w:rsidP="004C2E3E">
            <w:pPr>
              <w:spacing w:before="0" w:after="0"/>
              <w:contextualSpacing/>
              <w:rPr>
                <w:bCs/>
                <w:sz w:val="18"/>
              </w:rPr>
            </w:pPr>
          </w:p>
        </w:tc>
        <w:tc>
          <w:tcPr>
            <w:tcW w:w="1231" w:type="dxa"/>
            <w:vMerge/>
            <w:shd w:val="clear" w:color="auto" w:fill="auto"/>
            <w:noWrap/>
            <w:vAlign w:val="center"/>
          </w:tcPr>
          <w:p w14:paraId="296E21C3" w14:textId="77777777" w:rsidR="004C2E3E" w:rsidRPr="00D83073" w:rsidRDefault="004C2E3E" w:rsidP="004C2E3E">
            <w:pPr>
              <w:spacing w:before="0" w:after="0"/>
              <w:contextualSpacing/>
              <w:rPr>
                <w:bCs/>
                <w:sz w:val="18"/>
              </w:rPr>
            </w:pPr>
          </w:p>
        </w:tc>
      </w:tr>
      <w:tr w:rsidR="004C2E3E" w:rsidRPr="00E076C9" w14:paraId="7C70B39C" w14:textId="77777777" w:rsidTr="00007CB5">
        <w:trPr>
          <w:trHeight w:val="381"/>
          <w:jc w:val="center"/>
        </w:trPr>
        <w:tc>
          <w:tcPr>
            <w:tcW w:w="1560" w:type="dxa"/>
            <w:vMerge/>
            <w:shd w:val="clear" w:color="auto" w:fill="auto"/>
            <w:vAlign w:val="center"/>
          </w:tcPr>
          <w:p w14:paraId="2C1301D8" w14:textId="77777777" w:rsidR="004C2E3E" w:rsidRPr="00496FC3" w:rsidRDefault="004C2E3E" w:rsidP="004C2E3E">
            <w:pPr>
              <w:spacing w:before="0" w:after="0"/>
              <w:contextualSpacing/>
              <w:rPr>
                <w:sz w:val="18"/>
              </w:rPr>
            </w:pPr>
          </w:p>
        </w:tc>
        <w:tc>
          <w:tcPr>
            <w:tcW w:w="2835" w:type="dxa"/>
            <w:shd w:val="clear" w:color="auto" w:fill="auto"/>
            <w:vAlign w:val="center"/>
          </w:tcPr>
          <w:p w14:paraId="703A78E9" w14:textId="77777777" w:rsidR="004C2E3E" w:rsidRPr="00496FC3" w:rsidRDefault="004C2E3E" w:rsidP="004C2E3E">
            <w:pPr>
              <w:spacing w:before="0" w:after="0"/>
              <w:contextualSpacing/>
              <w:rPr>
                <w:sz w:val="18"/>
              </w:rPr>
            </w:pPr>
            <w:r w:rsidRPr="00496FC3">
              <w:rPr>
                <w:sz w:val="18"/>
              </w:rPr>
              <w:t xml:space="preserve">3D </w:t>
            </w:r>
            <w:r>
              <w:rPr>
                <w:sz w:val="18"/>
              </w:rPr>
              <w:t>M</w:t>
            </w:r>
            <w:r w:rsidRPr="00496FC3">
              <w:rPr>
                <w:sz w:val="18"/>
              </w:rPr>
              <w:t xml:space="preserve">iniaturized cell-culture array </w:t>
            </w:r>
            <w:r>
              <w:rPr>
                <w:sz w:val="18"/>
              </w:rPr>
              <w:t>(</w:t>
            </w:r>
            <w:proofErr w:type="spellStart"/>
            <w:r w:rsidRPr="00496FC3">
              <w:rPr>
                <w:sz w:val="18"/>
              </w:rPr>
              <w:t>DataChip</w:t>
            </w:r>
            <w:proofErr w:type="spellEnd"/>
            <w:r>
              <w:rPr>
                <w:sz w:val="18"/>
              </w:rPr>
              <w:t>) + CYP450 enzymes (</w:t>
            </w:r>
            <w:proofErr w:type="spellStart"/>
            <w:r>
              <w:rPr>
                <w:sz w:val="18"/>
              </w:rPr>
              <w:t>M</w:t>
            </w:r>
            <w:r w:rsidRPr="00496FC3">
              <w:rPr>
                <w:sz w:val="18"/>
              </w:rPr>
              <w:t>etaChip</w:t>
            </w:r>
            <w:proofErr w:type="spellEnd"/>
            <w:r>
              <w:rPr>
                <w:sz w:val="18"/>
              </w:rPr>
              <w:t>)</w:t>
            </w:r>
          </w:p>
        </w:tc>
        <w:tc>
          <w:tcPr>
            <w:tcW w:w="1842" w:type="dxa"/>
            <w:vMerge/>
            <w:shd w:val="clear" w:color="auto" w:fill="auto"/>
            <w:vAlign w:val="center"/>
          </w:tcPr>
          <w:p w14:paraId="0E3D65E4" w14:textId="77777777" w:rsidR="004C2E3E" w:rsidRPr="00531E06" w:rsidRDefault="004C2E3E" w:rsidP="004C2E3E">
            <w:pPr>
              <w:spacing w:before="0" w:after="0"/>
              <w:contextualSpacing/>
              <w:rPr>
                <w:sz w:val="18"/>
              </w:rPr>
            </w:pPr>
          </w:p>
        </w:tc>
        <w:tc>
          <w:tcPr>
            <w:tcW w:w="1418" w:type="dxa"/>
            <w:shd w:val="clear" w:color="auto" w:fill="auto"/>
            <w:noWrap/>
            <w:vAlign w:val="center"/>
          </w:tcPr>
          <w:p w14:paraId="647A9299" w14:textId="77777777" w:rsidR="004C2E3E" w:rsidRPr="00531E06" w:rsidRDefault="004C2E3E" w:rsidP="004C2E3E">
            <w:pPr>
              <w:spacing w:before="0" w:after="0"/>
              <w:contextualSpacing/>
              <w:rPr>
                <w:sz w:val="18"/>
              </w:rPr>
            </w:pPr>
            <w:r>
              <w:rPr>
                <w:sz w:val="18"/>
              </w:rPr>
              <w:t>0.0</w:t>
            </w:r>
            <w:r w:rsidRPr="00531E06">
              <w:rPr>
                <w:sz w:val="18"/>
              </w:rPr>
              <w:t>68</w:t>
            </w:r>
          </w:p>
        </w:tc>
        <w:tc>
          <w:tcPr>
            <w:tcW w:w="1984" w:type="dxa"/>
            <w:vMerge/>
            <w:shd w:val="clear" w:color="auto" w:fill="auto"/>
            <w:noWrap/>
            <w:vAlign w:val="center"/>
          </w:tcPr>
          <w:p w14:paraId="4D56EF51" w14:textId="77777777" w:rsidR="004C2E3E" w:rsidRPr="00531E06" w:rsidRDefault="004C2E3E" w:rsidP="004C2E3E">
            <w:pPr>
              <w:spacing w:before="0" w:after="0"/>
              <w:contextualSpacing/>
              <w:rPr>
                <w:sz w:val="18"/>
              </w:rPr>
            </w:pPr>
          </w:p>
        </w:tc>
        <w:tc>
          <w:tcPr>
            <w:tcW w:w="3687" w:type="dxa"/>
            <w:vMerge/>
            <w:vAlign w:val="center"/>
          </w:tcPr>
          <w:p w14:paraId="1B27DA4F" w14:textId="77777777" w:rsidR="004C2E3E" w:rsidRDefault="004C2E3E" w:rsidP="004C2E3E">
            <w:pPr>
              <w:spacing w:before="0" w:after="0"/>
              <w:contextualSpacing/>
              <w:rPr>
                <w:bCs/>
                <w:sz w:val="18"/>
              </w:rPr>
            </w:pPr>
          </w:p>
        </w:tc>
        <w:tc>
          <w:tcPr>
            <w:tcW w:w="1231" w:type="dxa"/>
            <w:vMerge/>
            <w:shd w:val="clear" w:color="auto" w:fill="auto"/>
            <w:noWrap/>
            <w:vAlign w:val="center"/>
          </w:tcPr>
          <w:p w14:paraId="62EEC10B" w14:textId="77777777" w:rsidR="004C2E3E" w:rsidRPr="00D83073" w:rsidRDefault="004C2E3E" w:rsidP="004C2E3E">
            <w:pPr>
              <w:spacing w:before="0" w:after="0"/>
              <w:contextualSpacing/>
              <w:rPr>
                <w:bCs/>
                <w:sz w:val="18"/>
              </w:rPr>
            </w:pPr>
          </w:p>
        </w:tc>
      </w:tr>
      <w:tr w:rsidR="004C2E3E" w:rsidRPr="00E076C9" w14:paraId="0D5EAA11" w14:textId="77777777" w:rsidTr="00007CB5">
        <w:trPr>
          <w:trHeight w:val="381"/>
          <w:jc w:val="center"/>
        </w:trPr>
        <w:tc>
          <w:tcPr>
            <w:tcW w:w="1560" w:type="dxa"/>
            <w:vMerge/>
            <w:shd w:val="clear" w:color="auto" w:fill="auto"/>
            <w:vAlign w:val="center"/>
          </w:tcPr>
          <w:p w14:paraId="0AA7681A" w14:textId="77777777" w:rsidR="004C2E3E" w:rsidRPr="00496FC3" w:rsidRDefault="004C2E3E" w:rsidP="004C2E3E">
            <w:pPr>
              <w:spacing w:before="0" w:after="0"/>
              <w:contextualSpacing/>
              <w:rPr>
                <w:sz w:val="18"/>
              </w:rPr>
            </w:pPr>
          </w:p>
        </w:tc>
        <w:tc>
          <w:tcPr>
            <w:tcW w:w="2835" w:type="dxa"/>
            <w:shd w:val="clear" w:color="auto" w:fill="auto"/>
            <w:vAlign w:val="center"/>
          </w:tcPr>
          <w:p w14:paraId="53516DCF" w14:textId="77777777" w:rsidR="004C2E3E" w:rsidRPr="00496FC3" w:rsidRDefault="004C2E3E" w:rsidP="004C2E3E">
            <w:pPr>
              <w:spacing w:before="0" w:after="0"/>
              <w:contextualSpacing/>
              <w:rPr>
                <w:sz w:val="18"/>
              </w:rPr>
            </w:pPr>
            <w:r w:rsidRPr="00496FC3">
              <w:rPr>
                <w:sz w:val="18"/>
              </w:rPr>
              <w:t xml:space="preserve">3D </w:t>
            </w:r>
            <w:r>
              <w:rPr>
                <w:sz w:val="18"/>
              </w:rPr>
              <w:t>M</w:t>
            </w:r>
            <w:r w:rsidRPr="00496FC3">
              <w:rPr>
                <w:sz w:val="18"/>
              </w:rPr>
              <w:t xml:space="preserve">iniaturized cell-culture array </w:t>
            </w:r>
            <w:r>
              <w:rPr>
                <w:sz w:val="18"/>
              </w:rPr>
              <w:t>(</w:t>
            </w:r>
            <w:proofErr w:type="spellStart"/>
            <w:r w:rsidRPr="00496FC3">
              <w:rPr>
                <w:sz w:val="18"/>
              </w:rPr>
              <w:t>DataChip</w:t>
            </w:r>
            <w:proofErr w:type="spellEnd"/>
            <w:r>
              <w:rPr>
                <w:sz w:val="18"/>
              </w:rPr>
              <w:t>) + CYP450 + phase II enzymes (</w:t>
            </w:r>
            <w:proofErr w:type="spellStart"/>
            <w:r>
              <w:rPr>
                <w:sz w:val="18"/>
              </w:rPr>
              <w:t>M</w:t>
            </w:r>
            <w:r w:rsidRPr="00496FC3">
              <w:rPr>
                <w:sz w:val="18"/>
              </w:rPr>
              <w:t>etaChip</w:t>
            </w:r>
            <w:proofErr w:type="spellEnd"/>
            <w:r>
              <w:rPr>
                <w:sz w:val="18"/>
              </w:rPr>
              <w:t>)</w:t>
            </w:r>
          </w:p>
        </w:tc>
        <w:tc>
          <w:tcPr>
            <w:tcW w:w="1842" w:type="dxa"/>
            <w:vMerge/>
            <w:shd w:val="clear" w:color="auto" w:fill="auto"/>
            <w:vAlign w:val="center"/>
          </w:tcPr>
          <w:p w14:paraId="75EE7929" w14:textId="77777777" w:rsidR="004C2E3E" w:rsidRPr="00531E06" w:rsidRDefault="004C2E3E" w:rsidP="004C2E3E">
            <w:pPr>
              <w:spacing w:before="0" w:after="0"/>
              <w:contextualSpacing/>
              <w:rPr>
                <w:sz w:val="18"/>
              </w:rPr>
            </w:pPr>
          </w:p>
        </w:tc>
        <w:tc>
          <w:tcPr>
            <w:tcW w:w="1418" w:type="dxa"/>
            <w:shd w:val="clear" w:color="auto" w:fill="auto"/>
            <w:noWrap/>
            <w:vAlign w:val="center"/>
          </w:tcPr>
          <w:p w14:paraId="58AB075D" w14:textId="133D7FBC" w:rsidR="004C2E3E" w:rsidRPr="00531E06" w:rsidRDefault="004C2E3E" w:rsidP="004C2E3E">
            <w:pPr>
              <w:spacing w:before="0" w:after="0"/>
              <w:contextualSpacing/>
              <w:rPr>
                <w:sz w:val="18"/>
              </w:rPr>
            </w:pPr>
            <w:r w:rsidRPr="00531E06">
              <w:rPr>
                <w:sz w:val="18"/>
              </w:rPr>
              <w:t>&gt; 1</w:t>
            </w:r>
            <w:r>
              <w:rPr>
                <w:sz w:val="18"/>
              </w:rPr>
              <w:t>.200</w:t>
            </w:r>
          </w:p>
        </w:tc>
        <w:tc>
          <w:tcPr>
            <w:tcW w:w="1984" w:type="dxa"/>
            <w:vMerge/>
            <w:shd w:val="clear" w:color="auto" w:fill="auto"/>
            <w:noWrap/>
            <w:vAlign w:val="center"/>
          </w:tcPr>
          <w:p w14:paraId="34466329" w14:textId="77777777" w:rsidR="004C2E3E" w:rsidRPr="00531E06" w:rsidRDefault="004C2E3E" w:rsidP="004C2E3E">
            <w:pPr>
              <w:spacing w:before="0" w:after="0"/>
              <w:contextualSpacing/>
              <w:rPr>
                <w:sz w:val="18"/>
              </w:rPr>
            </w:pPr>
          </w:p>
        </w:tc>
        <w:tc>
          <w:tcPr>
            <w:tcW w:w="3687" w:type="dxa"/>
            <w:vMerge/>
            <w:vAlign w:val="center"/>
          </w:tcPr>
          <w:p w14:paraId="0B56F6B6" w14:textId="77777777" w:rsidR="004C2E3E" w:rsidRDefault="004C2E3E" w:rsidP="004C2E3E">
            <w:pPr>
              <w:spacing w:before="0" w:after="0"/>
              <w:contextualSpacing/>
              <w:rPr>
                <w:bCs/>
                <w:sz w:val="18"/>
              </w:rPr>
            </w:pPr>
          </w:p>
        </w:tc>
        <w:tc>
          <w:tcPr>
            <w:tcW w:w="1231" w:type="dxa"/>
            <w:vMerge/>
            <w:shd w:val="clear" w:color="auto" w:fill="auto"/>
            <w:noWrap/>
            <w:vAlign w:val="center"/>
          </w:tcPr>
          <w:p w14:paraId="22435D4A" w14:textId="77777777" w:rsidR="004C2E3E" w:rsidRPr="00D83073" w:rsidRDefault="004C2E3E" w:rsidP="004C2E3E">
            <w:pPr>
              <w:spacing w:before="0" w:after="0"/>
              <w:contextualSpacing/>
              <w:rPr>
                <w:bCs/>
                <w:sz w:val="18"/>
              </w:rPr>
            </w:pPr>
          </w:p>
        </w:tc>
      </w:tr>
      <w:tr w:rsidR="004C2E3E" w:rsidRPr="00E076C9" w14:paraId="5E6BE565" w14:textId="77777777" w:rsidTr="00007CB5">
        <w:trPr>
          <w:trHeight w:val="381"/>
          <w:jc w:val="center"/>
        </w:trPr>
        <w:tc>
          <w:tcPr>
            <w:tcW w:w="1560" w:type="dxa"/>
            <w:vMerge/>
            <w:shd w:val="clear" w:color="auto" w:fill="auto"/>
            <w:vAlign w:val="center"/>
          </w:tcPr>
          <w:p w14:paraId="03AEFAE9" w14:textId="77777777" w:rsidR="004C2E3E" w:rsidRPr="00496FC3" w:rsidRDefault="004C2E3E" w:rsidP="004C2E3E">
            <w:pPr>
              <w:spacing w:before="0" w:after="0"/>
              <w:contextualSpacing/>
              <w:rPr>
                <w:sz w:val="18"/>
              </w:rPr>
            </w:pPr>
          </w:p>
        </w:tc>
        <w:tc>
          <w:tcPr>
            <w:tcW w:w="2835" w:type="dxa"/>
            <w:shd w:val="clear" w:color="auto" w:fill="auto"/>
            <w:vAlign w:val="center"/>
          </w:tcPr>
          <w:p w14:paraId="6ADC80FA" w14:textId="77777777" w:rsidR="004C2E3E" w:rsidRPr="00496FC3" w:rsidRDefault="004C2E3E" w:rsidP="004C2E3E">
            <w:pPr>
              <w:spacing w:before="0" w:after="0"/>
              <w:contextualSpacing/>
              <w:rPr>
                <w:sz w:val="18"/>
              </w:rPr>
            </w:pPr>
            <w:r w:rsidRPr="00496FC3">
              <w:rPr>
                <w:sz w:val="18"/>
              </w:rPr>
              <w:t xml:space="preserve">3D </w:t>
            </w:r>
            <w:r>
              <w:rPr>
                <w:sz w:val="18"/>
              </w:rPr>
              <w:t>M</w:t>
            </w:r>
            <w:r w:rsidRPr="00496FC3">
              <w:rPr>
                <w:sz w:val="18"/>
              </w:rPr>
              <w:t xml:space="preserve">iniaturized cell-culture array </w:t>
            </w:r>
            <w:r>
              <w:rPr>
                <w:sz w:val="18"/>
              </w:rPr>
              <w:t>(</w:t>
            </w:r>
            <w:proofErr w:type="spellStart"/>
            <w:r w:rsidRPr="00496FC3">
              <w:rPr>
                <w:sz w:val="18"/>
              </w:rPr>
              <w:t>DataChip</w:t>
            </w:r>
            <w:proofErr w:type="spellEnd"/>
            <w:r>
              <w:rPr>
                <w:sz w:val="18"/>
              </w:rPr>
              <w:t>) + human liver microsomes (</w:t>
            </w:r>
            <w:proofErr w:type="spellStart"/>
            <w:r>
              <w:rPr>
                <w:sz w:val="18"/>
              </w:rPr>
              <w:t>M</w:t>
            </w:r>
            <w:r w:rsidRPr="00496FC3">
              <w:rPr>
                <w:sz w:val="18"/>
              </w:rPr>
              <w:t>etaChip</w:t>
            </w:r>
            <w:proofErr w:type="spellEnd"/>
            <w:r>
              <w:rPr>
                <w:sz w:val="18"/>
              </w:rPr>
              <w:t>)</w:t>
            </w:r>
          </w:p>
        </w:tc>
        <w:tc>
          <w:tcPr>
            <w:tcW w:w="1842" w:type="dxa"/>
            <w:vMerge/>
            <w:shd w:val="clear" w:color="auto" w:fill="auto"/>
            <w:vAlign w:val="center"/>
          </w:tcPr>
          <w:p w14:paraId="284CE9D6" w14:textId="77777777" w:rsidR="004C2E3E" w:rsidRPr="00531E06" w:rsidRDefault="004C2E3E" w:rsidP="004C2E3E">
            <w:pPr>
              <w:spacing w:before="0" w:after="0"/>
              <w:contextualSpacing/>
              <w:rPr>
                <w:sz w:val="18"/>
              </w:rPr>
            </w:pPr>
          </w:p>
        </w:tc>
        <w:tc>
          <w:tcPr>
            <w:tcW w:w="1418" w:type="dxa"/>
            <w:shd w:val="clear" w:color="auto" w:fill="auto"/>
            <w:noWrap/>
            <w:vAlign w:val="center"/>
          </w:tcPr>
          <w:p w14:paraId="29B389B1" w14:textId="4D4BB60D" w:rsidR="004C2E3E" w:rsidRPr="00531E06" w:rsidRDefault="004C2E3E" w:rsidP="004C2E3E">
            <w:pPr>
              <w:spacing w:before="0" w:after="0"/>
              <w:contextualSpacing/>
              <w:rPr>
                <w:sz w:val="18"/>
              </w:rPr>
            </w:pPr>
            <w:r w:rsidRPr="00531E06">
              <w:rPr>
                <w:sz w:val="18"/>
              </w:rPr>
              <w:t>&gt;1</w:t>
            </w:r>
            <w:r>
              <w:rPr>
                <w:sz w:val="18"/>
              </w:rPr>
              <w:t>.200</w:t>
            </w:r>
          </w:p>
        </w:tc>
        <w:tc>
          <w:tcPr>
            <w:tcW w:w="1984" w:type="dxa"/>
            <w:vMerge/>
            <w:shd w:val="clear" w:color="auto" w:fill="auto"/>
            <w:noWrap/>
            <w:vAlign w:val="center"/>
          </w:tcPr>
          <w:p w14:paraId="67B601B2" w14:textId="77777777" w:rsidR="004C2E3E" w:rsidRPr="00531E06" w:rsidRDefault="004C2E3E" w:rsidP="004C2E3E">
            <w:pPr>
              <w:spacing w:before="0" w:after="0"/>
              <w:contextualSpacing/>
              <w:rPr>
                <w:sz w:val="18"/>
              </w:rPr>
            </w:pPr>
          </w:p>
        </w:tc>
        <w:tc>
          <w:tcPr>
            <w:tcW w:w="3687" w:type="dxa"/>
            <w:vMerge/>
            <w:vAlign w:val="center"/>
          </w:tcPr>
          <w:p w14:paraId="4C6C04EC" w14:textId="77777777" w:rsidR="004C2E3E" w:rsidRDefault="004C2E3E" w:rsidP="004C2E3E">
            <w:pPr>
              <w:spacing w:before="0" w:after="0"/>
              <w:contextualSpacing/>
              <w:rPr>
                <w:bCs/>
                <w:sz w:val="18"/>
              </w:rPr>
            </w:pPr>
          </w:p>
        </w:tc>
        <w:tc>
          <w:tcPr>
            <w:tcW w:w="1231" w:type="dxa"/>
            <w:vMerge/>
            <w:shd w:val="clear" w:color="auto" w:fill="auto"/>
            <w:noWrap/>
            <w:vAlign w:val="center"/>
          </w:tcPr>
          <w:p w14:paraId="6705A3DB" w14:textId="77777777" w:rsidR="004C2E3E" w:rsidRPr="00D83073" w:rsidRDefault="004C2E3E" w:rsidP="004C2E3E">
            <w:pPr>
              <w:spacing w:before="0" w:after="0"/>
              <w:contextualSpacing/>
              <w:rPr>
                <w:bCs/>
                <w:sz w:val="18"/>
              </w:rPr>
            </w:pPr>
          </w:p>
        </w:tc>
      </w:tr>
      <w:tr w:rsidR="0058350C" w:rsidRPr="00E076C9" w14:paraId="15641018" w14:textId="77777777" w:rsidTr="00007CB5">
        <w:trPr>
          <w:trHeight w:val="381"/>
          <w:jc w:val="center"/>
        </w:trPr>
        <w:tc>
          <w:tcPr>
            <w:tcW w:w="1560" w:type="dxa"/>
            <w:vMerge w:val="restart"/>
            <w:shd w:val="clear" w:color="auto" w:fill="auto"/>
            <w:vAlign w:val="center"/>
          </w:tcPr>
          <w:p w14:paraId="2C568522" w14:textId="2DF28272" w:rsidR="0058350C" w:rsidRDefault="0058350C" w:rsidP="004C2E3E">
            <w:pPr>
              <w:spacing w:before="0" w:after="0"/>
              <w:contextualSpacing/>
              <w:rPr>
                <w:sz w:val="18"/>
              </w:rPr>
            </w:pPr>
            <w:proofErr w:type="spellStart"/>
            <w:r>
              <w:rPr>
                <w:sz w:val="18"/>
              </w:rPr>
              <w:t>HepaRG</w:t>
            </w:r>
            <w:proofErr w:type="spellEnd"/>
          </w:p>
        </w:tc>
        <w:tc>
          <w:tcPr>
            <w:tcW w:w="2835" w:type="dxa"/>
            <w:vMerge w:val="restart"/>
            <w:shd w:val="clear" w:color="auto" w:fill="auto"/>
            <w:vAlign w:val="center"/>
          </w:tcPr>
          <w:p w14:paraId="7E0BDD95" w14:textId="77777777" w:rsidR="0058350C" w:rsidRPr="00496FC3" w:rsidRDefault="0058350C" w:rsidP="004C2E3E">
            <w:pPr>
              <w:spacing w:before="0" w:after="0"/>
              <w:contextualSpacing/>
              <w:rPr>
                <w:sz w:val="18"/>
              </w:rPr>
            </w:pPr>
            <w:r w:rsidRPr="00496FC3">
              <w:rPr>
                <w:sz w:val="18"/>
              </w:rPr>
              <w:t>2D</w:t>
            </w:r>
          </w:p>
          <w:p w14:paraId="0E3E3794" w14:textId="77777777" w:rsidR="0058350C" w:rsidRPr="00496FC3" w:rsidRDefault="0058350C" w:rsidP="004C2E3E">
            <w:pPr>
              <w:spacing w:before="0" w:after="0"/>
              <w:contextualSpacing/>
              <w:rPr>
                <w:sz w:val="18"/>
              </w:rPr>
            </w:pPr>
          </w:p>
        </w:tc>
        <w:tc>
          <w:tcPr>
            <w:tcW w:w="1842" w:type="dxa"/>
            <w:shd w:val="clear" w:color="auto" w:fill="auto"/>
            <w:vAlign w:val="center"/>
          </w:tcPr>
          <w:p w14:paraId="03E6F486" w14:textId="12EC9E11" w:rsidR="0058350C" w:rsidRPr="00496FC3" w:rsidRDefault="0058350C" w:rsidP="004C2E3E">
            <w:pPr>
              <w:spacing w:before="0" w:after="0"/>
              <w:contextualSpacing/>
              <w:rPr>
                <w:sz w:val="18"/>
              </w:rPr>
            </w:pPr>
            <w:r w:rsidRPr="00187CD0">
              <w:rPr>
                <w:sz w:val="18"/>
              </w:rPr>
              <w:t>24h</w:t>
            </w:r>
          </w:p>
        </w:tc>
        <w:tc>
          <w:tcPr>
            <w:tcW w:w="1418" w:type="dxa"/>
            <w:shd w:val="clear" w:color="auto" w:fill="auto"/>
            <w:noWrap/>
            <w:vAlign w:val="center"/>
          </w:tcPr>
          <w:p w14:paraId="4E3F5E4B" w14:textId="5E5E3D64" w:rsidR="0058350C" w:rsidRPr="00496FC3" w:rsidRDefault="0058350C" w:rsidP="004C2E3E">
            <w:pPr>
              <w:spacing w:before="0" w:after="0"/>
              <w:contextualSpacing/>
              <w:rPr>
                <w:sz w:val="18"/>
              </w:rPr>
            </w:pPr>
            <w:r>
              <w:rPr>
                <w:sz w:val="18"/>
              </w:rPr>
              <w:t>Toxicity starting on 4.0 mM*</w:t>
            </w:r>
          </w:p>
        </w:tc>
        <w:tc>
          <w:tcPr>
            <w:tcW w:w="1984" w:type="dxa"/>
            <w:shd w:val="clear" w:color="auto" w:fill="auto"/>
            <w:noWrap/>
            <w:vAlign w:val="center"/>
          </w:tcPr>
          <w:p w14:paraId="70114420" w14:textId="22D67990" w:rsidR="0058350C" w:rsidRPr="00496FC3" w:rsidRDefault="0058350C" w:rsidP="004C2E3E">
            <w:pPr>
              <w:spacing w:before="0" w:after="0"/>
              <w:ind w:left="36" w:hanging="36"/>
              <w:contextualSpacing/>
              <w:rPr>
                <w:sz w:val="18"/>
              </w:rPr>
            </w:pPr>
            <w:r w:rsidRPr="00187CD0">
              <w:rPr>
                <w:sz w:val="18"/>
              </w:rPr>
              <w:t>Alamar Blue</w:t>
            </w:r>
          </w:p>
        </w:tc>
        <w:tc>
          <w:tcPr>
            <w:tcW w:w="3687" w:type="dxa"/>
            <w:vAlign w:val="center"/>
          </w:tcPr>
          <w:p w14:paraId="616F7A81" w14:textId="19025EA9" w:rsidR="0058350C" w:rsidRDefault="0058350C" w:rsidP="004C2E3E">
            <w:pPr>
              <w:spacing w:before="0" w:after="0"/>
              <w:contextualSpacing/>
              <w:rPr>
                <w:sz w:val="18"/>
              </w:rPr>
            </w:pPr>
            <w:r w:rsidRPr="00187CD0">
              <w:rPr>
                <w:sz w:val="18"/>
              </w:rPr>
              <w:t>Metabolic competence and metabolite quantification</w:t>
            </w:r>
            <w:r>
              <w:rPr>
                <w:sz w:val="18"/>
              </w:rPr>
              <w:t xml:space="preserve"> |</w:t>
            </w:r>
            <w:r w:rsidRPr="00187CD0">
              <w:rPr>
                <w:sz w:val="18"/>
              </w:rPr>
              <w:t xml:space="preserve"> </w:t>
            </w:r>
            <w:r>
              <w:rPr>
                <w:sz w:val="18"/>
              </w:rPr>
              <w:t>M</w:t>
            </w:r>
            <w:r w:rsidRPr="00187CD0">
              <w:rPr>
                <w:sz w:val="18"/>
              </w:rPr>
              <w:t>itochondrial ROS levels and MMP measurement</w:t>
            </w:r>
          </w:p>
        </w:tc>
        <w:tc>
          <w:tcPr>
            <w:tcW w:w="1231" w:type="dxa"/>
            <w:shd w:val="clear" w:color="auto" w:fill="auto"/>
            <w:noWrap/>
            <w:vAlign w:val="center"/>
          </w:tcPr>
          <w:p w14:paraId="0CBBA2E0" w14:textId="0AF6289A" w:rsidR="0058350C" w:rsidRPr="00D83073" w:rsidRDefault="0058350C" w:rsidP="004C2E3E">
            <w:pPr>
              <w:spacing w:before="0" w:after="0"/>
              <w:contextualSpacing/>
              <w:rPr>
                <w:sz w:val="18"/>
              </w:rPr>
            </w:pPr>
            <w:r w:rsidRPr="00D83073">
              <w:rPr>
                <w:sz w:val="18"/>
              </w:rPr>
              <w:fldChar w:fldCharType="begin" w:fldLock="1"/>
            </w:r>
            <w:r w:rsidRPr="00D83073">
              <w:rPr>
                <w:sz w:val="18"/>
              </w:rPr>
              <w:instrText>ADDIN CSL_CITATION {"citationItems":[{"id":"ITEM-1","itemData":{"DOI":"10.1016/j.yrtph.2020.104661","ISSN":"10960295","PMID":"32315674","abstract":"Selection of appropriate fit-for-purpose in vitro and in silico models is critical for non-animal safety assessment of chemical-induced hepatoxicity. The present study evaluated the feasibility of integrating in vitro data from three-dimensionally (3D)-cultured HepaRG cells and physiologically based pharmacokinetic (PBPK) modeling to predict chemical-induced liver toxicity. A 3D organoid culture system was established using an ultralow attachment method. HepaRG cells cultured in a two-dimensional (2D) monolayer and under 3D conditions were exposed to acetaminophen (APAP) at concentrations of 0.16–20 mM. The results showed that the viability of both 3D- and 2D cultured cells was significantly decreased by APAP in a concentration-dependent manner. Furthermore, 3D cultures were more sensitive to APAP-induced mitochondrial damage than 2D cultures were, based on measurements of mitochondrial superoxide accumulation and mitochondrial membrane potential loss. PBPK simulations using nominal in vitro concentrations showed that the APAP concentration eliciting mitochondrial damage was closer to the predicted peak liver concentration in humans in 3D cultures than it was in 2D cultures. In summary, our results suggest that combining in vitro data from 3D HepaRG cultures and PBPK modeling provides a promising tool for assessment of liver injury.","author":[{"dropping-particle":"","family":"Zhang","given":"Chi","non-dropping-particle":"","parse-names":false,"suffix":""},{"dropping-particle":"","family":"Zhang","given":"Qiang","non-dropping-particle":"","parse-names":false,"suffix":""},{"dropping-particle":"","family":"Li","given":"Jin","non-dropping-particle":"","parse-names":false,"suffix":""},{"dropping-particle":"","family":"Yu","given":"Lin","non-dropping-particle":"","parse-names":false,"suffix":""},{"dropping-particle":"","family":"Li","given":"Fengxiang","non-dropping-particle":"","parse-names":false,"suffix":""},{"dropping-particle":"","family":"Li","given":"Weiwei","non-dropping-particle":"","parse-names":false,"suffix":""},{"dropping-particle":"","family":"Li","given":"Yujie","non-dropping-particle":"","parse-names":false,"suffix":""},{"dropping-particle":"","family":"Peng","given":"Hui","non-dropping-particle":"","parse-names":false,"suffix":""},{"dropping-particle":"","family":"Zhao","given":"Jun","non-dropping-particle":"","parse-names":false,"suffix":""},{"dropping-particle":"","family":"Carmichael","given":"Paul L.","non-dropping-particle":"","parse-names":false,"suffix":""},{"dropping-particle":"","family":"Wang","given":"Yunfang","non-dropping-particle":"","parse-names":false,"suffix":""},{"dropping-particle":"","family":"Peng","given":"Shuangqing","non-dropping-particle":"","parse-names":false,"suffix":""},{"dropping-particle":"","family":"Guo","given":"Jiabin","non-dropping-particle":"","parse-names":false,"suffix":""}],"container-title":"Regulatory Toxicology and Pharmacology","id":"ITEM-1","issued":{"date-parts":[["2020"]]},"page":"104661","publisher":"Elsevier Inc.","title":"Integration of in vitro data from three dimensionally cultured HepaRG cells and physiologically based pharmacokinetic modeling for assessment of acetaminophen hepatotoxicity","type":"article-journal","volume":"114"},"uris":["http://www.mendeley.com/documents/?uuid=de0120fc-8df9-4d5a-86fd-291f3f1933d1","http://www.mendeley.com/documents/?uuid=a80386c2-174a-4159-b6d1-9813be716d02"]}],"mendeley":{"formattedCitation":"(Zhang et al., 2020)","plainTextFormattedCitation":"(Zhang et al., 2020)","previouslyFormattedCitation":"(Zhang et al., 2020)"},"properties":{"noteIndex":0},"schema":"https://github.com/citation-style-language/schema/raw/master/csl-citation.json"}</w:instrText>
            </w:r>
            <w:r w:rsidRPr="00D83073">
              <w:rPr>
                <w:sz w:val="18"/>
              </w:rPr>
              <w:fldChar w:fldCharType="separate"/>
            </w:r>
            <w:r w:rsidRPr="00D83073">
              <w:rPr>
                <w:noProof/>
                <w:sz w:val="18"/>
              </w:rPr>
              <w:t>(Zhang et al., 2020)</w:t>
            </w:r>
            <w:r w:rsidRPr="00D83073">
              <w:rPr>
                <w:sz w:val="18"/>
              </w:rPr>
              <w:fldChar w:fldCharType="end"/>
            </w:r>
          </w:p>
        </w:tc>
      </w:tr>
      <w:tr w:rsidR="00DE184F" w:rsidRPr="00E076C9" w14:paraId="411689F1" w14:textId="77777777" w:rsidTr="00007CB5">
        <w:trPr>
          <w:trHeight w:val="381"/>
          <w:jc w:val="center"/>
        </w:trPr>
        <w:tc>
          <w:tcPr>
            <w:tcW w:w="1560" w:type="dxa"/>
            <w:vMerge/>
            <w:shd w:val="clear" w:color="auto" w:fill="auto"/>
            <w:vAlign w:val="center"/>
          </w:tcPr>
          <w:p w14:paraId="6C4C2F8D" w14:textId="6F731B7D" w:rsidR="00DE184F" w:rsidRPr="00496FC3" w:rsidRDefault="00DE184F" w:rsidP="004C2E3E">
            <w:pPr>
              <w:spacing w:before="0" w:after="0"/>
              <w:contextualSpacing/>
              <w:rPr>
                <w:sz w:val="18"/>
              </w:rPr>
            </w:pPr>
          </w:p>
        </w:tc>
        <w:tc>
          <w:tcPr>
            <w:tcW w:w="2835" w:type="dxa"/>
            <w:vMerge/>
            <w:shd w:val="clear" w:color="auto" w:fill="auto"/>
            <w:vAlign w:val="center"/>
          </w:tcPr>
          <w:p w14:paraId="5D26DFC7" w14:textId="77777777" w:rsidR="00DE184F" w:rsidRPr="00496FC3" w:rsidRDefault="00DE184F" w:rsidP="004C2E3E">
            <w:pPr>
              <w:spacing w:before="0" w:after="0"/>
              <w:contextualSpacing/>
              <w:rPr>
                <w:sz w:val="18"/>
              </w:rPr>
            </w:pPr>
          </w:p>
        </w:tc>
        <w:tc>
          <w:tcPr>
            <w:tcW w:w="1842" w:type="dxa"/>
            <w:shd w:val="clear" w:color="auto" w:fill="auto"/>
            <w:vAlign w:val="center"/>
          </w:tcPr>
          <w:p w14:paraId="3763B49A" w14:textId="77777777" w:rsidR="00DE184F" w:rsidRPr="00496FC3" w:rsidRDefault="00DE184F" w:rsidP="004C2E3E">
            <w:pPr>
              <w:spacing w:before="0" w:after="0"/>
              <w:contextualSpacing/>
              <w:rPr>
                <w:sz w:val="18"/>
              </w:rPr>
            </w:pPr>
            <w:r w:rsidRPr="00496FC3">
              <w:rPr>
                <w:sz w:val="18"/>
              </w:rPr>
              <w:t>24h</w:t>
            </w:r>
            <w:r>
              <w:rPr>
                <w:sz w:val="18"/>
              </w:rPr>
              <w:t xml:space="preserve"> after 5 days in culture</w:t>
            </w:r>
            <w:r w:rsidRPr="00496FC3">
              <w:rPr>
                <w:sz w:val="18"/>
              </w:rPr>
              <w:t xml:space="preserve"> </w:t>
            </w:r>
          </w:p>
          <w:p w14:paraId="07145396" w14:textId="77777777" w:rsidR="00DE184F" w:rsidRPr="00496FC3" w:rsidRDefault="00DE184F" w:rsidP="004C2E3E">
            <w:pPr>
              <w:spacing w:before="0" w:after="0"/>
              <w:contextualSpacing/>
              <w:rPr>
                <w:sz w:val="18"/>
              </w:rPr>
            </w:pPr>
            <w:r w:rsidRPr="00496FC3">
              <w:rPr>
                <w:sz w:val="18"/>
              </w:rPr>
              <w:t>24h</w:t>
            </w:r>
            <w:r>
              <w:rPr>
                <w:sz w:val="18"/>
              </w:rPr>
              <w:t xml:space="preserve"> after 22 days in culture</w:t>
            </w:r>
          </w:p>
        </w:tc>
        <w:tc>
          <w:tcPr>
            <w:tcW w:w="1418" w:type="dxa"/>
            <w:shd w:val="clear" w:color="auto" w:fill="auto"/>
            <w:noWrap/>
            <w:vAlign w:val="center"/>
          </w:tcPr>
          <w:p w14:paraId="31D75A97" w14:textId="77777777" w:rsidR="00DE184F" w:rsidRDefault="00DE184F" w:rsidP="004C2E3E">
            <w:pPr>
              <w:spacing w:before="0" w:after="0"/>
              <w:contextualSpacing/>
              <w:rPr>
                <w:sz w:val="18"/>
              </w:rPr>
            </w:pPr>
            <w:r w:rsidRPr="00496FC3">
              <w:rPr>
                <w:sz w:val="18"/>
              </w:rPr>
              <w:t>26.3</w:t>
            </w:r>
          </w:p>
          <w:p w14:paraId="2DBB1611" w14:textId="77777777" w:rsidR="00DE184F" w:rsidRDefault="00DE184F" w:rsidP="004C2E3E">
            <w:pPr>
              <w:spacing w:before="0" w:after="0"/>
              <w:contextualSpacing/>
              <w:rPr>
                <w:sz w:val="18"/>
              </w:rPr>
            </w:pPr>
          </w:p>
          <w:p w14:paraId="7D4A6164" w14:textId="77777777" w:rsidR="00DE184F" w:rsidRPr="00496FC3" w:rsidRDefault="00DE184F" w:rsidP="004C2E3E">
            <w:pPr>
              <w:spacing w:before="0" w:after="0"/>
              <w:contextualSpacing/>
              <w:rPr>
                <w:sz w:val="18"/>
              </w:rPr>
            </w:pPr>
            <w:r w:rsidRPr="00496FC3">
              <w:rPr>
                <w:sz w:val="18"/>
              </w:rPr>
              <w:t>34.6</w:t>
            </w:r>
          </w:p>
        </w:tc>
        <w:tc>
          <w:tcPr>
            <w:tcW w:w="1984" w:type="dxa"/>
            <w:vMerge w:val="restart"/>
            <w:shd w:val="clear" w:color="auto" w:fill="auto"/>
            <w:noWrap/>
            <w:vAlign w:val="center"/>
          </w:tcPr>
          <w:p w14:paraId="298723A7" w14:textId="2D33B3F5" w:rsidR="00DE184F" w:rsidRPr="00496FC3" w:rsidRDefault="00DE184F" w:rsidP="00DE184F">
            <w:pPr>
              <w:spacing w:before="0" w:after="0"/>
              <w:ind w:left="36" w:hanging="36"/>
              <w:contextualSpacing/>
              <w:rPr>
                <w:sz w:val="18"/>
              </w:rPr>
            </w:pPr>
            <w:r w:rsidRPr="00496FC3">
              <w:rPr>
                <w:sz w:val="18"/>
              </w:rPr>
              <w:t>ATP Quantification</w:t>
            </w:r>
          </w:p>
        </w:tc>
        <w:tc>
          <w:tcPr>
            <w:tcW w:w="3687" w:type="dxa"/>
            <w:vAlign w:val="center"/>
          </w:tcPr>
          <w:p w14:paraId="406F8DEB" w14:textId="0B72AA22" w:rsidR="00DE184F" w:rsidRDefault="00DE184F" w:rsidP="004C2E3E">
            <w:pPr>
              <w:spacing w:before="0" w:after="0"/>
              <w:contextualSpacing/>
              <w:rPr>
                <w:bCs/>
                <w:sz w:val="18"/>
              </w:rPr>
            </w:pPr>
            <w:r>
              <w:rPr>
                <w:sz w:val="18"/>
              </w:rPr>
              <w:t>CYP2E1 and MRP-2 activity | NA</w:t>
            </w:r>
          </w:p>
        </w:tc>
        <w:tc>
          <w:tcPr>
            <w:tcW w:w="1231" w:type="dxa"/>
            <w:shd w:val="clear" w:color="auto" w:fill="auto"/>
            <w:noWrap/>
            <w:vAlign w:val="center"/>
          </w:tcPr>
          <w:p w14:paraId="12A43875" w14:textId="77777777" w:rsidR="00DE184F" w:rsidRPr="00D83073" w:rsidRDefault="00DE184F"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{"citationItems":[{"id":"ITEM-1","itemData":{"DOI":"10.1093/toxsci/kft021","ISSN":"10966080","abstract":"Drug-induced human hepatotoxicity is difficult to predict using the current in vitro systems. In this study, long-term 3D organotypic cultures of the human hepatoma HepaRG cell line were prepared using a high-throughput hanging drop method. The organotypic cultures were maintained for 3 weeks and assessed for (1) liver specific functions, including phase I enzyme and transporter activities, (2) expression of liver-specific proteins, and (3) responses to three drugs (acetaminophen, troglitazone, and rosiglitazone). Our results show that the organotypic cultures maintain high liver-specific functionality during 3 weeks of culture. The immunohistochemistry analyses illustrate that the organotypic cultures express liver-specific markers such as albumin, CYP3A4, CYP2E1, and MRP-2 throughout the cultivation period. Accordingly, the production rates of albumin and glucose, as well as CYP2E1 activity, were significantly higher in the 3D versus the 2D cultures. Toxicity studies show that the organotypic cultures are more sensitive to acetaminophen- and rosiglitazone-induced toxicity but less sensitive to troglitazone-induced toxicity than the 2D cultures. Furthermore, the EC50 value (2.7mM) for acetaminophen on the 3D cultures was similar to in vivo toxicity. In summary, the results from our study suggest that the 3D organotypic HepaRG culture is a promising in vitro tool for more accurate assessment of acute and also possibly for chronic drug-induced hepatotoxicity. © The Author 2013. Published by Oxford University Press on behalf of the Society of Toxicology. All rights reserved.","author":[{"dropping-particle":"","family":"Gunness","given":"Patrina","non-dropping-particle":"","parse-names":false,"suffix":""},{"dropping-particle":"","family":"Mueller","given":"Daniel","non-dropping-particle":"","parse-names":false,"suffix":""},{"dropping-particle":"","family":"Shevchenko","given":"Valery","non-dropping-particle":"","parse-names":false,"suffix":""},{"dropping-particle":"","family":"Heinzle","given":"Elmar","non-dropping-particle":"","parse-names":false,"suffix":""},{"dropping-particle":"","family":"Ingelman-Sundberg","given":"Magnus","non-dropping-particle":"","parse-names":false,"suffix":""},{"dropping-particle":"","family":"Noor","given":"Fozia","non-dropping-particle":"","parse-names":false,"suffix":""}],"container-title":"Toxicological Sciences","id":"ITEM-1","issue":"1","issued":{"date-parts":[["2013"]]},"page":"67-78","title":"3D organotypic cultures of human heparg cells: A tool for in vitro toxicity studies","type":"article-journal","volume":"133"},"uris":["http://www.mendeley.com/documents/?uuid=2677ff2e-71da-47db-93d4-2af1a27bb5b7","http://www.mendeley.com/documents/?uuid=504e7ffa-154c-4146-b106-8cbab6b6e5da"]}],"mendeley":{"formattedCitation":"(Gunness et al., 2013)","plainTextFormattedCitation":"(Gunness et al., 2013)","previouslyFormattedCitation":"(Gunness et al., 2013)"},"properties":{"noteIndex":0},"schema":"https://github.com/citation-style-language/schema/raw/master/csl-citation.json"}</w:instrText>
            </w:r>
            <w:r w:rsidRPr="00D83073">
              <w:rPr>
                <w:sz w:val="18"/>
              </w:rPr>
              <w:fldChar w:fldCharType="separate"/>
            </w:r>
            <w:r w:rsidRPr="00D83073">
              <w:rPr>
                <w:noProof/>
                <w:sz w:val="18"/>
              </w:rPr>
              <w:t>(Gunness et al., 2013)</w:t>
            </w:r>
            <w:r w:rsidRPr="00D83073">
              <w:rPr>
                <w:sz w:val="18"/>
              </w:rPr>
              <w:fldChar w:fldCharType="end"/>
            </w:r>
          </w:p>
        </w:tc>
      </w:tr>
      <w:tr w:rsidR="00DE184F" w:rsidRPr="00E076C9" w14:paraId="6469613A" w14:textId="77777777" w:rsidTr="00007CB5">
        <w:trPr>
          <w:trHeight w:val="381"/>
          <w:jc w:val="center"/>
        </w:trPr>
        <w:tc>
          <w:tcPr>
            <w:tcW w:w="1560" w:type="dxa"/>
            <w:vMerge/>
            <w:shd w:val="clear" w:color="auto" w:fill="auto"/>
            <w:vAlign w:val="center"/>
          </w:tcPr>
          <w:p w14:paraId="18B6A730" w14:textId="77777777" w:rsidR="00DE184F" w:rsidRPr="00496FC3" w:rsidRDefault="00DE184F" w:rsidP="004C2E3E">
            <w:pPr>
              <w:spacing w:before="0" w:after="0"/>
              <w:contextualSpacing/>
              <w:rPr>
                <w:sz w:val="18"/>
              </w:rPr>
            </w:pPr>
          </w:p>
        </w:tc>
        <w:tc>
          <w:tcPr>
            <w:tcW w:w="2835" w:type="dxa"/>
            <w:vMerge/>
            <w:shd w:val="clear" w:color="auto" w:fill="auto"/>
            <w:vAlign w:val="center"/>
          </w:tcPr>
          <w:p w14:paraId="32389E9A" w14:textId="77777777" w:rsidR="00DE184F" w:rsidRDefault="00DE184F" w:rsidP="004C2E3E">
            <w:pPr>
              <w:spacing w:before="0" w:after="0"/>
              <w:contextualSpacing/>
              <w:rPr>
                <w:sz w:val="18"/>
              </w:rPr>
            </w:pPr>
          </w:p>
        </w:tc>
        <w:tc>
          <w:tcPr>
            <w:tcW w:w="1842" w:type="dxa"/>
            <w:shd w:val="clear" w:color="auto" w:fill="auto"/>
            <w:vAlign w:val="center"/>
          </w:tcPr>
          <w:p w14:paraId="41293C55" w14:textId="77777777" w:rsidR="00DE184F" w:rsidRPr="00531E06" w:rsidRDefault="00DE184F" w:rsidP="004C2E3E">
            <w:pPr>
              <w:spacing w:before="0" w:after="0"/>
              <w:contextualSpacing/>
              <w:rPr>
                <w:sz w:val="18"/>
              </w:rPr>
            </w:pPr>
            <w:r w:rsidRPr="00531E06">
              <w:rPr>
                <w:sz w:val="18"/>
              </w:rPr>
              <w:t>48h</w:t>
            </w:r>
          </w:p>
          <w:p w14:paraId="65FC602B" w14:textId="77777777" w:rsidR="00DE184F" w:rsidRPr="00531E06" w:rsidRDefault="00DE184F" w:rsidP="004C2E3E">
            <w:pPr>
              <w:spacing w:before="0" w:after="0"/>
              <w:contextualSpacing/>
              <w:rPr>
                <w:sz w:val="18"/>
              </w:rPr>
            </w:pPr>
            <w:r w:rsidRPr="00531E06">
              <w:rPr>
                <w:sz w:val="18"/>
              </w:rPr>
              <w:t>7 days</w:t>
            </w:r>
          </w:p>
          <w:p w14:paraId="1E0242EA" w14:textId="77777777" w:rsidR="00DE184F" w:rsidRPr="00187CD0" w:rsidRDefault="00DE184F" w:rsidP="004C2E3E">
            <w:pPr>
              <w:spacing w:before="0" w:after="0"/>
              <w:contextualSpacing/>
              <w:rPr>
                <w:sz w:val="18"/>
              </w:rPr>
            </w:pPr>
            <w:r w:rsidRPr="00531E06">
              <w:rPr>
                <w:sz w:val="18"/>
              </w:rPr>
              <w:t>14 days</w:t>
            </w:r>
          </w:p>
        </w:tc>
        <w:tc>
          <w:tcPr>
            <w:tcW w:w="1418" w:type="dxa"/>
            <w:shd w:val="clear" w:color="auto" w:fill="auto"/>
            <w:noWrap/>
            <w:vAlign w:val="center"/>
          </w:tcPr>
          <w:p w14:paraId="57CDD70F" w14:textId="77777777" w:rsidR="00DE184F" w:rsidRPr="00531E06" w:rsidRDefault="00DE184F" w:rsidP="004C2E3E">
            <w:pPr>
              <w:spacing w:before="0" w:after="0"/>
              <w:contextualSpacing/>
              <w:rPr>
                <w:sz w:val="18"/>
              </w:rPr>
            </w:pPr>
            <w:r w:rsidRPr="00531E06">
              <w:rPr>
                <w:sz w:val="18"/>
              </w:rPr>
              <w:t>5</w:t>
            </w:r>
            <w:r>
              <w:rPr>
                <w:sz w:val="18"/>
              </w:rPr>
              <w:t>.</w:t>
            </w:r>
            <w:r w:rsidRPr="00531E06">
              <w:rPr>
                <w:sz w:val="18"/>
              </w:rPr>
              <w:t>916</w:t>
            </w:r>
          </w:p>
          <w:p w14:paraId="0EC0424E" w14:textId="77777777" w:rsidR="00DE184F" w:rsidRPr="00531E06" w:rsidRDefault="00DE184F" w:rsidP="004C2E3E">
            <w:pPr>
              <w:spacing w:before="0" w:after="0"/>
              <w:contextualSpacing/>
              <w:rPr>
                <w:sz w:val="18"/>
              </w:rPr>
            </w:pPr>
            <w:r w:rsidRPr="00531E06">
              <w:rPr>
                <w:sz w:val="18"/>
              </w:rPr>
              <w:t>1</w:t>
            </w:r>
            <w:r>
              <w:rPr>
                <w:sz w:val="18"/>
              </w:rPr>
              <w:t>.</w:t>
            </w:r>
            <w:r w:rsidRPr="00531E06">
              <w:rPr>
                <w:sz w:val="18"/>
              </w:rPr>
              <w:t>587</w:t>
            </w:r>
          </w:p>
          <w:p w14:paraId="00BC5460" w14:textId="77777777" w:rsidR="00DE184F" w:rsidRDefault="00DE184F" w:rsidP="004C2E3E">
            <w:pPr>
              <w:spacing w:before="0" w:after="0"/>
              <w:contextualSpacing/>
              <w:rPr>
                <w:sz w:val="18"/>
              </w:rPr>
            </w:pPr>
            <w:r w:rsidRPr="00531E06">
              <w:rPr>
                <w:sz w:val="18"/>
              </w:rPr>
              <w:t>1</w:t>
            </w:r>
            <w:r>
              <w:rPr>
                <w:sz w:val="18"/>
              </w:rPr>
              <w:t>.</w:t>
            </w:r>
            <w:r w:rsidRPr="00531E06">
              <w:rPr>
                <w:sz w:val="18"/>
              </w:rPr>
              <w:t>311</w:t>
            </w:r>
          </w:p>
        </w:tc>
        <w:tc>
          <w:tcPr>
            <w:tcW w:w="1984" w:type="dxa"/>
            <w:vMerge/>
            <w:shd w:val="clear" w:color="auto" w:fill="auto"/>
            <w:noWrap/>
            <w:vAlign w:val="center"/>
          </w:tcPr>
          <w:p w14:paraId="53FD9687" w14:textId="77777777" w:rsidR="00DE184F" w:rsidRPr="00187CD0" w:rsidRDefault="00DE184F" w:rsidP="004C2E3E">
            <w:pPr>
              <w:spacing w:before="0" w:after="0"/>
              <w:contextualSpacing/>
              <w:rPr>
                <w:sz w:val="18"/>
              </w:rPr>
            </w:pPr>
          </w:p>
        </w:tc>
        <w:tc>
          <w:tcPr>
            <w:tcW w:w="3687" w:type="dxa"/>
            <w:vAlign w:val="center"/>
          </w:tcPr>
          <w:p w14:paraId="4284A6F7" w14:textId="5FD6364D" w:rsidR="00DE184F" w:rsidRPr="00187CD0" w:rsidRDefault="00DE184F" w:rsidP="004C2E3E">
            <w:pPr>
              <w:spacing w:before="0" w:after="0"/>
              <w:contextualSpacing/>
              <w:rPr>
                <w:sz w:val="18"/>
              </w:rPr>
            </w:pPr>
            <w:r w:rsidRPr="00531E06">
              <w:rPr>
                <w:rFonts w:eastAsia="Times New Roman"/>
                <w:i/>
                <w:iCs/>
                <w:sz w:val="18"/>
                <w:szCs w:val="18"/>
                <w:lang w:eastAsia="en-GB"/>
              </w:rPr>
              <w:t xml:space="preserve">CYP, GSTT1, UGT1A1, ABCB11, ABCC1 </w:t>
            </w:r>
            <w:r w:rsidRPr="00531E06">
              <w:rPr>
                <w:rFonts w:eastAsia="Times New Roman"/>
                <w:sz w:val="18"/>
                <w:szCs w:val="18"/>
                <w:lang w:eastAsia="en-GB"/>
              </w:rPr>
              <w:t>and</w:t>
            </w:r>
            <w:r w:rsidRPr="00531E06">
              <w:rPr>
                <w:rFonts w:eastAsia="Times New Roman"/>
                <w:i/>
                <w:iCs/>
                <w:sz w:val="18"/>
                <w:szCs w:val="18"/>
                <w:lang w:eastAsia="en-GB"/>
              </w:rPr>
              <w:t xml:space="preserve"> SLCO1B1</w:t>
            </w:r>
            <w:r w:rsidRPr="00531E06">
              <w:rPr>
                <w:rFonts w:eastAsia="Times New Roman"/>
                <w:sz w:val="18"/>
                <w:szCs w:val="18"/>
                <w:lang w:eastAsia="en-GB"/>
              </w:rPr>
              <w:t xml:space="preserve"> gene expression</w:t>
            </w:r>
            <w:r>
              <w:rPr>
                <w:rFonts w:eastAsia="Times New Roman"/>
                <w:sz w:val="18"/>
                <w:szCs w:val="18"/>
                <w:lang w:eastAsia="en-GB"/>
              </w:rPr>
              <w:t xml:space="preserve"> |</w:t>
            </w:r>
            <w:r w:rsidRPr="00531E06">
              <w:rPr>
                <w:rFonts w:eastAsia="Times New Roman"/>
                <w:sz w:val="18"/>
                <w:szCs w:val="18"/>
                <w:lang w:eastAsia="en-GB"/>
              </w:rPr>
              <w:t xml:space="preserve"> NA</w:t>
            </w:r>
          </w:p>
        </w:tc>
        <w:tc>
          <w:tcPr>
            <w:tcW w:w="1231" w:type="dxa"/>
            <w:shd w:val="clear" w:color="auto" w:fill="auto"/>
            <w:noWrap/>
            <w:vAlign w:val="center"/>
          </w:tcPr>
          <w:p w14:paraId="76062293" w14:textId="77777777" w:rsidR="00DE184F" w:rsidRPr="00D83073" w:rsidRDefault="00DE184F" w:rsidP="004C2E3E">
            <w:pPr>
              <w:spacing w:before="0" w:after="0"/>
              <w:contextualSpacing/>
              <w:rPr>
                <w:sz w:val="18"/>
              </w:rPr>
            </w:pPr>
            <w:r w:rsidRPr="00D83073">
              <w:rPr>
                <w:sz w:val="18"/>
              </w:rPr>
              <w:fldChar w:fldCharType="begin" w:fldLock="1"/>
            </w:r>
            <w:r w:rsidRPr="00D83073">
              <w:rPr>
                <w:sz w:val="18"/>
              </w:rPr>
              <w:instrText>ADDIN CSL_CITATION {"citationItems":[{"id":"ITEM-1","itemData":{"DOI":"10.1124/dmd.116.074369","ISSN":"1521009X","abstract":"Reliable and versatile hepatic in vitro systems for the prediction of drug pharmacokinetics and toxicity are essential constituents of preclinical safety assessment pipelines for new medicines. Here, we compared three emerging cell systems-hepatocytes derived from induced pluripotent stem cells, HepaRG cells, and threedimensional primary human hepatocyte (PHH) spheroids-at transcriptional and functional levels in a multicenter study to evaluate their potential as predictive models for drug-induced hepatotoxicity. Transcriptomic analyses revealed widespread gene expression differences between the three cell models, with 8148 of 17,462 analyzed genes (47%) being differentially expressed. Expression levels of genes involved in the metabolism of endogenous as well as xenobiotic compounds were significantly elevated in PHH spheroids, whereas genes involved in cell division and endocytosis were significantly upregulated in HepaRG cells and hepatocytes derived from induced pluripotent stem cells, respectively. Consequently, PHH spheroids were more sensitive to a panel of drugs with distinctly different toxicity mechanisms, an effect that was amplified by long-term exposure using repeated treatments. Importantly, toxicogenomic analyses revealed that transcriptomic changes in PHH spheroids were in compliance with cholestatic, carcinogenic, or steatogenic in vivo toxicity mechanisms at clinically relevant drug concentrations. Combined, the data reveal important phenotypic differences between the three cell systems and suggest that PHH spheroids can be used for functional investigations of drug-induced liver injury in vivo in humans.","author":[{"dropping-particle":"","family":"Bell","given":"Catherine C.","non-dropping-particle":"","parse-names":false,"suffix":""},{"dropping-particle":"","family":"Lauschke","given":"Volker M.","non-dropping-particle":"","parse-names":false,"suffix":""},{"dropping-particle":"","family":"Vorrink","given":"Sabine U.","non-dropping-particle":"","parse-names":false,"suffix":""},{"dropping-particle":"","family":"Palmgren","given":"Henrik","non-dropping-particle":"","parse-names":false,"suffix":""},{"dropping-particle":"","family":"Duffin","given":"Rodger","non-dropping-particle":"","parse-names":false,"suffix":""},{"dropping-particle":"","family":"Andersson","given":"Tommy B.","non-dropping-particle":"","parse-names":false,"suffix":""},{"dropping-particle":"","family":"Ingelman-Sundberg","given":"Magnus","non-dropping-particle":"","parse-names":false,"suffix":""}],"container-title":"Drug Metabolism and Disposition","id":"ITEM-1","issue":"4","issued":{"date-parts":[["2017"]]},"page":"419–429","title":"Transcriptional, functional, and mechanistic comparisons of stem cell-derived hepatocytes, HepaRG cells, and three-dimensional human hepatocyte spheroids as predictive in vitro systems for drug-induced liver injury","type":"article-journal","volume":"45"},"uris":["http://www.mendeley.com/documents/?uuid=4ee2d66b-9479-4ce4-9359-9a2036e26f66","http://www.mendeley.com/documents/?uuid=d2906bd5-239b-4595-bed0-4ddb24c499a1"]}],"mendeley":{"formattedCitation":"(Bell et al., 2017)","plainTextFormattedCitation":"(Bell et al., 2017)","previouslyFormattedCitation":"(Bell et al., 2017)"},"properties":{"noteIndex":0},"schema":"https://github.com/citation-style-language/schema/raw/master/csl-citation.json"}</w:instrText>
            </w:r>
            <w:r w:rsidRPr="00D83073">
              <w:rPr>
                <w:sz w:val="18"/>
              </w:rPr>
              <w:fldChar w:fldCharType="separate"/>
            </w:r>
            <w:r w:rsidRPr="00D83073">
              <w:rPr>
                <w:noProof/>
                <w:sz w:val="18"/>
              </w:rPr>
              <w:t>(Bell et al., 2017)</w:t>
            </w:r>
            <w:r w:rsidRPr="00D83073">
              <w:rPr>
                <w:sz w:val="18"/>
              </w:rPr>
              <w:fldChar w:fldCharType="end"/>
            </w:r>
          </w:p>
        </w:tc>
      </w:tr>
      <w:tr w:rsidR="00007CB5" w:rsidRPr="00E076C9" w14:paraId="4E222624" w14:textId="77777777" w:rsidTr="00007CB5">
        <w:trPr>
          <w:trHeight w:val="881"/>
          <w:jc w:val="center"/>
        </w:trPr>
        <w:tc>
          <w:tcPr>
            <w:tcW w:w="1560" w:type="dxa"/>
            <w:vMerge/>
            <w:shd w:val="clear" w:color="auto" w:fill="auto"/>
            <w:vAlign w:val="center"/>
          </w:tcPr>
          <w:p w14:paraId="3130E286" w14:textId="77777777" w:rsidR="00007CB5" w:rsidRPr="00496FC3" w:rsidRDefault="00007CB5" w:rsidP="004C2E3E">
            <w:pPr>
              <w:spacing w:before="0" w:after="0"/>
              <w:contextualSpacing/>
              <w:rPr>
                <w:sz w:val="18"/>
              </w:rPr>
            </w:pPr>
          </w:p>
        </w:tc>
        <w:tc>
          <w:tcPr>
            <w:tcW w:w="2835" w:type="dxa"/>
            <w:vMerge w:val="restart"/>
            <w:shd w:val="clear" w:color="auto" w:fill="auto"/>
            <w:vAlign w:val="center"/>
          </w:tcPr>
          <w:p w14:paraId="3B6EFB7B" w14:textId="77777777" w:rsidR="00007CB5" w:rsidRPr="00496FC3" w:rsidRDefault="00007CB5" w:rsidP="004C2E3E">
            <w:pPr>
              <w:spacing w:before="0" w:after="0"/>
              <w:contextualSpacing/>
              <w:rPr>
                <w:sz w:val="18"/>
              </w:rPr>
            </w:pPr>
            <w:r w:rsidRPr="00496FC3">
              <w:rPr>
                <w:sz w:val="18"/>
              </w:rPr>
              <w:t>3D Spheroids</w:t>
            </w:r>
          </w:p>
        </w:tc>
        <w:tc>
          <w:tcPr>
            <w:tcW w:w="1842" w:type="dxa"/>
            <w:shd w:val="clear" w:color="auto" w:fill="auto"/>
            <w:vAlign w:val="center"/>
          </w:tcPr>
          <w:p w14:paraId="38E09921" w14:textId="77777777" w:rsidR="00007CB5" w:rsidRPr="00496FC3" w:rsidRDefault="00007CB5" w:rsidP="004C2E3E">
            <w:pPr>
              <w:spacing w:before="0" w:after="0"/>
              <w:contextualSpacing/>
              <w:rPr>
                <w:sz w:val="18"/>
              </w:rPr>
            </w:pPr>
            <w:r w:rsidRPr="00496FC3">
              <w:rPr>
                <w:sz w:val="18"/>
              </w:rPr>
              <w:t>24h after 5 days in culture</w:t>
            </w:r>
          </w:p>
          <w:p w14:paraId="2BB27E7E" w14:textId="1B5F5AC3" w:rsidR="00007CB5" w:rsidRPr="00496FC3" w:rsidRDefault="00007CB5" w:rsidP="004C2E3E">
            <w:pPr>
              <w:spacing w:before="0" w:after="0"/>
              <w:contextualSpacing/>
              <w:rPr>
                <w:sz w:val="18"/>
              </w:rPr>
            </w:pPr>
            <w:r w:rsidRPr="00496FC3">
              <w:rPr>
                <w:sz w:val="18"/>
              </w:rPr>
              <w:t>24h after 22 days in culture</w:t>
            </w:r>
          </w:p>
        </w:tc>
        <w:tc>
          <w:tcPr>
            <w:tcW w:w="1418" w:type="dxa"/>
            <w:shd w:val="clear" w:color="auto" w:fill="auto"/>
            <w:noWrap/>
            <w:vAlign w:val="center"/>
          </w:tcPr>
          <w:p w14:paraId="3F08D421" w14:textId="7BB3534A" w:rsidR="00007CB5" w:rsidRDefault="00007CB5" w:rsidP="004C2E3E">
            <w:pPr>
              <w:spacing w:before="0" w:after="0"/>
              <w:contextualSpacing/>
              <w:rPr>
                <w:sz w:val="18"/>
              </w:rPr>
            </w:pPr>
            <w:r w:rsidRPr="00496FC3">
              <w:rPr>
                <w:sz w:val="18"/>
              </w:rPr>
              <w:t>2.7</w:t>
            </w:r>
          </w:p>
          <w:p w14:paraId="298F3A1E" w14:textId="77777777" w:rsidR="00007CB5" w:rsidRPr="00496FC3" w:rsidRDefault="00007CB5" w:rsidP="004C2E3E">
            <w:pPr>
              <w:spacing w:before="0" w:after="0"/>
              <w:contextualSpacing/>
              <w:rPr>
                <w:sz w:val="18"/>
              </w:rPr>
            </w:pPr>
          </w:p>
          <w:p w14:paraId="79AB7552" w14:textId="50BEC9AF" w:rsidR="00007CB5" w:rsidRPr="00496FC3" w:rsidRDefault="00007CB5" w:rsidP="004C2E3E">
            <w:pPr>
              <w:spacing w:before="0" w:after="0"/>
              <w:contextualSpacing/>
              <w:rPr>
                <w:sz w:val="18"/>
              </w:rPr>
            </w:pPr>
            <w:r w:rsidRPr="00496FC3">
              <w:rPr>
                <w:sz w:val="18"/>
              </w:rPr>
              <w:t>10.1</w:t>
            </w:r>
          </w:p>
        </w:tc>
        <w:tc>
          <w:tcPr>
            <w:tcW w:w="1984" w:type="dxa"/>
            <w:vMerge w:val="restart"/>
            <w:shd w:val="clear" w:color="auto" w:fill="auto"/>
            <w:noWrap/>
            <w:vAlign w:val="center"/>
          </w:tcPr>
          <w:p w14:paraId="3BA467ED" w14:textId="77777777" w:rsidR="00007CB5" w:rsidRPr="00496FC3" w:rsidRDefault="00007CB5" w:rsidP="00DE184F">
            <w:pPr>
              <w:spacing w:before="0" w:after="0"/>
              <w:ind w:left="36" w:hanging="36"/>
              <w:contextualSpacing/>
              <w:rPr>
                <w:sz w:val="18"/>
              </w:rPr>
            </w:pPr>
            <w:r w:rsidRPr="00496FC3">
              <w:rPr>
                <w:sz w:val="18"/>
              </w:rPr>
              <w:t>ATP Quantification</w:t>
            </w:r>
          </w:p>
          <w:p w14:paraId="41C0CAEB" w14:textId="2A75B342" w:rsidR="00007CB5" w:rsidRPr="00496FC3" w:rsidRDefault="00007CB5" w:rsidP="004C2E3E">
            <w:pPr>
              <w:spacing w:before="0" w:after="0"/>
              <w:contextualSpacing/>
              <w:rPr>
                <w:sz w:val="18"/>
              </w:rPr>
            </w:pPr>
          </w:p>
        </w:tc>
        <w:tc>
          <w:tcPr>
            <w:tcW w:w="3687" w:type="dxa"/>
            <w:vAlign w:val="center"/>
          </w:tcPr>
          <w:p w14:paraId="1C35643A" w14:textId="7EE4508B" w:rsidR="00007CB5" w:rsidRDefault="00007CB5" w:rsidP="004C2E3E">
            <w:pPr>
              <w:spacing w:before="0" w:after="0"/>
              <w:contextualSpacing/>
              <w:rPr>
                <w:bCs/>
                <w:sz w:val="18"/>
              </w:rPr>
            </w:pPr>
            <w:r>
              <w:rPr>
                <w:sz w:val="18"/>
              </w:rPr>
              <w:t>CYP2E1 and MRP-2 activity | NA</w:t>
            </w:r>
          </w:p>
        </w:tc>
        <w:tc>
          <w:tcPr>
            <w:tcW w:w="1231" w:type="dxa"/>
            <w:shd w:val="clear" w:color="auto" w:fill="auto"/>
            <w:noWrap/>
            <w:vAlign w:val="center"/>
          </w:tcPr>
          <w:p w14:paraId="4752CA27" w14:textId="77777777" w:rsidR="00007CB5" w:rsidRPr="00D83073" w:rsidRDefault="00007CB5"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{"citationItems":[{"id":"ITEM-1","itemData":{"DOI":"10.1093/toxsci/kft021","ISSN":"10966080","abstract":"Drug-induced human hepatotoxicity is difficult to predict using the current in vitro systems. In this study, long-term 3D organotypic cultures of the human hepatoma HepaRG cell line were prepared using a high-throughput hanging drop method. The organotypic cultures were maintained for 3 weeks and assessed for (1) liver specific functions, including phase I enzyme and transporter activities, (2) expression of liver-specific proteins, and (3) responses to three drugs (acetaminophen, troglitazone, and rosiglitazone). Our results show that the organotypic cultures maintain high liver-specific functionality during 3 weeks of culture. The immunohistochemistry analyses illustrate that the organotypic cultures express liver-specific markers such as albumin, CYP3A4, CYP2E1, and MRP-2 throughout the cultivation period. Accordingly, the production rates of albumin and glucose, as well as CYP2E1 activity, were significantly higher in the 3D versus the 2D cultures. Toxicity studies show that the organotypic cultures are more sensitive to acetaminophen- and rosiglitazone-induced toxicity but less sensitive to troglitazone-induced toxicity than the 2D cultures. Furthermore, the EC50 value (2.7mM) for acetaminophen on the 3D cultures was similar to in vivo toxicity. In summary, the results from our study suggest that the 3D organotypic HepaRG culture is a promising in vitro tool for more accurate assessment of acute and also possibly for chronic drug-induced hepatotoxicity. © The Author 2013. Published by Oxford University Press on behalf of the Society of Toxicology. All rights reserved.","author":[{"dropping-particle":"","family":"Gunness","given":"Patrina","non-dropping-particle":"","parse-names":false,"suffix":""},{"dropping-particle":"","family":"Mueller","given":"Daniel","non-dropping-particle":"","parse-names":false,"suffix":""},{"dropping-particle":"","family":"Shevchenko","given":"Valery","non-dropping-particle":"","parse-names":false,"suffix":""},{"dropping-particle":"","family":"Heinzle","given":"Elmar","non-dropping-particle":"","parse-names":false,"suffix":""},{"dropping-particle":"","family":"Ingelman-Sundberg","given":"Magnus","non-dropping-particle":"","parse-names":false,"suffix":""},{"dropping-particle":"","family":"Noor","given":"Fozia","non-dropping-particle":"","parse-names":false,"suffix":""}],"container-title":"Toxicological Sciences","id":"ITEM-1","issue":"1","issued":{"date-parts":[["2013"]]},"page":"67-78","title":"3D organotypic cultures of human heparg cells: A tool for in vitro toxicity studies","type":"article-journal","volume":"133"},"uris":["http://www.mendeley.com/documents/?uuid=2677ff2e-71da-47db-93d4-2af1a27bb5b7","http://www.mendeley.com/documents/?uuid=504e7ffa-154c-4146-b106-8cbab6b6e5da"]}],"mendeley":{"formattedCitation":"(Gunness et al., 2013)","plainTextFormattedCitation":"(Gunness et al., 2013)","previouslyFormattedCitation":"(Gunness et al., 2013)"},"properties":{"noteIndex":0},"schema":"https://github.com/citation-style-language/schema/raw/master/csl-citation.json"}</w:instrText>
            </w:r>
            <w:r w:rsidRPr="00D83073">
              <w:rPr>
                <w:sz w:val="18"/>
              </w:rPr>
              <w:fldChar w:fldCharType="separate"/>
            </w:r>
            <w:r w:rsidRPr="00D83073">
              <w:rPr>
                <w:noProof/>
                <w:sz w:val="18"/>
              </w:rPr>
              <w:t>(Gunness et al., 2013)</w:t>
            </w:r>
            <w:r w:rsidRPr="00D83073">
              <w:rPr>
                <w:sz w:val="18"/>
              </w:rPr>
              <w:fldChar w:fldCharType="end"/>
            </w:r>
          </w:p>
        </w:tc>
      </w:tr>
      <w:tr w:rsidR="00007CB5" w:rsidRPr="00E076C9" w14:paraId="78789FF7" w14:textId="77777777" w:rsidTr="00007CB5">
        <w:trPr>
          <w:trHeight w:val="940"/>
          <w:jc w:val="center"/>
        </w:trPr>
        <w:tc>
          <w:tcPr>
            <w:tcW w:w="1560" w:type="dxa"/>
            <w:vMerge/>
            <w:shd w:val="clear" w:color="auto" w:fill="auto"/>
            <w:vAlign w:val="center"/>
          </w:tcPr>
          <w:p w14:paraId="460094B4" w14:textId="77777777" w:rsidR="00007CB5" w:rsidRPr="00496FC3" w:rsidRDefault="00007CB5" w:rsidP="004C2E3E">
            <w:pPr>
              <w:spacing w:before="0" w:after="0"/>
              <w:contextualSpacing/>
              <w:rPr>
                <w:sz w:val="18"/>
              </w:rPr>
            </w:pPr>
          </w:p>
        </w:tc>
        <w:tc>
          <w:tcPr>
            <w:tcW w:w="2835" w:type="dxa"/>
            <w:vMerge/>
            <w:shd w:val="clear" w:color="auto" w:fill="auto"/>
            <w:vAlign w:val="center"/>
          </w:tcPr>
          <w:p w14:paraId="1F558925" w14:textId="77777777" w:rsidR="00007CB5" w:rsidRPr="00187CD0" w:rsidRDefault="00007CB5" w:rsidP="004C2E3E">
            <w:pPr>
              <w:spacing w:before="0" w:after="0"/>
              <w:contextualSpacing/>
              <w:rPr>
                <w:sz w:val="18"/>
              </w:rPr>
            </w:pPr>
          </w:p>
        </w:tc>
        <w:tc>
          <w:tcPr>
            <w:tcW w:w="1842" w:type="dxa"/>
            <w:shd w:val="clear" w:color="auto" w:fill="auto"/>
            <w:vAlign w:val="center"/>
          </w:tcPr>
          <w:p w14:paraId="5D92451D" w14:textId="77777777" w:rsidR="00007CB5" w:rsidRPr="00187CD0" w:rsidRDefault="00007CB5" w:rsidP="004C2E3E">
            <w:pPr>
              <w:spacing w:before="0" w:after="0"/>
              <w:contextualSpacing/>
              <w:rPr>
                <w:sz w:val="18"/>
              </w:rPr>
            </w:pPr>
            <w:r w:rsidRPr="00496FC3">
              <w:rPr>
                <w:sz w:val="18"/>
              </w:rPr>
              <w:t>24h after 6/7 days in culture</w:t>
            </w:r>
          </w:p>
          <w:p w14:paraId="2F7B1C6C" w14:textId="4F724D0B" w:rsidR="00007CB5" w:rsidRPr="00187CD0" w:rsidRDefault="00007CB5" w:rsidP="004C2E3E">
            <w:pPr>
              <w:spacing w:before="0" w:after="0"/>
              <w:contextualSpacing/>
              <w:rPr>
                <w:sz w:val="18"/>
              </w:rPr>
            </w:pPr>
            <w:r w:rsidRPr="00496FC3">
              <w:rPr>
                <w:sz w:val="18"/>
              </w:rPr>
              <w:t>24h after 21/22 days in culture</w:t>
            </w:r>
          </w:p>
        </w:tc>
        <w:tc>
          <w:tcPr>
            <w:tcW w:w="1418" w:type="dxa"/>
            <w:shd w:val="clear" w:color="auto" w:fill="auto"/>
            <w:noWrap/>
            <w:vAlign w:val="center"/>
          </w:tcPr>
          <w:p w14:paraId="20FE15C1" w14:textId="2C4213E2" w:rsidR="00007CB5" w:rsidRPr="00187CD0" w:rsidRDefault="00007CB5" w:rsidP="004C2E3E">
            <w:pPr>
              <w:spacing w:before="0" w:after="0"/>
              <w:contextualSpacing/>
              <w:rPr>
                <w:sz w:val="18"/>
              </w:rPr>
            </w:pPr>
            <w:r w:rsidRPr="00496FC3">
              <w:rPr>
                <w:sz w:val="18"/>
              </w:rPr>
              <w:t>11.6</w:t>
            </w:r>
          </w:p>
        </w:tc>
        <w:tc>
          <w:tcPr>
            <w:tcW w:w="1984" w:type="dxa"/>
            <w:vMerge/>
            <w:shd w:val="clear" w:color="auto" w:fill="auto"/>
            <w:noWrap/>
            <w:vAlign w:val="center"/>
          </w:tcPr>
          <w:p w14:paraId="4E9561A2" w14:textId="79B1A3A5" w:rsidR="00007CB5" w:rsidRPr="00187CD0" w:rsidRDefault="00007CB5" w:rsidP="004C2E3E">
            <w:pPr>
              <w:spacing w:before="0" w:after="0"/>
              <w:contextualSpacing/>
              <w:rPr>
                <w:sz w:val="18"/>
              </w:rPr>
            </w:pPr>
          </w:p>
        </w:tc>
        <w:tc>
          <w:tcPr>
            <w:tcW w:w="3687" w:type="dxa"/>
            <w:vAlign w:val="center"/>
          </w:tcPr>
          <w:p w14:paraId="53CF597E" w14:textId="1B3C60D8" w:rsidR="00007CB5" w:rsidRPr="00187CD0" w:rsidRDefault="00007CB5" w:rsidP="004C2E3E">
            <w:pPr>
              <w:spacing w:before="0" w:after="0"/>
              <w:contextualSpacing/>
              <w:rPr>
                <w:sz w:val="18"/>
              </w:rPr>
            </w:pPr>
            <w:r w:rsidRPr="00AE4EC8">
              <w:rPr>
                <w:sz w:val="18"/>
              </w:rPr>
              <w:t>CYP induction</w:t>
            </w:r>
            <w:r>
              <w:rPr>
                <w:sz w:val="18"/>
              </w:rPr>
              <w:t xml:space="preserve"> |</w:t>
            </w:r>
            <w:r w:rsidRPr="00AE4EC8">
              <w:rPr>
                <w:sz w:val="18"/>
              </w:rPr>
              <w:t xml:space="preserve"> mitochondrial function (OCR) and glycolytic activity (ECAR), fibrosis (HSC activation, collagen secretion and deposition)</w:t>
            </w:r>
          </w:p>
        </w:tc>
        <w:tc>
          <w:tcPr>
            <w:tcW w:w="1231" w:type="dxa"/>
            <w:shd w:val="clear" w:color="auto" w:fill="auto"/>
            <w:noWrap/>
            <w:vAlign w:val="center"/>
          </w:tcPr>
          <w:p w14:paraId="54A92837" w14:textId="77777777" w:rsidR="00007CB5" w:rsidRPr="00D83073" w:rsidRDefault="00007CB5" w:rsidP="004C2E3E">
            <w:pPr>
              <w:spacing w:before="0" w:after="0"/>
              <w:contextualSpacing/>
              <w:rPr>
                <w:sz w:val="18"/>
              </w:rPr>
            </w:pPr>
            <w:r w:rsidRPr="00D83073">
              <w:rPr>
                <w:sz w:val="18"/>
                <w:lang w:val="de-DE"/>
              </w:rPr>
              <w:fldChar w:fldCharType="begin" w:fldLock="1"/>
            </w:r>
            <w:r w:rsidRPr="00D83073">
              <w:rPr>
                <w:sz w:val="18"/>
              </w:rPr>
              <w:instrText>ADDIN CSL_CITATION {"citationItems":[{"id":"ITEM-1","itemData":{"DOI":"10.1016/j.biomaterials.2015.11.026","ISSN":"18785905","abstract":"Current models for in vitro fibrosis consist of simple mono-layer cultures of rodent hepatic stellate cells (HSC), ignoring the role of hepatocyte injury. We aimed to develop a method allowing the detection of hepatocyte-mediated and drug-induced liver fibrosis. We used HepaRG (Hep) and primary human HSCs cultured as 3D spheroids in 96-well plates. These resulting scaffold-free organoids were characterized for CYP induction, albumin secretion, and hepatocyte and HSC-specific gene expression by qPCR. The metabolic competence of the organoid over 21 days allows activation of HSCs in the organoid in a drug- and hepatocyte-dependent manner. After a single dose or repeated exposure for 14 days to the pro-fibrotic compounds Allyl alcohol and Methotrexate, hepatic organoids display fibrotic features such as HSC activation, collagen secretion and deposition. Acetaminophen was identified by these organoids as an inducer of hepatotoxic-mediated HSC activation which was confirmed in vivo in mice. This novel hepatic organoid culture model is the first that can detect hepatocyte-dependent and compound-induced HSC activation, thereby representing an important step forward towards in vitro compound testing for drug-induced liver fibrosis.","author":[{"dropping-particle":"","family":"Leite","given":"Sofia B.","non-dropping-particle":"","parse-names":false,"suffix":""},{"dropping-particle":"","family":"Roosens","given":"Tiffany","non-dropping-particle":"","parse-names":false,"suffix":""},{"dropping-particle":"","family":"Taghdouini","given":"Adil","non-dropping-particle":"El","parse-names":false,"suffix":""},{"dropping-particle":"","family":"Mannaerts","given":"Inge","non-dropping-particle":"","parse-names":false,"suffix":""},{"dropping-particle":"","family":"Smout","given":"Ayla J.","non-dropping-particle":"","parse-names":false,"suffix":""},{"dropping-particle":"","family":"Najimi","given":"Mustapha","non-dropping-particle":"","parse-names":false,"suffix":""},{"dropping-particle":"","family":"Sokal","given":"Etienne","non-dropping-particle":"","parse-names":false,"suffix":""},{"dropping-particle":"","family":"Noor","given":"Fozia","non-dropping-particle":"","parse-names":false,"suffix":""},{"dropping-particle":"","family":"Chesne","given":"Christophe","non-dropping-particle":"","parse-names":false,"suffix":""},{"dropping-particle":"","family":"Grunsven","given":"Leo A.","non-dropping-particle":"van","parse-names":false,"suffix":""}],"container-title":"Biomaterials","id":"ITEM-1","issued":{"date-parts":[["2016"]]},"page":"1-10","title":"Novel human hepatic organoid model enables testing of drug-induced liver fibrosis in vitro","type":"article-journal","volume":"78"},"uris":["http://www.mendeley.com/documents/?uuid=4673bc91-024b-41da-a16e-a58fe4deae52"]}],"mendeley":{"formattedCitation":"(Leite et al., 2016)","plainTextFormattedCitation":"(Leite et al., 2016)","previouslyFormattedCitation":"(Leite et al., 2016)"},"properties":{"noteIndex":0},"schema":"https://github.com/citation-style-language/schema/raw/master/csl-citation.json"}</w:instrText>
            </w:r>
            <w:r w:rsidRPr="00D83073">
              <w:rPr>
                <w:sz w:val="18"/>
                <w:lang w:val="de-DE"/>
              </w:rPr>
              <w:fldChar w:fldCharType="separate"/>
            </w:r>
            <w:r w:rsidRPr="00D83073">
              <w:rPr>
                <w:noProof/>
                <w:sz w:val="18"/>
              </w:rPr>
              <w:t>(Leite et al., 2016)</w:t>
            </w:r>
            <w:r w:rsidRPr="00D83073">
              <w:rPr>
                <w:sz w:val="18"/>
                <w:lang w:val="de-DE"/>
              </w:rPr>
              <w:fldChar w:fldCharType="end"/>
            </w:r>
          </w:p>
        </w:tc>
      </w:tr>
      <w:tr w:rsidR="0058350C" w:rsidRPr="00E076C9" w14:paraId="21DA832A" w14:textId="77777777" w:rsidTr="00007CB5">
        <w:trPr>
          <w:trHeight w:val="381"/>
          <w:jc w:val="center"/>
        </w:trPr>
        <w:tc>
          <w:tcPr>
            <w:tcW w:w="1560" w:type="dxa"/>
            <w:vMerge/>
            <w:shd w:val="clear" w:color="auto" w:fill="auto"/>
            <w:vAlign w:val="center"/>
          </w:tcPr>
          <w:p w14:paraId="536D110E" w14:textId="77777777" w:rsidR="0058350C" w:rsidRPr="00496FC3" w:rsidRDefault="0058350C" w:rsidP="004C2E3E">
            <w:pPr>
              <w:spacing w:before="0" w:after="0"/>
              <w:contextualSpacing/>
              <w:rPr>
                <w:sz w:val="18"/>
              </w:rPr>
            </w:pPr>
          </w:p>
        </w:tc>
        <w:tc>
          <w:tcPr>
            <w:tcW w:w="2835" w:type="dxa"/>
            <w:shd w:val="clear" w:color="auto" w:fill="auto"/>
            <w:vAlign w:val="center"/>
          </w:tcPr>
          <w:p w14:paraId="1A343030" w14:textId="618EEF30" w:rsidR="0058350C" w:rsidRPr="00496FC3" w:rsidRDefault="0058350C" w:rsidP="004C2E3E">
            <w:pPr>
              <w:spacing w:before="0" w:after="0"/>
              <w:contextualSpacing/>
              <w:rPr>
                <w:sz w:val="18"/>
              </w:rPr>
            </w:pPr>
            <w:r w:rsidRPr="00187CD0">
              <w:rPr>
                <w:sz w:val="18"/>
              </w:rPr>
              <w:t xml:space="preserve">3D </w:t>
            </w:r>
            <w:r w:rsidRPr="000268A6">
              <w:rPr>
                <w:sz w:val="18"/>
              </w:rPr>
              <w:t>Spheroid</w:t>
            </w:r>
            <w:r w:rsidR="00885CC0" w:rsidRPr="000268A6">
              <w:rPr>
                <w:sz w:val="18"/>
              </w:rPr>
              <w:t>s</w:t>
            </w:r>
            <w:r>
              <w:rPr>
                <w:sz w:val="18"/>
              </w:rPr>
              <w:t xml:space="preserve"> </w:t>
            </w:r>
            <w:r w:rsidRPr="00187CD0">
              <w:rPr>
                <w:sz w:val="18"/>
              </w:rPr>
              <w:t>with pulverized liver   biomatrix scaffolds</w:t>
            </w:r>
          </w:p>
        </w:tc>
        <w:tc>
          <w:tcPr>
            <w:tcW w:w="1842" w:type="dxa"/>
            <w:shd w:val="clear" w:color="auto" w:fill="auto"/>
            <w:vAlign w:val="center"/>
          </w:tcPr>
          <w:p w14:paraId="5F295CB4" w14:textId="77777777" w:rsidR="0058350C" w:rsidRPr="00496FC3" w:rsidRDefault="0058350C" w:rsidP="004C2E3E">
            <w:pPr>
              <w:spacing w:before="0" w:after="0"/>
              <w:contextualSpacing/>
              <w:rPr>
                <w:sz w:val="18"/>
              </w:rPr>
            </w:pPr>
            <w:r w:rsidRPr="00187CD0">
              <w:rPr>
                <w:sz w:val="18"/>
              </w:rPr>
              <w:t>24h</w:t>
            </w:r>
          </w:p>
        </w:tc>
        <w:tc>
          <w:tcPr>
            <w:tcW w:w="1418" w:type="dxa"/>
            <w:shd w:val="clear" w:color="auto" w:fill="auto"/>
            <w:noWrap/>
            <w:vAlign w:val="center"/>
          </w:tcPr>
          <w:p w14:paraId="50D6593B" w14:textId="77777777" w:rsidR="0058350C" w:rsidRDefault="0058350C" w:rsidP="004C2E3E">
            <w:pPr>
              <w:spacing w:before="0" w:after="0"/>
              <w:contextualSpacing/>
              <w:rPr>
                <w:sz w:val="18"/>
              </w:rPr>
            </w:pPr>
            <w:r w:rsidRPr="00187CD0">
              <w:rPr>
                <w:sz w:val="18"/>
              </w:rPr>
              <w:t>20</w:t>
            </w:r>
            <w:r>
              <w:rPr>
                <w:sz w:val="18"/>
              </w:rPr>
              <w:t xml:space="preserve">.0 </w:t>
            </w:r>
          </w:p>
          <w:p w14:paraId="4A29FF3B" w14:textId="1160081E" w:rsidR="0058350C" w:rsidRPr="00496FC3" w:rsidRDefault="0058350C" w:rsidP="004C2E3E">
            <w:pPr>
              <w:spacing w:before="0" w:after="0"/>
              <w:contextualSpacing/>
              <w:rPr>
                <w:sz w:val="18"/>
              </w:rPr>
            </w:pPr>
            <w:r>
              <w:rPr>
                <w:sz w:val="18"/>
              </w:rPr>
              <w:t>(toxicity starting on 0.8</w:t>
            </w:r>
            <w:r w:rsidR="00DE184F">
              <w:rPr>
                <w:sz w:val="18"/>
              </w:rPr>
              <w:t xml:space="preserve"> </w:t>
            </w:r>
            <w:r>
              <w:rPr>
                <w:sz w:val="18"/>
              </w:rPr>
              <w:t>mM*)</w:t>
            </w:r>
          </w:p>
        </w:tc>
        <w:tc>
          <w:tcPr>
            <w:tcW w:w="1984" w:type="dxa"/>
            <w:shd w:val="clear" w:color="auto" w:fill="auto"/>
            <w:noWrap/>
            <w:vAlign w:val="center"/>
          </w:tcPr>
          <w:p w14:paraId="48314942" w14:textId="77777777" w:rsidR="0058350C" w:rsidRPr="00496FC3" w:rsidRDefault="0058350C" w:rsidP="004C2E3E">
            <w:pPr>
              <w:spacing w:before="0" w:after="0"/>
              <w:contextualSpacing/>
              <w:rPr>
                <w:sz w:val="18"/>
              </w:rPr>
            </w:pPr>
            <w:r w:rsidRPr="00187CD0">
              <w:rPr>
                <w:sz w:val="18"/>
              </w:rPr>
              <w:t>Alamar Blue</w:t>
            </w:r>
          </w:p>
        </w:tc>
        <w:tc>
          <w:tcPr>
            <w:tcW w:w="3687" w:type="dxa"/>
            <w:vAlign w:val="center"/>
          </w:tcPr>
          <w:p w14:paraId="25D4461D" w14:textId="295ED7AE" w:rsidR="0058350C" w:rsidRDefault="0058350C" w:rsidP="004C2E3E">
            <w:pPr>
              <w:spacing w:before="0" w:after="0"/>
              <w:contextualSpacing/>
              <w:rPr>
                <w:bCs/>
                <w:sz w:val="18"/>
              </w:rPr>
            </w:pPr>
            <w:r w:rsidRPr="00187CD0">
              <w:rPr>
                <w:sz w:val="18"/>
              </w:rPr>
              <w:t>Metabolic competence and metabolite quantification</w:t>
            </w:r>
            <w:r>
              <w:rPr>
                <w:sz w:val="18"/>
              </w:rPr>
              <w:t xml:space="preserve"> |</w:t>
            </w:r>
            <w:r w:rsidRPr="00187CD0">
              <w:rPr>
                <w:sz w:val="18"/>
              </w:rPr>
              <w:t xml:space="preserve"> mitochondrial ROS levels and MMP measurement</w:t>
            </w:r>
          </w:p>
        </w:tc>
        <w:tc>
          <w:tcPr>
            <w:tcW w:w="1231" w:type="dxa"/>
            <w:shd w:val="clear" w:color="auto" w:fill="auto"/>
            <w:noWrap/>
            <w:vAlign w:val="center"/>
          </w:tcPr>
          <w:p w14:paraId="5B9297E8" w14:textId="77777777" w:rsidR="0058350C" w:rsidRPr="00D83073" w:rsidRDefault="0058350C"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{"citationItems":[{"id":"ITEM-1","itemData":{"DOI":"10.1016/j.yrtph.2020.104661","ISSN":"10960295","PMID":"32315674","abstract":"Selection of appropriate fit-for-purpose in vitro and in silico models is critical for non-animal safety assessment of chemical-induced hepatoxicity. The present study evaluated the feasibility of integrating in vitro data from three-dimensionally (3D)-cultured HepaRG cells and physiologically based pharmacokinetic (PBPK) modeling to predict chemical-induced liver toxicity. A 3D organoid culture system was established using an ultralow attachment method. HepaRG cells cultured in a two-dimensional (2D) monolayer and under 3D conditions were exposed to acetaminophen (APAP) at concentrations of 0.16–20 mM. The results showed that the viability of both 3D- and 2D cultured cells was significantly decreased by APAP in a concentration-dependent manner. Furthermore, 3D cultures were more sensitive to APAP-induced mitochondrial damage than 2D cultures were, based on measurements of mitochondrial superoxide accumulation and mitochondrial membrane potential loss. PBPK simulations using nominal in vitro concentrations showed that the APAP concentration eliciting mitochondrial damage was closer to the predicted peak liver concentration in humans in 3D cultures than it was in 2D cultures. In summary, our results suggest that combining in vitro data from 3D HepaRG cultures and PBPK modeling provides a promising tool for assessment of liver injury.","author":[{"dropping-particle":"","family":"Zhang","given":"Chi","non-dropping-particle":"","parse-names":false,"suffix":""},{"dropping-particle":"","family":"Zhang","given":"Qiang","non-dropping-particle":"","parse-names":false,"suffix":""},{"dropping-particle":"","family":"Li","given":"Jin","non-dropping-particle":"","parse-names":false,"suffix":""},{"dropping-particle":"","family":"Yu","given":"Lin","non-dropping-particle":"","parse-names":false,"suffix":""},{"dropping-particle":"","family":"Li","given":"Fengxiang","non-dropping-particle":"","parse-names":false,"suffix":""},{"dropping-particle":"","family":"Li","given":"Weiwei","non-dropping-particle":"","parse-names":false,"suffix":""},{"dropping-particle":"","family":"Li","given":"Yujie","non-dropping-particle":"","parse-names":false,"suffix":""},{"dropping-particle":"","family":"Peng","given":"Hui","non-dropping-particle":"","parse-names":false,"suffix":""},{"dropping-particle":"","family":"Zhao","given":"Jun","non-dropping-particle":"","parse-names":false,"suffix":""},{"dropping-particle":"","family":"Carmichael","given":"Paul L.","non-dropping-particle":"","parse-names":false,"suffix":""},{"dropping-particle":"","family":"Wang","given":"Yunfang","non-dropping-particle":"","parse-names":false,"suffix":""},{"dropping-particle":"","family":"Peng","given":"Shuangqing","non-dropping-particle":"","parse-names":false,"suffix":""},{"dropping-particle":"","family":"Guo","given":"Jiabin","non-dropping-particle":"","parse-names":false,"suffix":""}],"container-title":"Regulatory Toxicology and Pharmacology","id":"ITEM-1","issued":{"date-parts":[["2020"]]},"page":"104661","publisher":"Elsevier Inc.","title":"Integration of in vitro data from three dimensionally cultured HepaRG cells and physiologically based pharmacokinetic modeling for assessment of acetaminophen hepatotoxicity","type":"article-journal","volume":"114"},"uris":["http://www.mendeley.com/documents/?uuid=de0120fc-8df9-4d5a-86fd-291f3f1933d1","http://www.mendeley.com/documents/?uuid=a80386c2-174a-4159-b6d1-9813be716d02"]}],"mendeley":{"formattedCitation":"(Zhang et al., 2020)","plainTextFormattedCitation":"(Zhang et al., 2020)","previouslyFormattedCitation":"(Zhang et al., 2020)"},"properties":{"noteIndex":0},"schema":"https://github.com/citation-style-language/schema/raw/master/csl-citation.json"}</w:instrText>
            </w:r>
            <w:r w:rsidRPr="00D83073">
              <w:rPr>
                <w:sz w:val="18"/>
              </w:rPr>
              <w:fldChar w:fldCharType="separate"/>
            </w:r>
            <w:r w:rsidRPr="00D83073">
              <w:rPr>
                <w:noProof/>
                <w:sz w:val="18"/>
              </w:rPr>
              <w:t>(Zhang et al., 2020)</w:t>
            </w:r>
            <w:r w:rsidRPr="00D83073">
              <w:rPr>
                <w:sz w:val="18"/>
              </w:rPr>
              <w:fldChar w:fldCharType="end"/>
            </w:r>
          </w:p>
        </w:tc>
      </w:tr>
      <w:tr w:rsidR="004C2E3E" w:rsidRPr="00E076C9" w14:paraId="2557E885" w14:textId="77777777" w:rsidTr="00007CB5">
        <w:trPr>
          <w:trHeight w:val="381"/>
          <w:jc w:val="center"/>
        </w:trPr>
        <w:tc>
          <w:tcPr>
            <w:tcW w:w="1560" w:type="dxa"/>
            <w:shd w:val="clear" w:color="auto" w:fill="auto"/>
            <w:vAlign w:val="center"/>
          </w:tcPr>
          <w:p w14:paraId="56E69A9A" w14:textId="77777777" w:rsidR="004C2E3E" w:rsidRPr="00B3016F" w:rsidRDefault="004C2E3E" w:rsidP="004C2E3E">
            <w:pPr>
              <w:spacing w:before="0" w:after="0"/>
              <w:contextualSpacing/>
              <w:rPr>
                <w:rFonts w:eastAsia="Times New Roman"/>
                <w:sz w:val="18"/>
                <w:szCs w:val="18"/>
                <w:lang w:eastAsia="en-GB"/>
              </w:rPr>
            </w:pPr>
            <w:r w:rsidRPr="00B3016F">
              <w:rPr>
                <w:rFonts w:eastAsia="Times New Roman"/>
                <w:sz w:val="18"/>
                <w:szCs w:val="18"/>
                <w:lang w:eastAsia="en-GB"/>
              </w:rPr>
              <w:t>HLCs</w:t>
            </w:r>
          </w:p>
          <w:p w14:paraId="67C5F68F" w14:textId="77777777" w:rsidR="004C2E3E" w:rsidRDefault="004C2E3E" w:rsidP="004C2E3E">
            <w:pPr>
              <w:spacing w:before="0" w:after="0"/>
              <w:contextualSpacing/>
              <w:rPr>
                <w:sz w:val="18"/>
              </w:rPr>
            </w:pPr>
            <w:r w:rsidRPr="00B3016F">
              <w:rPr>
                <w:rFonts w:eastAsia="Times New Roman"/>
                <w:sz w:val="18"/>
                <w:szCs w:val="18"/>
                <w:lang w:eastAsia="en-GB"/>
              </w:rPr>
              <w:t>(</w:t>
            </w:r>
            <w:proofErr w:type="spellStart"/>
            <w:r w:rsidRPr="00B3016F">
              <w:rPr>
                <w:rFonts w:eastAsia="Times New Roman"/>
                <w:sz w:val="18"/>
                <w:szCs w:val="18"/>
                <w:lang w:eastAsia="en-GB"/>
              </w:rPr>
              <w:t>hESC</w:t>
            </w:r>
            <w:proofErr w:type="spellEnd"/>
            <w:r w:rsidRPr="00B3016F">
              <w:rPr>
                <w:rFonts w:eastAsia="Times New Roman"/>
                <w:sz w:val="18"/>
                <w:szCs w:val="18"/>
                <w:lang w:eastAsia="en-GB"/>
              </w:rPr>
              <w:t>)</w:t>
            </w:r>
          </w:p>
        </w:tc>
        <w:tc>
          <w:tcPr>
            <w:tcW w:w="2835" w:type="dxa"/>
            <w:shd w:val="clear" w:color="auto" w:fill="auto"/>
            <w:vAlign w:val="center"/>
          </w:tcPr>
          <w:p w14:paraId="3090CC61" w14:textId="77777777" w:rsidR="004C2E3E" w:rsidRPr="00496FC3" w:rsidRDefault="004C2E3E" w:rsidP="004C2E3E">
            <w:pPr>
              <w:spacing w:before="0" w:after="0"/>
              <w:contextualSpacing/>
              <w:rPr>
                <w:sz w:val="18"/>
              </w:rPr>
            </w:pPr>
            <w:r w:rsidRPr="00B3016F">
              <w:rPr>
                <w:rFonts w:eastAsia="Times New Roman"/>
                <w:sz w:val="18"/>
                <w:szCs w:val="18"/>
                <w:lang w:eastAsia="en-GB"/>
              </w:rPr>
              <w:t>2D</w:t>
            </w:r>
          </w:p>
        </w:tc>
        <w:tc>
          <w:tcPr>
            <w:tcW w:w="1842" w:type="dxa"/>
            <w:shd w:val="clear" w:color="auto" w:fill="auto"/>
            <w:vAlign w:val="center"/>
          </w:tcPr>
          <w:p w14:paraId="3DFD6574" w14:textId="77777777" w:rsidR="004C2E3E" w:rsidRPr="00496FC3" w:rsidRDefault="004C2E3E" w:rsidP="004C2E3E">
            <w:pPr>
              <w:spacing w:before="0" w:after="0"/>
              <w:contextualSpacing/>
              <w:rPr>
                <w:sz w:val="18"/>
              </w:rPr>
            </w:pPr>
            <w:r w:rsidRPr="00B3016F">
              <w:rPr>
                <w:rFonts w:eastAsia="Times New Roman"/>
                <w:sz w:val="18"/>
                <w:szCs w:val="18"/>
                <w:lang w:eastAsia="en-GB"/>
              </w:rPr>
              <w:t>24h</w:t>
            </w:r>
          </w:p>
        </w:tc>
        <w:tc>
          <w:tcPr>
            <w:tcW w:w="1418" w:type="dxa"/>
            <w:shd w:val="clear" w:color="auto" w:fill="auto"/>
            <w:noWrap/>
            <w:vAlign w:val="center"/>
          </w:tcPr>
          <w:p w14:paraId="3D29E02B" w14:textId="77777777" w:rsidR="004C2E3E" w:rsidRPr="00496FC3" w:rsidRDefault="004C2E3E" w:rsidP="004C2E3E">
            <w:pPr>
              <w:spacing w:before="0" w:after="0"/>
              <w:contextualSpacing/>
              <w:rPr>
                <w:sz w:val="18"/>
              </w:rPr>
            </w:pPr>
            <w:r>
              <w:rPr>
                <w:sz w:val="18"/>
              </w:rPr>
              <w:t>46.0</w:t>
            </w:r>
          </w:p>
        </w:tc>
        <w:tc>
          <w:tcPr>
            <w:tcW w:w="1984" w:type="dxa"/>
            <w:shd w:val="clear" w:color="auto" w:fill="auto"/>
            <w:noWrap/>
            <w:vAlign w:val="center"/>
          </w:tcPr>
          <w:p w14:paraId="0A89A0F9" w14:textId="77777777" w:rsidR="004C2E3E" w:rsidRPr="00496FC3" w:rsidRDefault="004C2E3E" w:rsidP="004C2E3E">
            <w:pPr>
              <w:spacing w:before="0" w:after="0"/>
              <w:contextualSpacing/>
              <w:rPr>
                <w:sz w:val="18"/>
              </w:rPr>
            </w:pPr>
            <w:r w:rsidRPr="00B3016F">
              <w:rPr>
                <w:rFonts w:eastAsia="Times New Roman"/>
                <w:sz w:val="18"/>
                <w:szCs w:val="18"/>
                <w:lang w:eastAsia="en-GB"/>
              </w:rPr>
              <w:t>MTT Assay</w:t>
            </w:r>
          </w:p>
        </w:tc>
        <w:tc>
          <w:tcPr>
            <w:tcW w:w="3687" w:type="dxa"/>
            <w:vAlign w:val="center"/>
          </w:tcPr>
          <w:p w14:paraId="5CF131A5" w14:textId="04D58BEF" w:rsidR="004C2E3E" w:rsidRPr="00496FC3" w:rsidRDefault="004C2E3E" w:rsidP="004C2E3E">
            <w:pPr>
              <w:spacing w:before="0" w:after="0"/>
              <w:contextualSpacing/>
              <w:rPr>
                <w:rFonts w:eastAsia="Times New Roman"/>
                <w:sz w:val="18"/>
                <w:szCs w:val="18"/>
                <w:lang w:eastAsia="en-GB"/>
              </w:rPr>
            </w:pPr>
            <w:r>
              <w:rPr>
                <w:rFonts w:eastAsia="Times New Roman"/>
                <w:sz w:val="18"/>
                <w:szCs w:val="18"/>
                <w:lang w:eastAsia="en-GB"/>
              </w:rPr>
              <w:t xml:space="preserve">CYP activity | </w:t>
            </w:r>
            <w:r w:rsidRPr="00B3016F">
              <w:rPr>
                <w:rFonts w:eastAsia="Times New Roman"/>
                <w:sz w:val="18"/>
                <w:szCs w:val="18"/>
                <w:lang w:eastAsia="en-GB"/>
              </w:rPr>
              <w:t>NA</w:t>
            </w:r>
          </w:p>
        </w:tc>
        <w:tc>
          <w:tcPr>
            <w:tcW w:w="1231" w:type="dxa"/>
            <w:shd w:val="clear" w:color="auto" w:fill="auto"/>
            <w:noWrap/>
            <w:vAlign w:val="center"/>
          </w:tcPr>
          <w:p w14:paraId="2C0A61D5" w14:textId="77777777" w:rsidR="004C2E3E" w:rsidRPr="00D83073" w:rsidRDefault="004C2E3E" w:rsidP="004C2E3E">
            <w:pPr>
              <w:spacing w:before="0" w:after="0"/>
              <w:contextualSpacing/>
              <w:rPr>
                <w:sz w:val="18"/>
                <w:szCs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{"citationItems":[{"id":"ITEM-1","itemData":{"DOI":"10.1016/j.biomaterials.2015.08.002","ISSN":"18785905","PMID":"26310107","abstract":"Significant efforts have been invested into the differentiation of stem cells into functional hepatocyte-like cells that can be used for cell therapy, disease modeling and drug screening. Most of these efforts have been concentrated on the use of growth factors to recapitulate developmental signals under in vitro conditions. Using small molecules instead of growth factors would provide an attractive alternative since small molecules are cell-permeable and cheaper than growth factors. We have developed a protocol for the differentiation of human embryonic stem cells into hepatocyte-like cells using a predominantly small molecule-based approach (SM-Hep). This 3 step differentiation strategy involves the use of optimized concentrations of LY294002 and bromo-indirubin-3'-oxime (BIO) for the generation of definitive endoderm; sodium butyrate and dimethyl sulfoxide (DMSO) for the generation of hepatoblasts and SB431542 for differentiation into hepatocyte-like cells. Activin A is the only growth factor required in this protocol. Our results showed that SM-Hep were morphologically and functionally similar or better compared to the hepatocytes derived from the growth-factor induced differentiation (GF-Hep) in terms of expression of hepatic markers, urea and albumin production and cytochrome P450 (CYP1A2 and CYP3A4) activities. Cell viability assays following treatment with paradigm hepatotoxicants Acetaminophen, Chlorpromazine, Diclofenac, Digoxin, Quinidine and Troglitazone showed that their sensitivity to these drugs was similar to human primary hepatocytes (PHHs). Using SM-Hep would result in 67% and 81% cost reduction compared to GF-Hep and PHHs respectively. Therefore, SM-Hep can serve as a robust and cost effective replacement for PHHs for drug screening and development.","author":[{"dropping-particle":"","family":"Tasnim","given":"Farah","non-dropping-particle":"","parse-names":false,"suffix":""},{"dropping-particle":"","family":"Phan","given":"Derek","non-dropping-particle":"","parse-names":false,"suffix":""},{"dropping-particle":"","family":"Toh","given":"Yi Chin","non-dropping-particle":"","parse-names":false,"suffix":""},{"dropping-particle":"","family":"Yu","given":"Hanry","non-dropping-particle":"","parse-names":false,"suffix":""}],"container-title":"Biomaterials","id":"ITEM-1","issued":{"date-parts":[["2015"]]},"page":"115-25","title":"Cost-effective differentiation of hepatocyte-like cells from human pluripotent stem cells using small molecules","type":"article-journal","volume":"70"},"uris":["http://www.mendeley.com/documents/?uuid=6b69a0c6-53a3-4d97-9fc5-818ef0aee7ff","http://www.mendeley.com/documents/?uuid=03dbe8fb-1ecb-40a6-ac14-53fdb798339c"]}],"mendeley":{"formattedCitation":"(Tasnim et al., 2015)","plainTextFormattedCitation":"(Tasnim et al., 2015)","previouslyFormattedCitation":"(Tasnim et al., 2015)"},"properties":{"noteIndex":0},"schema":"https://github.com/citation-style-language/schema/raw/master/csl-citation.json"}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(Tasnim et al., 2015)</w:t>
            </w:r>
            <w:r w:rsidRPr="00D83073">
              <w:rPr>
                <w:rFonts w:eastAsia="Times New Roman"/>
                <w:sz w:val="18"/>
                <w:szCs w:val="18"/>
                <w:lang w:eastAsia="en-GB"/>
              </w:rPr>
              <w:fldChar w:fldCharType="end"/>
            </w:r>
          </w:p>
        </w:tc>
      </w:tr>
      <w:tr w:rsidR="004C2E3E" w:rsidRPr="00E076C9" w14:paraId="6DC3BAD4" w14:textId="77777777" w:rsidTr="00007CB5">
        <w:trPr>
          <w:trHeight w:val="381"/>
          <w:jc w:val="center"/>
        </w:trPr>
        <w:tc>
          <w:tcPr>
            <w:tcW w:w="1560" w:type="dxa"/>
            <w:shd w:val="clear" w:color="auto" w:fill="auto"/>
            <w:vAlign w:val="center"/>
          </w:tcPr>
          <w:p w14:paraId="387FFC60" w14:textId="77777777" w:rsidR="004C2E3E" w:rsidRPr="00496FC3" w:rsidRDefault="004C2E3E" w:rsidP="004C2E3E">
            <w:pPr>
              <w:spacing w:before="0" w:after="0"/>
              <w:contextualSpacing/>
              <w:rPr>
                <w:sz w:val="18"/>
              </w:rPr>
            </w:pPr>
            <w:r w:rsidRPr="00496FC3">
              <w:rPr>
                <w:sz w:val="18"/>
              </w:rPr>
              <w:t>HLC</w:t>
            </w:r>
            <w:r>
              <w:rPr>
                <w:sz w:val="18"/>
              </w:rPr>
              <w:t>s</w:t>
            </w:r>
          </w:p>
          <w:p w14:paraId="2101C259" w14:textId="77777777" w:rsidR="004C2E3E" w:rsidRDefault="004C2E3E" w:rsidP="004C2E3E">
            <w:pPr>
              <w:spacing w:before="0" w:after="0"/>
              <w:contextualSpacing/>
              <w:rPr>
                <w:sz w:val="18"/>
              </w:rPr>
            </w:pPr>
            <w:r w:rsidRPr="00496FC3">
              <w:rPr>
                <w:sz w:val="18"/>
              </w:rPr>
              <w:t>(</w:t>
            </w:r>
            <w:proofErr w:type="spellStart"/>
            <w:r w:rsidRPr="00496FC3">
              <w:rPr>
                <w:sz w:val="18"/>
              </w:rPr>
              <w:t>hiPSC</w:t>
            </w:r>
            <w:proofErr w:type="spellEnd"/>
            <w:r>
              <w:rPr>
                <w:sz w:val="18"/>
              </w:rPr>
              <w:t>)</w:t>
            </w:r>
          </w:p>
        </w:tc>
        <w:tc>
          <w:tcPr>
            <w:tcW w:w="2835" w:type="dxa"/>
            <w:shd w:val="clear" w:color="auto" w:fill="auto"/>
            <w:vAlign w:val="center"/>
          </w:tcPr>
          <w:p w14:paraId="5B899125" w14:textId="77777777" w:rsidR="004C2E3E" w:rsidRPr="00496FC3" w:rsidRDefault="004C2E3E" w:rsidP="004C2E3E">
            <w:pPr>
              <w:spacing w:before="0" w:after="0"/>
              <w:contextualSpacing/>
              <w:rPr>
                <w:sz w:val="18"/>
              </w:rPr>
            </w:pPr>
            <w:r w:rsidRPr="00496FC3">
              <w:rPr>
                <w:sz w:val="18"/>
              </w:rPr>
              <w:t>2D</w:t>
            </w:r>
          </w:p>
        </w:tc>
        <w:tc>
          <w:tcPr>
            <w:tcW w:w="1842" w:type="dxa"/>
            <w:shd w:val="clear" w:color="auto" w:fill="auto"/>
            <w:vAlign w:val="center"/>
          </w:tcPr>
          <w:p w14:paraId="479216DA" w14:textId="77777777" w:rsidR="004C2E3E" w:rsidRPr="00531E06" w:rsidRDefault="004C2E3E" w:rsidP="004C2E3E">
            <w:pPr>
              <w:spacing w:before="0" w:after="0"/>
              <w:contextualSpacing/>
              <w:rPr>
                <w:sz w:val="18"/>
              </w:rPr>
            </w:pPr>
            <w:r w:rsidRPr="00531E06">
              <w:rPr>
                <w:sz w:val="18"/>
              </w:rPr>
              <w:t>48h</w:t>
            </w:r>
          </w:p>
          <w:p w14:paraId="4A837DF0" w14:textId="77777777" w:rsidR="004C2E3E" w:rsidRPr="00531E06" w:rsidRDefault="004C2E3E" w:rsidP="004C2E3E">
            <w:pPr>
              <w:spacing w:before="0" w:after="0"/>
              <w:contextualSpacing/>
              <w:rPr>
                <w:sz w:val="18"/>
              </w:rPr>
            </w:pPr>
            <w:r w:rsidRPr="00531E06">
              <w:rPr>
                <w:sz w:val="18"/>
              </w:rPr>
              <w:t>7 days</w:t>
            </w:r>
          </w:p>
          <w:p w14:paraId="31834ABD" w14:textId="77777777" w:rsidR="004C2E3E" w:rsidRPr="00496FC3" w:rsidRDefault="004C2E3E" w:rsidP="004C2E3E">
            <w:pPr>
              <w:spacing w:before="0" w:after="0"/>
              <w:contextualSpacing/>
              <w:rPr>
                <w:sz w:val="18"/>
              </w:rPr>
            </w:pPr>
            <w:r w:rsidRPr="00531E06">
              <w:rPr>
                <w:sz w:val="18"/>
              </w:rPr>
              <w:t>14 days</w:t>
            </w:r>
          </w:p>
        </w:tc>
        <w:tc>
          <w:tcPr>
            <w:tcW w:w="1418" w:type="dxa"/>
            <w:shd w:val="clear" w:color="auto" w:fill="auto"/>
            <w:noWrap/>
            <w:vAlign w:val="center"/>
          </w:tcPr>
          <w:p w14:paraId="14D6F361" w14:textId="77777777" w:rsidR="004C2E3E" w:rsidRPr="00531E06" w:rsidRDefault="004C2E3E" w:rsidP="004C2E3E">
            <w:pPr>
              <w:spacing w:before="0" w:after="0"/>
              <w:contextualSpacing/>
              <w:rPr>
                <w:sz w:val="18"/>
              </w:rPr>
            </w:pPr>
            <w:r w:rsidRPr="00531E06">
              <w:rPr>
                <w:sz w:val="18"/>
              </w:rPr>
              <w:t>&gt;10</w:t>
            </w:r>
            <w:r>
              <w:rPr>
                <w:sz w:val="18"/>
              </w:rPr>
              <w:t>.0</w:t>
            </w:r>
          </w:p>
          <w:p w14:paraId="154384FE" w14:textId="77777777" w:rsidR="004C2E3E" w:rsidRPr="00531E06" w:rsidRDefault="004C2E3E" w:rsidP="004C2E3E">
            <w:pPr>
              <w:spacing w:before="0" w:after="0"/>
              <w:contextualSpacing/>
              <w:rPr>
                <w:sz w:val="18"/>
              </w:rPr>
            </w:pPr>
            <w:r w:rsidRPr="00531E06">
              <w:rPr>
                <w:sz w:val="18"/>
              </w:rPr>
              <w:t>&gt;10</w:t>
            </w:r>
            <w:r>
              <w:rPr>
                <w:sz w:val="18"/>
              </w:rPr>
              <w:t>.0</w:t>
            </w:r>
          </w:p>
          <w:p w14:paraId="5A51B2F4" w14:textId="77777777" w:rsidR="004C2E3E" w:rsidRPr="00496FC3" w:rsidRDefault="004C2E3E" w:rsidP="004C2E3E">
            <w:pPr>
              <w:spacing w:before="0" w:after="0"/>
              <w:contextualSpacing/>
              <w:rPr>
                <w:sz w:val="18"/>
              </w:rPr>
            </w:pPr>
            <w:r w:rsidRPr="00531E06">
              <w:rPr>
                <w:sz w:val="18"/>
              </w:rPr>
              <w:t>9</w:t>
            </w:r>
            <w:r>
              <w:rPr>
                <w:sz w:val="18"/>
              </w:rPr>
              <w:t>.</w:t>
            </w:r>
            <w:r w:rsidRPr="00531E06">
              <w:rPr>
                <w:sz w:val="18"/>
              </w:rPr>
              <w:t>439</w:t>
            </w:r>
          </w:p>
        </w:tc>
        <w:tc>
          <w:tcPr>
            <w:tcW w:w="1984" w:type="dxa"/>
            <w:shd w:val="clear" w:color="auto" w:fill="auto"/>
            <w:noWrap/>
            <w:vAlign w:val="center"/>
          </w:tcPr>
          <w:p w14:paraId="0B4B1AB4" w14:textId="77777777" w:rsidR="004C2E3E" w:rsidRPr="00496FC3" w:rsidRDefault="004C2E3E" w:rsidP="004C2E3E">
            <w:pPr>
              <w:spacing w:before="0" w:after="0"/>
              <w:contextualSpacing/>
              <w:rPr>
                <w:sz w:val="18"/>
              </w:rPr>
            </w:pPr>
            <w:r w:rsidRPr="00531E06">
              <w:rPr>
                <w:sz w:val="18"/>
              </w:rPr>
              <w:t>ATP Quantification</w:t>
            </w:r>
          </w:p>
        </w:tc>
        <w:tc>
          <w:tcPr>
            <w:tcW w:w="3687" w:type="dxa"/>
            <w:vAlign w:val="center"/>
          </w:tcPr>
          <w:p w14:paraId="5B4C199F" w14:textId="6926BB9C" w:rsidR="004C2E3E" w:rsidRPr="00496FC3" w:rsidRDefault="004C2E3E" w:rsidP="004C2E3E">
            <w:pPr>
              <w:spacing w:before="0" w:after="0"/>
              <w:contextualSpacing/>
              <w:rPr>
                <w:rFonts w:eastAsia="Times New Roman"/>
                <w:sz w:val="18"/>
                <w:szCs w:val="18"/>
                <w:lang w:eastAsia="en-GB"/>
              </w:rPr>
            </w:pPr>
            <w:r w:rsidRPr="00531E06">
              <w:rPr>
                <w:rFonts w:eastAsia="Times New Roman"/>
                <w:i/>
                <w:iCs/>
                <w:sz w:val="18"/>
                <w:szCs w:val="18"/>
                <w:lang w:eastAsia="en-GB"/>
              </w:rPr>
              <w:t xml:space="preserve">CYP, GSTT1, UGT1A1, ABCB11, ABCC1 </w:t>
            </w:r>
            <w:r w:rsidRPr="00531E06">
              <w:rPr>
                <w:rFonts w:eastAsia="Times New Roman"/>
                <w:sz w:val="18"/>
                <w:szCs w:val="18"/>
                <w:lang w:eastAsia="en-GB"/>
              </w:rPr>
              <w:t>and</w:t>
            </w:r>
            <w:r w:rsidRPr="00531E06">
              <w:rPr>
                <w:rFonts w:eastAsia="Times New Roman"/>
                <w:i/>
                <w:iCs/>
                <w:sz w:val="18"/>
                <w:szCs w:val="18"/>
                <w:lang w:eastAsia="en-GB"/>
              </w:rPr>
              <w:t xml:space="preserve"> SLCO1B1</w:t>
            </w:r>
            <w:r w:rsidRPr="00531E06">
              <w:rPr>
                <w:rFonts w:eastAsia="Times New Roman"/>
                <w:sz w:val="18"/>
                <w:szCs w:val="18"/>
                <w:lang w:eastAsia="en-GB"/>
              </w:rPr>
              <w:t xml:space="preserve"> gene expression</w:t>
            </w:r>
            <w:r w:rsidR="008A1DDD">
              <w:rPr>
                <w:rFonts w:eastAsia="Times New Roman"/>
                <w:sz w:val="18"/>
                <w:szCs w:val="18"/>
                <w:lang w:eastAsia="en-GB"/>
              </w:rPr>
              <w:t xml:space="preserve"> |</w:t>
            </w:r>
            <w:r w:rsidRPr="00531E06">
              <w:rPr>
                <w:rFonts w:eastAsia="Times New Roman"/>
                <w:sz w:val="18"/>
                <w:szCs w:val="18"/>
                <w:lang w:eastAsia="en-GB"/>
              </w:rPr>
              <w:t xml:space="preserve"> NA</w:t>
            </w:r>
          </w:p>
        </w:tc>
        <w:tc>
          <w:tcPr>
            <w:tcW w:w="1231" w:type="dxa"/>
            <w:shd w:val="clear" w:color="auto" w:fill="auto"/>
            <w:noWrap/>
            <w:vAlign w:val="center"/>
          </w:tcPr>
          <w:p w14:paraId="117FC560" w14:textId="77777777" w:rsidR="004C2E3E" w:rsidRPr="00D83073" w:rsidRDefault="004C2E3E" w:rsidP="004C2E3E">
            <w:pPr>
              <w:spacing w:before="0" w:after="0"/>
              <w:contextualSpacing/>
              <w:rPr>
                <w:sz w:val="18"/>
                <w:szCs w:val="18"/>
              </w:rPr>
            </w:pPr>
            <w:r w:rsidRPr="00D83073">
              <w:rPr>
                <w:sz w:val="18"/>
              </w:rPr>
              <w:fldChar w:fldCharType="begin" w:fldLock="1"/>
            </w:r>
            <w:r w:rsidRPr="00D83073">
              <w:rPr>
                <w:sz w:val="18"/>
              </w:rPr>
              <w:instrText>ADDIN CSL_CITATION {"citationItems":[{"id":"ITEM-1","itemData":{"DOI":"10.1124/dmd.116.074369","ISSN":"1521009X","abstract":"Reliable and versatile hepatic in vitro systems for the prediction of drug pharmacokinetics and toxicity are essential constituents of preclinical safety assessment pipelines for new medicines. Here, we compared three emerging cell systems-hepatocytes derived from induced pluripotent stem cells, HepaRG cells, and threedimensional primary human hepatocyte (PHH) spheroids-at transcriptional and functional levels in a multicenter study to evaluate their potential as predictive models for drug-induced hepatotoxicity. Transcriptomic analyses revealed widespread gene expression differences between the three cell models, with 8148 of 17,462 analyzed genes (47%) being differentially expressed. Expression levels of genes involved in the metabolism of endogenous as well as xenobiotic compounds were significantly elevated in PHH spheroids, whereas genes involved in cell division and endocytosis were significantly upregulated in HepaRG cells and hepatocytes derived from induced pluripotent stem cells, respectively. Consequently, PHH spheroids were more sensitive to a panel of drugs with distinctly different toxicity mechanisms, an effect that was amplified by long-term exposure using repeated treatments. Importantly, toxicogenomic analyses revealed that transcriptomic changes in PHH spheroids were in compliance with cholestatic, carcinogenic, or steatogenic in vivo toxicity mechanisms at clinically relevant drug concentrations. Combined, the data reveal important phenotypic differences between the three cell systems and suggest that PHH spheroids can be used for functional investigations of drug-induced liver injury in vivo in humans.","author":[{"dropping-particle":"","family":"Bell","given":"Catherine C.","non-dropping-particle":"","parse-names":false,"suffix":""},{"dropping-particle":"","family":"Lauschke","given":"Volker M.","non-dropping-particle":"","parse-names":false,"suffix":""},{"dropping-particle":"","family":"Vorrink","given":"Sabine U.","non-dropping-particle":"","parse-names":false,"suffix":""},{"dropping-particle":"","family":"Palmgren","given":"Henrik","non-dropping-particle":"","parse-names":false,"suffix":""},{"dropping-particle":"","family":"Duffin","given":"Rodger","non-dropping-particle":"","parse-names":false,"suffix":""},{"dropping-particle":"","family":"Andersson","given":"Tommy B.","non-dropping-particle":"","parse-names":false,"suffix":""},{"dropping-particle":"","family":"Ingelman-Sundberg","given":"Magnus","non-dropping-particle":"","parse-names":false,"suffix":""}],"container-title":"Drug Metabolism and Disposition","id":"ITEM-1","issue":"4","issued":{"date-parts":[["2017"]]},"page":"419–429","title":"Transcriptional, functional, and mechanistic comparisons of stem cell-derived hepatocytes, HepaRG cells, and three-dimensional human hepatocyte spheroids as predictive in vitro systems for drug-induced liver injury","type":"article-journal","volume":"45"},"uris":["http://www.mendeley.com/documents/?uuid=4ee2d66b-9479-4ce4-9359-9a2036e26f66","http://www.mendeley.com/documents/?uuid=d2906bd5-239b-4595-bed0-4ddb24c499a1"]}],"mendeley":{"formattedCitation":"(Bell et al., 2017)","plainTextFormattedCitation":"(Bell et al., 2017)","previouslyFormattedCitation":"(Bell et al., 2017)"},"properties":{"noteIndex":0},"schema":"https://github.com/citation-style-language/schema/raw/master/csl-citation.json"}</w:instrText>
            </w:r>
            <w:r w:rsidRPr="00D83073">
              <w:rPr>
                <w:sz w:val="18"/>
              </w:rPr>
              <w:fldChar w:fldCharType="separate"/>
            </w:r>
            <w:r w:rsidRPr="00D83073">
              <w:rPr>
                <w:noProof/>
                <w:sz w:val="18"/>
              </w:rPr>
              <w:t>(Bell et al., 2017)</w:t>
            </w:r>
            <w:r w:rsidRPr="00D83073">
              <w:rPr>
                <w:sz w:val="18"/>
              </w:rPr>
              <w:fldChar w:fldCharType="end"/>
            </w:r>
          </w:p>
        </w:tc>
      </w:tr>
      <w:tr w:rsidR="008A1DDD" w:rsidRPr="00E076C9" w14:paraId="5417D7C5" w14:textId="77777777" w:rsidTr="00007CB5">
        <w:trPr>
          <w:trHeight w:val="381"/>
          <w:jc w:val="center"/>
        </w:trPr>
        <w:tc>
          <w:tcPr>
            <w:tcW w:w="1560" w:type="dxa"/>
            <w:vMerge w:val="restart"/>
            <w:shd w:val="clear" w:color="auto" w:fill="auto"/>
            <w:vAlign w:val="center"/>
          </w:tcPr>
          <w:p w14:paraId="08E357BF" w14:textId="77777777" w:rsidR="008A1DDD" w:rsidRPr="00496FC3" w:rsidRDefault="008A1DDD" w:rsidP="004C2E3E">
            <w:pPr>
              <w:spacing w:before="0" w:after="0"/>
              <w:contextualSpacing/>
              <w:rPr>
                <w:sz w:val="18"/>
              </w:rPr>
            </w:pPr>
            <w:proofErr w:type="spellStart"/>
            <w:r>
              <w:rPr>
                <w:sz w:val="18"/>
              </w:rPr>
              <w:t>r</w:t>
            </w:r>
            <w:r w:rsidRPr="00496FC3">
              <w:rPr>
                <w:sz w:val="18"/>
              </w:rPr>
              <w:t>pHep</w:t>
            </w:r>
            <w:proofErr w:type="spellEnd"/>
          </w:p>
        </w:tc>
        <w:tc>
          <w:tcPr>
            <w:tcW w:w="2835" w:type="dxa"/>
            <w:vMerge w:val="restart"/>
            <w:shd w:val="clear" w:color="auto" w:fill="auto"/>
            <w:vAlign w:val="center"/>
          </w:tcPr>
          <w:p w14:paraId="14A9F043" w14:textId="77777777" w:rsidR="008A1DDD" w:rsidRPr="00496FC3" w:rsidRDefault="008A1DDD" w:rsidP="004C2E3E">
            <w:pPr>
              <w:spacing w:before="0" w:after="0"/>
              <w:contextualSpacing/>
              <w:rPr>
                <w:sz w:val="18"/>
              </w:rPr>
            </w:pPr>
            <w:r w:rsidRPr="00496FC3">
              <w:rPr>
                <w:sz w:val="18"/>
              </w:rPr>
              <w:t>2</w:t>
            </w:r>
            <w:r>
              <w:rPr>
                <w:sz w:val="18"/>
              </w:rPr>
              <w:t>D</w:t>
            </w:r>
          </w:p>
        </w:tc>
        <w:tc>
          <w:tcPr>
            <w:tcW w:w="1842" w:type="dxa"/>
            <w:shd w:val="clear" w:color="auto" w:fill="auto"/>
            <w:vAlign w:val="center"/>
          </w:tcPr>
          <w:p w14:paraId="567304D1" w14:textId="77777777" w:rsidR="008A1DDD" w:rsidRPr="00496FC3" w:rsidRDefault="008A1DDD" w:rsidP="004C2E3E">
            <w:pPr>
              <w:spacing w:before="0" w:after="0"/>
              <w:contextualSpacing/>
              <w:rPr>
                <w:sz w:val="18"/>
              </w:rPr>
            </w:pPr>
            <w:r>
              <w:rPr>
                <w:sz w:val="18"/>
              </w:rPr>
              <w:t>12h</w:t>
            </w:r>
          </w:p>
        </w:tc>
        <w:tc>
          <w:tcPr>
            <w:tcW w:w="1418" w:type="dxa"/>
            <w:shd w:val="clear" w:color="auto" w:fill="auto"/>
            <w:noWrap/>
            <w:vAlign w:val="center"/>
          </w:tcPr>
          <w:p w14:paraId="158CB4E6" w14:textId="77777777" w:rsidR="008A1DDD" w:rsidRPr="00496FC3" w:rsidRDefault="008A1DDD" w:rsidP="004C2E3E">
            <w:pPr>
              <w:spacing w:before="0" w:after="0"/>
              <w:contextualSpacing/>
              <w:rPr>
                <w:sz w:val="18"/>
              </w:rPr>
            </w:pPr>
            <w:r w:rsidRPr="00496FC3">
              <w:rPr>
                <w:sz w:val="18"/>
              </w:rPr>
              <w:t>30.0</w:t>
            </w:r>
          </w:p>
        </w:tc>
        <w:tc>
          <w:tcPr>
            <w:tcW w:w="1984" w:type="dxa"/>
            <w:vMerge w:val="restart"/>
            <w:shd w:val="clear" w:color="auto" w:fill="auto"/>
            <w:noWrap/>
            <w:vAlign w:val="center"/>
          </w:tcPr>
          <w:p w14:paraId="52048F67" w14:textId="0616B7EC" w:rsidR="008A1DDD" w:rsidRPr="00496FC3" w:rsidRDefault="008A1DDD" w:rsidP="008A1DDD">
            <w:pPr>
              <w:spacing w:before="0" w:after="0"/>
              <w:contextualSpacing/>
              <w:rPr>
                <w:sz w:val="18"/>
              </w:rPr>
            </w:pPr>
            <w:r w:rsidRPr="00496FC3">
              <w:rPr>
                <w:sz w:val="18"/>
              </w:rPr>
              <w:t>MTT assay</w:t>
            </w:r>
          </w:p>
        </w:tc>
        <w:tc>
          <w:tcPr>
            <w:tcW w:w="3687" w:type="dxa"/>
            <w:vAlign w:val="center"/>
          </w:tcPr>
          <w:p w14:paraId="13FE56EF" w14:textId="5B0B9D12" w:rsidR="008A1DDD" w:rsidRPr="00601DCD" w:rsidRDefault="008A1DDD" w:rsidP="004C2E3E">
            <w:pPr>
              <w:spacing w:before="0" w:after="0"/>
              <w:contextualSpacing/>
              <w:rPr>
                <w:bCs/>
                <w:sz w:val="18"/>
              </w:rPr>
            </w:pPr>
            <w:r w:rsidRPr="00601DCD">
              <w:rPr>
                <w:sz w:val="18"/>
              </w:rPr>
              <w:t>NA</w:t>
            </w:r>
            <w:r>
              <w:rPr>
                <w:sz w:val="18"/>
              </w:rPr>
              <w:t xml:space="preserve"> | </w:t>
            </w:r>
            <w:r w:rsidRPr="00601DCD">
              <w:rPr>
                <w:sz w:val="18"/>
              </w:rPr>
              <w:t>Oxidative stress, lipid peroxidation (MDA release), DNA strand breaks</w:t>
            </w:r>
          </w:p>
        </w:tc>
        <w:tc>
          <w:tcPr>
            <w:tcW w:w="1231" w:type="dxa"/>
            <w:shd w:val="clear" w:color="auto" w:fill="auto"/>
            <w:noWrap/>
            <w:vAlign w:val="center"/>
          </w:tcPr>
          <w:p w14:paraId="1F59D39C" w14:textId="77777777" w:rsidR="008A1DDD" w:rsidRPr="00D83073" w:rsidRDefault="008A1DDD" w:rsidP="004C2E3E">
            <w:pPr>
              <w:spacing w:before="0" w:after="0"/>
              <w:contextualSpacing/>
              <w:rPr>
                <w:bCs/>
                <w:sz w:val="18"/>
              </w:rPr>
            </w:pPr>
            <w:r w:rsidRPr="00D83073">
              <w:rPr>
                <w:sz w:val="18"/>
              </w:rPr>
              <w:fldChar w:fldCharType="begin" w:fldLock="1"/>
            </w:r>
            <w:r w:rsidRPr="00D83073">
              <w:rPr>
                <w:sz w:val="18"/>
              </w:rPr>
              <w:instrText>ADDIN CSL_CITATION {"citationItems":[{"id":"ITEM-1","itemData":{"DOI":"10.1016/S0300-483X(03)00256-7","ISSN":"0300483X","abstract":"Acetaminophen, a safe analgesic when dosed properly but hepatotoxic at overdoses, has been reported to induce DNA strand breaks but it is unclear whether this event preceeds hepatocyte toxicity or is only obvious in case of overt cytotoxicity. Moreover, it is not known whether the formation of reactive oxygen species (ROS) is involved in the formation of the DNA strand breaks. In the present study, the dose-response curves for cytotoxicity and DNA strand breaks and the response to antioxidant protection have been compared. In primary hepatocytes from untreated male rats, cytotoxicity as measured by the MTT test and by Neutral Red accumulation was obvious at 10 mM acetaminophen but DNA strand breaks as measured by the comet assay were only found at 25-30 mM acetaminophen. Non-cytotoxic concentrations of three compounds with antioxidant activity, the glutathione precursor N-acetylcysteine (100 μM), the plant polyphenol silibin (25 μM) and the antioxidant vitamin α-tocopherol (50 μM), were not able to inhibit acetaminophen toxicity at any acetaminophen concentration, while they completely prevented the formation of DNA strand breaks at 25-30 mM acetaminophen. The occurrence of oxidative stress in our experiments was indicated by a slight increase of malondialdehyde formation at 40 mM acetaminophen and by an adaptive increase in catalase mRNA concentration. We conclude that in acetaminophen-treated hepatocytes ROS-independent cell death and ROS-dependent DNA strand breaks occur which appear not to be causally related as judged from their dose dependency and their response to antioxidants. © 2003 Elsevier Science Ireland Ltd. All rights reserved.","author":[{"dropping-particle":"","family":"Lewerenz","given":"Virginia","non-dropping-particle":"","parse-names":false,"suffix":""},{"dropping-particle":"","family":"Hanelt","given":"Sabine","non-dropping-particle":"","parse-names":false,"suffix":""},{"dropping-particle":"","family":"Nastevska","given":"Cathrin","non-dropping-particle":"","parse-names":false,"suffix":""},{"dropping-particle":"","family":"El-Bahay","given":"Claudia","non-dropping-particle":"","parse-names":false,"suffix":""},{"dropping-particle":"","family":"Röhrdanz","given":"Elke","non-dropping-particle":"","parse-names":false,"suffix":""},{"dropping-particle":"","family":"Kahl","given":"Regine","non-dropping-particle":"","parse-names":false,"suffix":""}],"container-title":"Toxicology","id":"ITEM-1","issue":"2-3","issued":{"date-parts":[["2003"]]},"page":"179-187","title":"Antioxidants protect primary rat hepatocyte cultures against acetaminophen-induced DNA strand breaks but not against acetaminophen-induced cytotoxicity","type":"article-journal","volume":"191"},"uris":["http://www.mendeley.com/documents/?uuid=0f88226b-7736-4044-802d-a013dcc3959a","http://www.mendeley.com/documents/?uuid=dcebbe5c-00d9-4f35-86e1-fcc4017cf5c4"]}],"mendeley":{"formattedCitation":"(Lewerenz et al., 2003)","plainTextFormattedCitation":"(Lewerenz et al., 2003)","previouslyFormattedCitation":"(Lewerenz et al., 2003)"},"properties":{"noteIndex":0},"schema":"https://github.com/citation-style-language/schema/raw/master/csl-citation.json"}</w:instrText>
            </w:r>
            <w:r w:rsidRPr="00D83073">
              <w:rPr>
                <w:sz w:val="18"/>
              </w:rPr>
              <w:fldChar w:fldCharType="separate"/>
            </w:r>
            <w:r w:rsidRPr="00D83073">
              <w:rPr>
                <w:noProof/>
                <w:sz w:val="18"/>
              </w:rPr>
              <w:t>(Lewerenz et al., 2003)</w:t>
            </w:r>
            <w:r w:rsidRPr="00D83073">
              <w:rPr>
                <w:sz w:val="18"/>
              </w:rPr>
              <w:fldChar w:fldCharType="end"/>
            </w:r>
          </w:p>
        </w:tc>
      </w:tr>
      <w:tr w:rsidR="00DE184F" w:rsidRPr="00E076C9" w14:paraId="54C6ADDD" w14:textId="77777777" w:rsidTr="00007CB5">
        <w:trPr>
          <w:trHeight w:val="381"/>
          <w:jc w:val="center"/>
        </w:trPr>
        <w:tc>
          <w:tcPr>
            <w:tcW w:w="1560" w:type="dxa"/>
            <w:vMerge/>
            <w:shd w:val="clear" w:color="auto" w:fill="auto"/>
            <w:vAlign w:val="center"/>
          </w:tcPr>
          <w:p w14:paraId="2D5177F8" w14:textId="77777777" w:rsidR="00DE184F" w:rsidRDefault="00DE184F" w:rsidP="008A1DDD">
            <w:pPr>
              <w:spacing w:before="0" w:after="0"/>
              <w:contextualSpacing/>
              <w:rPr>
                <w:sz w:val="18"/>
              </w:rPr>
            </w:pPr>
          </w:p>
        </w:tc>
        <w:tc>
          <w:tcPr>
            <w:tcW w:w="2835" w:type="dxa"/>
            <w:vMerge/>
            <w:shd w:val="clear" w:color="auto" w:fill="auto"/>
            <w:vAlign w:val="center"/>
          </w:tcPr>
          <w:p w14:paraId="29743EEF" w14:textId="77777777" w:rsidR="00DE184F" w:rsidRPr="00496FC3" w:rsidRDefault="00DE184F" w:rsidP="008A1DDD">
            <w:pPr>
              <w:spacing w:before="0" w:after="0"/>
              <w:contextualSpacing/>
              <w:rPr>
                <w:sz w:val="18"/>
              </w:rPr>
            </w:pPr>
          </w:p>
        </w:tc>
        <w:tc>
          <w:tcPr>
            <w:tcW w:w="1842" w:type="dxa"/>
            <w:vMerge w:val="restart"/>
            <w:shd w:val="clear" w:color="auto" w:fill="auto"/>
            <w:vAlign w:val="center"/>
          </w:tcPr>
          <w:p w14:paraId="6B9F287E" w14:textId="60E55021" w:rsidR="00DE184F" w:rsidRDefault="00DE184F" w:rsidP="008A1DDD">
            <w:pPr>
              <w:spacing w:before="0" w:after="0"/>
              <w:contextualSpacing/>
              <w:rPr>
                <w:sz w:val="18"/>
              </w:rPr>
            </w:pPr>
            <w:r w:rsidRPr="00496FC3">
              <w:rPr>
                <w:sz w:val="18"/>
              </w:rPr>
              <w:t>24h</w:t>
            </w:r>
          </w:p>
        </w:tc>
        <w:tc>
          <w:tcPr>
            <w:tcW w:w="1418" w:type="dxa"/>
            <w:shd w:val="clear" w:color="auto" w:fill="auto"/>
            <w:noWrap/>
            <w:vAlign w:val="center"/>
          </w:tcPr>
          <w:p w14:paraId="53E16986" w14:textId="50C5CD1F" w:rsidR="00DE184F" w:rsidRPr="00496FC3" w:rsidRDefault="00DE184F" w:rsidP="008A1DDD">
            <w:pPr>
              <w:spacing w:before="0" w:after="0"/>
              <w:contextualSpacing/>
              <w:rPr>
                <w:sz w:val="18"/>
              </w:rPr>
            </w:pPr>
            <w:r w:rsidRPr="00496FC3">
              <w:rPr>
                <w:sz w:val="18"/>
              </w:rPr>
              <w:t>7.6</w:t>
            </w:r>
          </w:p>
        </w:tc>
        <w:tc>
          <w:tcPr>
            <w:tcW w:w="1984" w:type="dxa"/>
            <w:vMerge/>
            <w:shd w:val="clear" w:color="auto" w:fill="auto"/>
            <w:noWrap/>
            <w:vAlign w:val="center"/>
          </w:tcPr>
          <w:p w14:paraId="099A2E59" w14:textId="7E678AAD" w:rsidR="00DE184F" w:rsidRPr="00496FC3" w:rsidRDefault="00DE184F" w:rsidP="008A1DDD">
            <w:pPr>
              <w:spacing w:before="0" w:after="0"/>
              <w:contextualSpacing/>
              <w:rPr>
                <w:sz w:val="18"/>
              </w:rPr>
            </w:pPr>
          </w:p>
        </w:tc>
        <w:tc>
          <w:tcPr>
            <w:tcW w:w="3687" w:type="dxa"/>
            <w:vAlign w:val="center"/>
          </w:tcPr>
          <w:p w14:paraId="7AF0B8B0" w14:textId="724873F5" w:rsidR="00DE184F" w:rsidRPr="00601DCD" w:rsidRDefault="00DE184F" w:rsidP="008A1DDD">
            <w:pPr>
              <w:spacing w:before="0" w:after="0"/>
              <w:contextualSpacing/>
              <w:rPr>
                <w:sz w:val="18"/>
              </w:rPr>
            </w:pPr>
            <w:r>
              <w:rPr>
                <w:sz w:val="18"/>
              </w:rPr>
              <w:t>CYP2E1 activity | NA</w:t>
            </w:r>
          </w:p>
        </w:tc>
        <w:tc>
          <w:tcPr>
            <w:tcW w:w="1231" w:type="dxa"/>
            <w:shd w:val="clear" w:color="auto" w:fill="auto"/>
            <w:noWrap/>
            <w:vAlign w:val="center"/>
          </w:tcPr>
          <w:p w14:paraId="7FEA2627" w14:textId="60956853" w:rsidR="00DE184F" w:rsidRPr="00D83073" w:rsidRDefault="00DE184F" w:rsidP="008A1DDD">
            <w:pPr>
              <w:spacing w:before="0" w:after="0"/>
              <w:contextualSpacing/>
              <w:rPr>
                <w:sz w:val="18"/>
              </w:rPr>
            </w:pPr>
            <w:r w:rsidRPr="00D83073">
              <w:rPr>
                <w:sz w:val="18"/>
              </w:rPr>
              <w:fldChar w:fldCharType="begin" w:fldLock="1"/>
            </w:r>
            <w:r w:rsidRPr="00D83073">
              <w:rPr>
                <w:sz w:val="18"/>
              </w:rPr>
              <w:instrText>ADDIN CSL_CITATION {"citationItems":[{"id":"ITEM-1","itemData":{"DOI":"10.1016/j.tiv.2008.02.001","ISSN":"08872333","abstract":"Most of the experiments studying acetaminophen (APAP) induced hepatotoxicity were performed using moue as model specie, right because its high sensitivity. While the toxic responses can be called forth easily in mice, the human relevancy of these results is questionable. In this study human, rat, and mouse primary hepatocytes were treated with increasing concentrations of APAP, and cell viability was measured by MTT cytotoxicity assay. Pronounced interspecies differences were obtained in cell viability following 24 h of APAP treatment starting at 24 h after seeding (EC50: 3.8 mM, 7.6 mM, and 28.2 mM, in mouse, rat, and human hepatocyte culture, respectively). The longer time of culturing highly increased the resistance of hepatocytes of all species investigated. In rat hepatocyte culture EC50 values were 6.0 mM, 12.5 mM, and 18.8 mM, when starting APAP treatment after 24, 48, and 72 h of seeding. Although N-acetylbenzoquinoneimine, a minor metabolite of APAP, which is mainly formed by CYP2E1 at high APAP concentration in every species studied, is thought to initiate the toxic processes, no correlation was found between CYP2E1 activities and hepatocyte sensitivity of different species. We conclude that the toxicity induced by APAP overdose highly depends on the animal model applied. © 2008 Elsevier Ltd. All rights reserved.","author":[{"dropping-particle":"","family":"Jemnitz","given":"Katalin","non-dropping-particle":"","parse-names":false,"suffix":""},{"dropping-particle":"","family":"Veres","given":"Zsuzsa","non-dropping-particle":"","parse-names":false,"suffix":""},{"dropping-particle":"","family":"Monostory","given":"Katalin","non-dropping-particle":"","parse-names":false,"suffix":""},{"dropping-particle":"","family":"Kóbori","given":"László","non-dropping-particle":"","parse-names":false,"suffix":""},{"dropping-particle":"","family":"Vereczkey","given":"László","non-dropping-particle":"","parse-names":false,"suffix":""}],"container-title":"Toxicology in Vitro","id":"ITEM-1","issue":"4","issued":{"date-parts":[["2008"]]},"page":"961-967","title":"Interspecies differences in acetaminophen sensitivity of human, rat, and mouse primary hepatocytes","type":"article-journal","volume":"22"},"uris":["http://www.mendeley.com/documents/?uuid=384d613e-97d3-4708-8676-34f728cac680"]}],"mendeley":{"formattedCitation":"(Jemnitz et al., 2008)","plainTextFormattedCitation":"(Jemnitz et al., 2008)","previouslyFormattedCitation":"(Jemnitz et al., 2008)"},"properties":{"noteIndex":0},"schema":"https://github.com/citation-style-language/schema/raw/master/csl-citation.json"}</w:instrText>
            </w:r>
            <w:r w:rsidRPr="00D83073">
              <w:rPr>
                <w:sz w:val="18"/>
              </w:rPr>
              <w:fldChar w:fldCharType="separate"/>
            </w:r>
            <w:r w:rsidRPr="00D83073">
              <w:rPr>
                <w:noProof/>
                <w:sz w:val="18"/>
              </w:rPr>
              <w:t>(Jemnitz et al., 2008)</w:t>
            </w:r>
            <w:r w:rsidRPr="00D83073">
              <w:rPr>
                <w:sz w:val="18"/>
              </w:rPr>
              <w:fldChar w:fldCharType="end"/>
            </w:r>
          </w:p>
        </w:tc>
      </w:tr>
      <w:tr w:rsidR="00DE184F" w:rsidRPr="00E076C9" w14:paraId="5F00BE4B" w14:textId="77777777" w:rsidTr="00007CB5">
        <w:trPr>
          <w:trHeight w:val="381"/>
          <w:jc w:val="center"/>
        </w:trPr>
        <w:tc>
          <w:tcPr>
            <w:tcW w:w="1560" w:type="dxa"/>
            <w:vMerge/>
            <w:shd w:val="clear" w:color="auto" w:fill="auto"/>
            <w:vAlign w:val="center"/>
          </w:tcPr>
          <w:p w14:paraId="31BD8113" w14:textId="77777777" w:rsidR="00DE184F" w:rsidRDefault="00DE184F" w:rsidP="008A1DDD">
            <w:pPr>
              <w:spacing w:before="0" w:after="0"/>
              <w:contextualSpacing/>
              <w:rPr>
                <w:sz w:val="18"/>
              </w:rPr>
            </w:pPr>
          </w:p>
        </w:tc>
        <w:tc>
          <w:tcPr>
            <w:tcW w:w="2835" w:type="dxa"/>
            <w:vMerge/>
            <w:shd w:val="clear" w:color="auto" w:fill="auto"/>
            <w:vAlign w:val="center"/>
          </w:tcPr>
          <w:p w14:paraId="4E0D8DF1" w14:textId="77777777" w:rsidR="00DE184F" w:rsidRPr="00496FC3" w:rsidRDefault="00DE184F" w:rsidP="008A1DDD">
            <w:pPr>
              <w:spacing w:before="0" w:after="0"/>
              <w:contextualSpacing/>
              <w:rPr>
                <w:sz w:val="18"/>
              </w:rPr>
            </w:pPr>
          </w:p>
        </w:tc>
        <w:tc>
          <w:tcPr>
            <w:tcW w:w="1842" w:type="dxa"/>
            <w:vMerge/>
            <w:shd w:val="clear" w:color="auto" w:fill="auto"/>
            <w:vAlign w:val="center"/>
          </w:tcPr>
          <w:p w14:paraId="790B40CC" w14:textId="1E7A9CFD" w:rsidR="00DE184F" w:rsidRPr="00496FC3" w:rsidRDefault="00DE184F" w:rsidP="008A1DDD">
            <w:pPr>
              <w:spacing w:before="0" w:after="0"/>
              <w:contextualSpacing/>
              <w:rPr>
                <w:sz w:val="18"/>
              </w:rPr>
            </w:pPr>
          </w:p>
        </w:tc>
        <w:tc>
          <w:tcPr>
            <w:tcW w:w="1418" w:type="dxa"/>
            <w:shd w:val="clear" w:color="auto" w:fill="auto"/>
            <w:noWrap/>
            <w:vAlign w:val="center"/>
          </w:tcPr>
          <w:p w14:paraId="3FC1C1AE" w14:textId="77777777" w:rsidR="00DE184F" w:rsidRPr="00496FC3" w:rsidRDefault="00DE184F" w:rsidP="008A1DDD">
            <w:pPr>
              <w:spacing w:before="0" w:after="0"/>
              <w:contextualSpacing/>
              <w:rPr>
                <w:sz w:val="18"/>
              </w:rPr>
            </w:pPr>
            <w:r w:rsidRPr="00496FC3">
              <w:rPr>
                <w:sz w:val="18"/>
              </w:rPr>
              <w:t>14.0</w:t>
            </w:r>
          </w:p>
        </w:tc>
        <w:tc>
          <w:tcPr>
            <w:tcW w:w="1984" w:type="dxa"/>
            <w:shd w:val="clear" w:color="auto" w:fill="auto"/>
            <w:noWrap/>
            <w:vAlign w:val="center"/>
          </w:tcPr>
          <w:p w14:paraId="072FF586" w14:textId="77777777" w:rsidR="00DE184F" w:rsidRPr="00496FC3" w:rsidRDefault="00DE184F" w:rsidP="008A1DDD">
            <w:pPr>
              <w:spacing w:before="0" w:after="0"/>
              <w:contextualSpacing/>
              <w:rPr>
                <w:sz w:val="18"/>
              </w:rPr>
            </w:pPr>
            <w:r w:rsidRPr="00496FC3">
              <w:rPr>
                <w:sz w:val="18"/>
              </w:rPr>
              <w:t>WST-1 assay</w:t>
            </w:r>
          </w:p>
        </w:tc>
        <w:tc>
          <w:tcPr>
            <w:tcW w:w="3687" w:type="dxa"/>
            <w:vAlign w:val="center"/>
          </w:tcPr>
          <w:p w14:paraId="55EAC9D4" w14:textId="77777777" w:rsidR="00DE184F" w:rsidRDefault="00DE184F" w:rsidP="008A1DDD">
            <w:pPr>
              <w:spacing w:before="0" w:after="0"/>
              <w:contextualSpacing/>
              <w:rPr>
                <w:sz w:val="18"/>
              </w:rPr>
            </w:pPr>
            <w:r w:rsidRPr="00496FC3">
              <w:rPr>
                <w:rFonts w:eastAsia="Times New Roman"/>
                <w:sz w:val="18"/>
                <w:szCs w:val="18"/>
                <w:lang w:eastAsia="en-GB"/>
              </w:rPr>
              <w:t>NA</w:t>
            </w:r>
          </w:p>
        </w:tc>
        <w:tc>
          <w:tcPr>
            <w:tcW w:w="1231" w:type="dxa"/>
            <w:shd w:val="clear" w:color="auto" w:fill="auto"/>
            <w:noWrap/>
            <w:vAlign w:val="center"/>
          </w:tcPr>
          <w:p w14:paraId="2B4DB40A" w14:textId="77777777" w:rsidR="00DE184F" w:rsidRPr="00D83073" w:rsidRDefault="00DE184F" w:rsidP="008A1DDD">
            <w:pPr>
              <w:spacing w:before="0" w:after="0"/>
              <w:contextualSpacing/>
              <w:rPr>
                <w:sz w:val="18"/>
              </w:rPr>
            </w:pPr>
            <w:r w:rsidRPr="00D83073">
              <w:rPr>
                <w:sz w:val="18"/>
                <w:szCs w:val="18"/>
              </w:rPr>
              <w:fldChar w:fldCharType="begin" w:fldLock="1"/>
            </w:r>
            <w:r w:rsidRPr="00D83073">
              <w:rPr>
                <w:rFonts w:eastAsia="Times New Roman"/>
                <w:sz w:val="18"/>
                <w:szCs w:val="18"/>
                <w:lang w:eastAsia="en-GB"/>
              </w:rPr>
              <w:instrText>ADDIN CSL_CITATION {"citationItems":[{"id":"ITEM-1","itemData":{"DOI":"10.2131/jts.27.229","ISSN":"03881350","PMID":"12238146","abstract":"We investigated and compared the cytotoxicity of 16 reference compounds in four in vitro systems: primary cultured rat hepatocytes, hepatoma HepG2 cell line, non-hepatic HeLa and Balb/c 3T3 cell lines. After 24 hr of exposure to the test compounds, the water-soluble tetrazolium salts WST-1 assay was used as an endpoint to evaluate cytotoxicity. Acetaminophen, diclofenac sodium cyclophosphamide and disulfiram displayed from 2 to more than 10 times higher IC50 values in three cell lines than in rat primary cultured hepatocytes. The cytotoxic effects of aspirin, amiodarone, clorfibiric acid, chlorpromazine, erythomycin, lithocholic acid, cisplatin and quinidine in rat hepatocytes were similar or 2 times stronger than those observed in cell lines. Ketoconazole resulted in the lowest IC50 value in the HeLa cell line. The data suggested that the compounds which are known to be metabolism-mediated liver toxicants have a differential hepatotoxicity in vitro and that primary cultured rat hepatocytes could represent a valuable tool for both screening and study of the effects of bio-transformation on the cytotoxicity of new chemical entities and xenobiotics in vitro.","author":[{"dropping-particle":"","family":"Wang","given":"Kun","non-dropping-particle":"","parse-names":false,"suffix":""},{"dropping-particle":"","family":"Shindoh","given":"Hidetoshi","non-dropping-particle":"","parse-names":false,"suffix":""},{"dropping-particle":"","family":"Inoue","given":"Tomoaki","non-dropping-particle":"","parse-names":false,"suffix":""},{"dropping-particle":"","family":"Horii","given":"Ikuo","non-dropping-particle":"","parse-names":false,"suffix":""}],"container-title":"Journal of Toxicological Sciences","id":"ITEM-1","issue":"3","issued":{"date-parts":[["2002"]]},"page":"229-37","title":"Advantages of in vitro cytotoxicity testing by using primary rat hepatocytes in comparison with established cell lines","type":"article-journal","volume":"27"},"uris":["http://www.mendeley.com/documents/?uuid=1e4bc29f-0686-4217-9b7b-ce1c9af70276","http://www.mendeley.com/documents/?uuid=7c852065-f8bf-4fca-93f8-6e2cb25b46c1"]}],"mendeley":{"formattedCitation":"(Wang et al., 2002)","plainTextFormattedCitation":"(Wang et al., 2002)","previouslyFormattedCitation":"(Wang et al., 2002)"},"properties":{"noteIndex":0},"schema":"https://github.com/citation-style-language/schema/raw/master/csl-citation.json"}</w:instrText>
            </w:r>
            <w:r w:rsidRPr="00D83073">
              <w:rPr>
                <w:sz w:val="18"/>
                <w:szCs w:val="18"/>
              </w:rPr>
              <w:fldChar w:fldCharType="separate"/>
            </w:r>
            <w:r w:rsidRPr="00D83073">
              <w:rPr>
                <w:rFonts w:eastAsia="Times New Roman"/>
                <w:noProof/>
                <w:sz w:val="18"/>
                <w:szCs w:val="18"/>
                <w:lang w:eastAsia="en-GB"/>
              </w:rPr>
              <w:t>(Wang et al., 2002)</w:t>
            </w:r>
            <w:r w:rsidRPr="00D83073">
              <w:rPr>
                <w:sz w:val="18"/>
                <w:szCs w:val="18"/>
              </w:rPr>
              <w:fldChar w:fldCharType="end"/>
            </w:r>
          </w:p>
        </w:tc>
      </w:tr>
      <w:tr w:rsidR="00DE184F" w:rsidRPr="00E076C9" w14:paraId="730C26C8" w14:textId="77777777" w:rsidTr="00007CB5">
        <w:trPr>
          <w:trHeight w:val="381"/>
          <w:jc w:val="center"/>
        </w:trPr>
        <w:tc>
          <w:tcPr>
            <w:tcW w:w="1560" w:type="dxa"/>
            <w:vMerge/>
            <w:shd w:val="clear" w:color="auto" w:fill="auto"/>
            <w:vAlign w:val="center"/>
            <w:hideMark/>
          </w:tcPr>
          <w:p w14:paraId="3A913B35" w14:textId="77777777" w:rsidR="00DE184F" w:rsidRPr="00496FC3" w:rsidRDefault="00DE184F" w:rsidP="008A1DDD">
            <w:pPr>
              <w:spacing w:before="0" w:after="0"/>
              <w:contextualSpacing/>
              <w:rPr>
                <w:sz w:val="18"/>
              </w:rPr>
            </w:pPr>
          </w:p>
        </w:tc>
        <w:tc>
          <w:tcPr>
            <w:tcW w:w="2835" w:type="dxa"/>
            <w:vMerge/>
            <w:shd w:val="clear" w:color="auto" w:fill="auto"/>
            <w:vAlign w:val="center"/>
            <w:hideMark/>
          </w:tcPr>
          <w:p w14:paraId="709932AC" w14:textId="77777777" w:rsidR="00DE184F" w:rsidRPr="00496FC3" w:rsidRDefault="00DE184F" w:rsidP="008A1DDD">
            <w:pPr>
              <w:spacing w:before="0" w:after="0"/>
              <w:contextualSpacing/>
              <w:rPr>
                <w:sz w:val="18"/>
              </w:rPr>
            </w:pPr>
          </w:p>
        </w:tc>
        <w:tc>
          <w:tcPr>
            <w:tcW w:w="1842" w:type="dxa"/>
            <w:vMerge/>
            <w:shd w:val="clear" w:color="auto" w:fill="auto"/>
            <w:vAlign w:val="center"/>
            <w:hideMark/>
          </w:tcPr>
          <w:p w14:paraId="4039E932" w14:textId="77777777" w:rsidR="00DE184F" w:rsidRPr="00496FC3" w:rsidRDefault="00DE184F" w:rsidP="008A1DDD">
            <w:pPr>
              <w:spacing w:before="0" w:after="0"/>
              <w:contextualSpacing/>
              <w:rPr>
                <w:sz w:val="18"/>
              </w:rPr>
            </w:pPr>
          </w:p>
        </w:tc>
        <w:tc>
          <w:tcPr>
            <w:tcW w:w="1418" w:type="dxa"/>
            <w:shd w:val="clear" w:color="auto" w:fill="auto"/>
            <w:noWrap/>
            <w:vAlign w:val="center"/>
            <w:hideMark/>
          </w:tcPr>
          <w:p w14:paraId="08B3EE9F" w14:textId="77777777" w:rsidR="00DE184F" w:rsidRPr="00496FC3" w:rsidRDefault="00DE184F" w:rsidP="008A1DDD">
            <w:pPr>
              <w:spacing w:before="0" w:after="0"/>
              <w:contextualSpacing/>
              <w:rPr>
                <w:sz w:val="18"/>
              </w:rPr>
            </w:pPr>
            <w:r w:rsidRPr="00496FC3">
              <w:rPr>
                <w:sz w:val="18"/>
              </w:rPr>
              <w:t>~3.7</w:t>
            </w:r>
            <w:r>
              <w:rPr>
                <w:sz w:val="18"/>
              </w:rPr>
              <w:t>5</w:t>
            </w:r>
          </w:p>
        </w:tc>
        <w:tc>
          <w:tcPr>
            <w:tcW w:w="1984" w:type="dxa"/>
            <w:shd w:val="clear" w:color="auto" w:fill="auto"/>
            <w:noWrap/>
            <w:vAlign w:val="center"/>
            <w:hideMark/>
          </w:tcPr>
          <w:p w14:paraId="79D5F9DD" w14:textId="77777777" w:rsidR="00DE184F" w:rsidRPr="00496FC3" w:rsidRDefault="00DE184F" w:rsidP="008A1DDD">
            <w:pPr>
              <w:spacing w:before="0" w:after="0"/>
              <w:contextualSpacing/>
              <w:rPr>
                <w:sz w:val="18"/>
              </w:rPr>
            </w:pPr>
            <w:r w:rsidRPr="00496FC3">
              <w:rPr>
                <w:sz w:val="18"/>
              </w:rPr>
              <w:t>LDH Leakage</w:t>
            </w:r>
          </w:p>
        </w:tc>
        <w:tc>
          <w:tcPr>
            <w:tcW w:w="3687" w:type="dxa"/>
            <w:vAlign w:val="center"/>
          </w:tcPr>
          <w:p w14:paraId="20DF84A7" w14:textId="305F6F78" w:rsidR="00DE184F" w:rsidRPr="00394E0E" w:rsidRDefault="00DE184F" w:rsidP="008A1DDD">
            <w:pPr>
              <w:spacing w:before="0" w:after="0"/>
              <w:contextualSpacing/>
              <w:rPr>
                <w:bCs/>
                <w:sz w:val="18"/>
              </w:rPr>
            </w:pPr>
            <w:r>
              <w:rPr>
                <w:bCs/>
                <w:sz w:val="18"/>
              </w:rPr>
              <w:t xml:space="preserve">NA | </w:t>
            </w:r>
            <w:r w:rsidRPr="00394E0E">
              <w:rPr>
                <w:bCs/>
                <w:sz w:val="18"/>
              </w:rPr>
              <w:t>Intracellular GSH,</w:t>
            </w:r>
          </w:p>
          <w:p w14:paraId="39F0CDC4" w14:textId="77777777" w:rsidR="00DE184F" w:rsidRPr="00BB7C21" w:rsidRDefault="00DE184F" w:rsidP="008A1DDD">
            <w:pPr>
              <w:spacing w:before="0" w:after="0"/>
              <w:contextualSpacing/>
              <w:rPr>
                <w:bCs/>
                <w:color w:val="00B050"/>
                <w:sz w:val="18"/>
              </w:rPr>
            </w:pPr>
            <w:r w:rsidRPr="00394E0E">
              <w:rPr>
                <w:bCs/>
                <w:sz w:val="18"/>
              </w:rPr>
              <w:t>ROS and MDA production, MMP visualization</w:t>
            </w:r>
          </w:p>
        </w:tc>
        <w:tc>
          <w:tcPr>
            <w:tcW w:w="1231" w:type="dxa"/>
            <w:shd w:val="clear" w:color="auto" w:fill="auto"/>
            <w:noWrap/>
            <w:vAlign w:val="center"/>
          </w:tcPr>
          <w:p w14:paraId="66129C89" w14:textId="77777777" w:rsidR="00DE184F" w:rsidRPr="00D83073" w:rsidRDefault="00DE184F" w:rsidP="008A1DDD">
            <w:pPr>
              <w:spacing w:before="0" w:after="0"/>
              <w:contextualSpacing/>
              <w:rPr>
                <w:bCs/>
                <w:sz w:val="18"/>
              </w:rPr>
            </w:pPr>
            <w:r w:rsidRPr="00D83073">
              <w:rPr>
                <w:bCs/>
                <w:sz w:val="18"/>
              </w:rPr>
              <w:fldChar w:fldCharType="begin" w:fldLock="1"/>
            </w:r>
            <w:r w:rsidRPr="00D83073">
              <w:rPr>
                <w:bCs/>
                <w:sz w:val="18"/>
              </w:rPr>
              <w:instrText>ADDIN CSL_CITATION {"citationItems":[{"id":"ITEM-1","itemData":{"DOI":"10.1080/01480545.2016.1255953","ISSN":"15256014","abstract":"Context: Acetaminophen (APAP) hepatotoxicity is often studied in primary cultures of hepatocytes of various species, but there are only few works comparing interspecies differences in susceptibility of hepatocytes to APAP in vitro. Objectives: The aim of our work was to compare hepatotoxicity of APAP in rat and mouse hepatocytes in primary cultures. Materials and methods: Hepatocytes isolated from male Wistar rats and C57Bl/6J mice were exposed to APAP for up to 24 h. We determined lactate dehydrogenase (LDH) activity in culture medium, activity of cellular dehydrogenases (WST-1) and activity of caspases 3 in cell lysate as markers of cell damage/death. We assessed content of intracellular reduced glutathione, production of reactive oxygen species (ROS) and malondialdehyde (MDA). Respiration of digitonin-permeabilized hepatocytes was measured by high resolution respirometry and mitochondrial membrane potential (MMP) was visualized (JC-1). Results: APAP from concentrations of 2.5 and 0.75 mmol/L induced a decrease in viability of rat (p &lt; 0.001) and mouse (p &lt; 0.001) hepatocytes (WST-1), respectively. In contrast to rat hepatocytes, there was no activation of caspase-3 in mouse hepatocytes after APAP treatment. Earlier damage to plasma membrane and faster depletion of reduced glutathione were detected in mouse hepatocytes. Mouse hepatocytes showed increased glutamate + malate-driven respiration in state 4 and higher susceptibility of the outer mitochondrial membrane (OMM) to APAP-induced injury. Conclusion: APAP displayed dose-dependent toxicity in hepatocytes of both species. Mouse hepatocytes in primary culture however had approximately three-fold higher susceptibility to the toxic effect of APAP when compared to rat hepatocytes.","author":[{"dropping-particle":"","family":"Kučera","given":"Otto","non-dropping-particle":"","parse-names":false,"suffix":""},{"dropping-particle":"","family":"Endlicher","given":"René","non-dropping-particle":"","parse-names":false,"suffix":""},{"dropping-particle":"","family":"Rychtrmoc","given":"David","non-dropping-particle":"","parse-names":false,"suffix":""},{"dropping-particle":"","family":"Lotková","given":"Halka","non-dropping-particle":"","parse-names":false,"suffix":""},{"dropping-particle":"","family":"Sobotka","given":"Ondřej","non-dropping-particle":"","parse-names":false,"suffix":""},{"dropping-particle":"","family":"Červinková","given":"Zuzana","non-dropping-particle":"","parse-names":false,"suffix":""}],"container-title":"Drug and Chemical Toxicology","id":"ITEM-1","issue":"4","issued":{"date-parts":[["2017"]]},"page":"448-456","title":"Acetaminophen toxicity in rat and mouse hepatocytes in vitro","type":"article-journal","volume":"40"},"uris":["http://www.mendeley.com/documents/?uuid=9f0e474d-6138-4a3a-a719-56e989bfd04e","http://www.mendeley.com/documents/?uuid=6c324c23-f28d-46b3-b817-bcbbd2904b9b"]}],"mendeley":{"formattedCitation":"(Kučera et al., 2017)","plainTextFormattedCitation":"(Kučera et al., 2017)","previouslyFormattedCitation":"(Kučera et al., 2017)"},"properties":{"noteIndex":0},"schema":"https://github.com/citation-style-language/schema/raw/master/csl-citation.json"}</w:instrText>
            </w:r>
            <w:r w:rsidRPr="00D83073">
              <w:rPr>
                <w:bCs/>
                <w:sz w:val="18"/>
              </w:rPr>
              <w:fldChar w:fldCharType="separate"/>
            </w:r>
            <w:r w:rsidRPr="00D83073">
              <w:rPr>
                <w:bCs/>
                <w:noProof/>
                <w:sz w:val="18"/>
              </w:rPr>
              <w:t>(Kučera et al., 2017)</w:t>
            </w:r>
            <w:r w:rsidRPr="00D83073">
              <w:rPr>
                <w:bCs/>
                <w:sz w:val="18"/>
              </w:rPr>
              <w:fldChar w:fldCharType="end"/>
            </w:r>
          </w:p>
        </w:tc>
      </w:tr>
      <w:tr w:rsidR="00DE184F" w:rsidRPr="00E076C9" w14:paraId="2E1A2BF6" w14:textId="77777777" w:rsidTr="00007CB5">
        <w:trPr>
          <w:trHeight w:val="461"/>
          <w:jc w:val="center"/>
        </w:trPr>
        <w:tc>
          <w:tcPr>
            <w:tcW w:w="1560" w:type="dxa"/>
            <w:vMerge/>
            <w:shd w:val="clear" w:color="auto" w:fill="auto"/>
            <w:noWrap/>
            <w:vAlign w:val="center"/>
          </w:tcPr>
          <w:p w14:paraId="2906DA48" w14:textId="77777777" w:rsidR="00DE184F" w:rsidRDefault="00DE184F" w:rsidP="008A1DDD">
            <w:pPr>
              <w:spacing w:before="0" w:after="0"/>
              <w:contextualSpacing/>
              <w:rPr>
                <w:sz w:val="18"/>
              </w:rPr>
            </w:pPr>
          </w:p>
        </w:tc>
        <w:tc>
          <w:tcPr>
            <w:tcW w:w="2835" w:type="dxa"/>
            <w:vMerge/>
            <w:shd w:val="clear" w:color="auto" w:fill="auto"/>
            <w:noWrap/>
            <w:vAlign w:val="center"/>
          </w:tcPr>
          <w:p w14:paraId="06F0BF85" w14:textId="77777777" w:rsidR="00DE184F" w:rsidRPr="00496FC3" w:rsidRDefault="00DE184F" w:rsidP="008A1DDD">
            <w:pPr>
              <w:spacing w:before="0" w:after="0"/>
              <w:contextualSpacing/>
              <w:rPr>
                <w:sz w:val="18"/>
              </w:rPr>
            </w:pPr>
          </w:p>
        </w:tc>
        <w:tc>
          <w:tcPr>
            <w:tcW w:w="1842" w:type="dxa"/>
            <w:vMerge/>
            <w:shd w:val="clear" w:color="auto" w:fill="auto"/>
            <w:vAlign w:val="center"/>
          </w:tcPr>
          <w:p w14:paraId="5CF0101B" w14:textId="77777777" w:rsidR="00DE184F" w:rsidRPr="00496FC3" w:rsidRDefault="00DE184F" w:rsidP="008A1DDD">
            <w:pPr>
              <w:spacing w:before="0" w:after="0"/>
              <w:contextualSpacing/>
              <w:rPr>
                <w:sz w:val="18"/>
              </w:rPr>
            </w:pPr>
          </w:p>
        </w:tc>
        <w:tc>
          <w:tcPr>
            <w:tcW w:w="1418" w:type="dxa"/>
            <w:shd w:val="clear" w:color="auto" w:fill="auto"/>
            <w:noWrap/>
            <w:vAlign w:val="center"/>
          </w:tcPr>
          <w:p w14:paraId="00A6BDE5" w14:textId="77777777" w:rsidR="00DE184F" w:rsidRPr="00496FC3" w:rsidRDefault="00DE184F" w:rsidP="008A1DDD">
            <w:pPr>
              <w:spacing w:before="0" w:after="0"/>
              <w:contextualSpacing/>
              <w:rPr>
                <w:sz w:val="18"/>
              </w:rPr>
            </w:pPr>
            <w:r w:rsidRPr="00496FC3">
              <w:rPr>
                <w:sz w:val="18"/>
              </w:rPr>
              <w:t>30.0</w:t>
            </w:r>
          </w:p>
        </w:tc>
        <w:tc>
          <w:tcPr>
            <w:tcW w:w="1984" w:type="dxa"/>
            <w:shd w:val="clear" w:color="auto" w:fill="auto"/>
            <w:noWrap/>
            <w:vAlign w:val="center"/>
          </w:tcPr>
          <w:p w14:paraId="17CFA4C1" w14:textId="77777777" w:rsidR="00DE184F" w:rsidRPr="00496FC3" w:rsidRDefault="00DE184F" w:rsidP="008A1DDD">
            <w:pPr>
              <w:spacing w:before="0" w:after="0"/>
              <w:contextualSpacing/>
              <w:rPr>
                <w:sz w:val="18"/>
              </w:rPr>
            </w:pPr>
            <w:proofErr w:type="spellStart"/>
            <w:r w:rsidRPr="00496FC3">
              <w:rPr>
                <w:sz w:val="18"/>
              </w:rPr>
              <w:t>Calcein</w:t>
            </w:r>
            <w:proofErr w:type="spellEnd"/>
            <w:r w:rsidRPr="00496FC3">
              <w:rPr>
                <w:sz w:val="18"/>
              </w:rPr>
              <w:t xml:space="preserve"> AM (live) / PI (dead) fluorescent stain</w:t>
            </w:r>
          </w:p>
        </w:tc>
        <w:tc>
          <w:tcPr>
            <w:tcW w:w="3687" w:type="dxa"/>
            <w:vMerge w:val="restart"/>
            <w:vAlign w:val="center"/>
          </w:tcPr>
          <w:p w14:paraId="13F03A30" w14:textId="2E48225D" w:rsidR="00DE184F" w:rsidRDefault="00DE184F" w:rsidP="008A1DDD">
            <w:pPr>
              <w:spacing w:before="0" w:after="0"/>
              <w:contextualSpacing/>
              <w:rPr>
                <w:sz w:val="18"/>
              </w:rPr>
            </w:pPr>
            <w:r>
              <w:rPr>
                <w:sz w:val="18"/>
              </w:rPr>
              <w:t>CYP activity | NA</w:t>
            </w:r>
          </w:p>
        </w:tc>
        <w:tc>
          <w:tcPr>
            <w:tcW w:w="1231" w:type="dxa"/>
            <w:vMerge w:val="restart"/>
            <w:shd w:val="clear" w:color="auto" w:fill="auto"/>
            <w:noWrap/>
            <w:vAlign w:val="center"/>
          </w:tcPr>
          <w:p w14:paraId="01F4F9A7" w14:textId="77777777" w:rsidR="00DE184F" w:rsidRPr="00D83073" w:rsidRDefault="00DE184F" w:rsidP="008A1DDD">
            <w:pPr>
              <w:spacing w:before="0" w:after="0"/>
              <w:contextualSpacing/>
              <w:rPr>
                <w:sz w:val="18"/>
              </w:rPr>
            </w:pPr>
            <w:r w:rsidRPr="00D83073">
              <w:rPr>
                <w:sz w:val="18"/>
              </w:rPr>
              <w:fldChar w:fldCharType="begin" w:fldLock="1"/>
            </w:r>
            <w:r w:rsidRPr="00D83073">
              <w:rPr>
                <w:sz w:val="18"/>
              </w:rPr>
              <w:instrText>ADDIN CSL_CITATION {"citationItems":[{"id":"ITEM-1","itemData":{"DOI":"10.1016/j.biomaterials.2010.09.064","ISSN":"01429612","abstract":"Hepatotoxicity evaluation of pharmaceutical lead compounds in early stages of drug development has drawn increasing attention. Sandwiched hepatocytes exhibiting stable functions in culture represent a standard model for hepatotoxicity testing of drugs. We have developed a robust and high-throughput hepatotoxicity testing platform based on the sandwiched hepatocytes for drug screening. The platform involves a galactosylated microfabricated membrane sandwich to support cellular function through uniform and efficient mass transfer while protecting cells from excessive shear. Perfusion bioreactor further enhances mass transfer and cellular functions over long period; and hepatoctyes are readily transferred to 96-well plate for high-throughput robotic liquid handling. The bioreactor design and perfusion flow rate are optimized by computational fluid dynamics simulation and experimentally. The cultured hepatocytes preserved 3D cell morphology, urea production and cytochrome p450 activity of the mature hepatocytes for 14 days. When the perfusion-cultured sandwich is transferred to 96-well plate for drug testing, the hepatocytes exhibited improved drug sensitivity and low variability in hepatotoxicity responses amongst cells transferred from different dates of perfusion culture. The platform enables robust high-throughput screening of drug candidates. © 2010 Elsevier Ltd.","author":[{"dropping-particle":"","family":"Zhang","given":"Shufang","non-dropping-particle":"","parse-names":false,"suffix":""},{"dropping-particle":"","family":"Tong","given":"Wenhao","non-dropping-particle":"","parse-names":false,"suffix":""},{"dropping-particle":"","family":"Zheng","given":"Baixue","non-dropping-particle":"","parse-names":false,"suffix":""},{"dropping-particle":"","family":"Susanto","given":"Thomas A.K.","non-dropping-particle":"","parse-names":false,"suffix":""},{"dropping-particle":"","family":"Xia","given":"Lei","non-dropping-particle":"","parse-names":false,"suffix":""},{"dropping-particle":"","family":"Zhang","given":"Chi","non-dropping-particle":"","parse-names":false,"suffix":""},{"dropping-particle":"","family":"Ananthanarayanan","given":"Abhishek","non-dropping-particle":"","parse-names":false,"suffix":""},{"dropping-particle":"","family":"Tuo","given":"Xiaoye","non-dropping-particle":"","parse-names":false,"suffix":""},{"dropping-particle":"","family":"Sakban","given":"Rashidah B.","non-dropping-particle":"","parse-names":false,"suffix":""},{"dropping-particle":"","family":"Jia","given":"Ruirui","non-dropping-particle":"","parse-names":false,"suffix":""},{"dropping-particle":"","family":"Iliescu","given":"Ciprian","non-dropping-particle":"","parse-names":false,"suffix":""},{"dropping-particle":"","family":"Chai","given":"Kah Hin","non-dropping-particle":"","parse-names":false,"suffix":""},{"dropping-particle":"","family":"McMillian","given":"Michael","non-dropping-particle":"","parse-names":false,"suffix":""},{"dropping-particle":"","family":"Shen","given":"Shali","non-dropping-particle":"","parse-names":false,"suffix":""},{"dropping-particle":"","family":"Leo","given":"Hwaliang","non-dropping-particle":"","parse-names":false,"suffix":""},{"dropping-particle":"","family":"Yu","given":"Hanry","non-dropping-particle":"","parse-names":false,"suffix":""}],"container-title":"Biomaterials","id":"ITEM-1","issue":"4","issued":{"date-parts":[["2011"]]},"page":"1229-41","title":"A robust high-throughput sandwich cell-based drug screening platform","type":"article-journal","volume":"32"},"uris":["http://www.mendeley.com/documents/?uuid=10b7ac20-bd1a-4697-be30-5c1e56dea2f2","http://www.mendeley.com/documents/?uuid=a968eb05-f7d7-4fd8-9a3c-ef91712592d5"]}],"mendeley":{"formattedCitation":"(Zhang et al., 2011)","plainTextFormattedCitation":"(Zhang et al., 2011)","previouslyFormattedCitation":"(Zhang et al., 2011)"},"properties":{"noteIndex":0},"schema":"https://github.com/citation-style-language/schema/raw/master/csl-citation.json"}</w:instrText>
            </w:r>
            <w:r w:rsidRPr="00D83073">
              <w:rPr>
                <w:sz w:val="18"/>
              </w:rPr>
              <w:fldChar w:fldCharType="separate"/>
            </w:r>
            <w:r w:rsidRPr="00D83073">
              <w:rPr>
                <w:noProof/>
                <w:sz w:val="18"/>
              </w:rPr>
              <w:t>(Zhang et al., 2011)</w:t>
            </w:r>
            <w:r w:rsidRPr="00D83073">
              <w:rPr>
                <w:sz w:val="18"/>
              </w:rPr>
              <w:fldChar w:fldCharType="end"/>
            </w:r>
          </w:p>
        </w:tc>
      </w:tr>
      <w:tr w:rsidR="008A1DDD" w:rsidRPr="00E076C9" w14:paraId="0F7DC3DF" w14:textId="77777777" w:rsidTr="00007CB5">
        <w:trPr>
          <w:trHeight w:val="460"/>
          <w:jc w:val="center"/>
        </w:trPr>
        <w:tc>
          <w:tcPr>
            <w:tcW w:w="1560" w:type="dxa"/>
            <w:vMerge/>
            <w:shd w:val="clear" w:color="auto" w:fill="auto"/>
            <w:noWrap/>
            <w:vAlign w:val="center"/>
          </w:tcPr>
          <w:p w14:paraId="3D15459D" w14:textId="77777777" w:rsidR="008A1DDD" w:rsidRDefault="008A1DDD" w:rsidP="008A1DDD">
            <w:pPr>
              <w:spacing w:before="0" w:after="0"/>
              <w:contextualSpacing/>
              <w:rPr>
                <w:sz w:val="18"/>
              </w:rPr>
            </w:pPr>
          </w:p>
        </w:tc>
        <w:tc>
          <w:tcPr>
            <w:tcW w:w="2835" w:type="dxa"/>
            <w:shd w:val="clear" w:color="auto" w:fill="auto"/>
            <w:noWrap/>
            <w:vAlign w:val="center"/>
          </w:tcPr>
          <w:p w14:paraId="741C6492" w14:textId="77777777" w:rsidR="008A1DDD" w:rsidRPr="00496FC3" w:rsidRDefault="008A1DDD" w:rsidP="008A1DDD">
            <w:pPr>
              <w:spacing w:before="0" w:after="0"/>
              <w:contextualSpacing/>
              <w:rPr>
                <w:sz w:val="18"/>
              </w:rPr>
            </w:pPr>
            <w:r w:rsidRPr="00496FC3">
              <w:rPr>
                <w:sz w:val="18"/>
              </w:rPr>
              <w:t>3D Scaffold perfused bioreactor (</w:t>
            </w:r>
            <w:proofErr w:type="spellStart"/>
            <w:r w:rsidRPr="00496FC3">
              <w:rPr>
                <w:sz w:val="18"/>
              </w:rPr>
              <w:t>Robo</w:t>
            </w:r>
            <w:r>
              <w:rPr>
                <w:sz w:val="18"/>
              </w:rPr>
              <w:t>T</w:t>
            </w:r>
            <w:r w:rsidRPr="00496FC3">
              <w:rPr>
                <w:sz w:val="18"/>
              </w:rPr>
              <w:t>ox</w:t>
            </w:r>
            <w:proofErr w:type="spellEnd"/>
            <w:r w:rsidRPr="00496FC3">
              <w:rPr>
                <w:sz w:val="18"/>
              </w:rPr>
              <w:t>)</w:t>
            </w:r>
          </w:p>
        </w:tc>
        <w:tc>
          <w:tcPr>
            <w:tcW w:w="1842" w:type="dxa"/>
            <w:shd w:val="clear" w:color="auto" w:fill="auto"/>
            <w:vAlign w:val="center"/>
          </w:tcPr>
          <w:p w14:paraId="004B36F8" w14:textId="39F27A97" w:rsidR="008A1DDD" w:rsidRPr="00496FC3" w:rsidRDefault="00DE184F" w:rsidP="008A1DDD">
            <w:pPr>
              <w:spacing w:before="0" w:after="0"/>
              <w:contextualSpacing/>
              <w:rPr>
                <w:sz w:val="18"/>
              </w:rPr>
            </w:pPr>
            <w:r>
              <w:rPr>
                <w:sz w:val="18"/>
              </w:rPr>
              <w:t xml:space="preserve">24h </w:t>
            </w:r>
          </w:p>
        </w:tc>
        <w:tc>
          <w:tcPr>
            <w:tcW w:w="1418" w:type="dxa"/>
            <w:shd w:val="clear" w:color="auto" w:fill="auto"/>
            <w:noWrap/>
            <w:vAlign w:val="center"/>
          </w:tcPr>
          <w:p w14:paraId="60887A5E" w14:textId="77777777" w:rsidR="008A1DDD" w:rsidRPr="00496FC3" w:rsidRDefault="008A1DDD" w:rsidP="008A1DDD">
            <w:pPr>
              <w:spacing w:before="0" w:after="0"/>
              <w:contextualSpacing/>
              <w:rPr>
                <w:sz w:val="18"/>
              </w:rPr>
            </w:pPr>
            <w:r w:rsidRPr="00496FC3">
              <w:rPr>
                <w:sz w:val="18"/>
              </w:rPr>
              <w:t>7.0</w:t>
            </w:r>
          </w:p>
        </w:tc>
        <w:tc>
          <w:tcPr>
            <w:tcW w:w="1984" w:type="dxa"/>
            <w:shd w:val="clear" w:color="auto" w:fill="auto"/>
            <w:noWrap/>
            <w:vAlign w:val="center"/>
          </w:tcPr>
          <w:p w14:paraId="6ECB63C7" w14:textId="5E7634F9" w:rsidR="008A1DDD" w:rsidRPr="00496FC3" w:rsidRDefault="00DE184F" w:rsidP="008A1DDD">
            <w:pPr>
              <w:spacing w:before="0" w:after="0"/>
              <w:contextualSpacing/>
              <w:rPr>
                <w:sz w:val="18"/>
              </w:rPr>
            </w:pPr>
            <w:proofErr w:type="spellStart"/>
            <w:r w:rsidRPr="00496FC3">
              <w:rPr>
                <w:sz w:val="18"/>
              </w:rPr>
              <w:t>Calcein</w:t>
            </w:r>
            <w:proofErr w:type="spellEnd"/>
            <w:r w:rsidRPr="00496FC3">
              <w:rPr>
                <w:sz w:val="18"/>
              </w:rPr>
              <w:t xml:space="preserve"> AM (live) / PI (dead) fluorescent stain</w:t>
            </w:r>
          </w:p>
        </w:tc>
        <w:tc>
          <w:tcPr>
            <w:tcW w:w="3687" w:type="dxa"/>
            <w:vMerge/>
            <w:vAlign w:val="center"/>
          </w:tcPr>
          <w:p w14:paraId="0BBFCCA5" w14:textId="77777777" w:rsidR="008A1DDD" w:rsidRDefault="008A1DDD" w:rsidP="008A1DDD">
            <w:pPr>
              <w:spacing w:before="0" w:after="0"/>
              <w:contextualSpacing/>
              <w:rPr>
                <w:sz w:val="18"/>
              </w:rPr>
            </w:pPr>
          </w:p>
        </w:tc>
        <w:tc>
          <w:tcPr>
            <w:tcW w:w="1231" w:type="dxa"/>
            <w:vMerge/>
            <w:shd w:val="clear" w:color="auto" w:fill="auto"/>
            <w:noWrap/>
            <w:vAlign w:val="center"/>
          </w:tcPr>
          <w:p w14:paraId="581A9973" w14:textId="77777777" w:rsidR="008A1DDD" w:rsidRPr="00D83073" w:rsidRDefault="008A1DDD" w:rsidP="008A1DDD">
            <w:pPr>
              <w:spacing w:before="0" w:after="0"/>
              <w:contextualSpacing/>
              <w:rPr>
                <w:sz w:val="18"/>
              </w:rPr>
            </w:pPr>
          </w:p>
        </w:tc>
      </w:tr>
      <w:tr w:rsidR="008A1DDD" w:rsidRPr="00E076C9" w14:paraId="47DB9C79" w14:textId="77777777" w:rsidTr="00007CB5">
        <w:trPr>
          <w:trHeight w:val="280"/>
          <w:jc w:val="center"/>
        </w:trPr>
        <w:tc>
          <w:tcPr>
            <w:tcW w:w="1560" w:type="dxa"/>
            <w:vMerge w:val="restart"/>
            <w:shd w:val="clear" w:color="auto" w:fill="auto"/>
            <w:noWrap/>
            <w:vAlign w:val="center"/>
            <w:hideMark/>
          </w:tcPr>
          <w:p w14:paraId="66CFF57C" w14:textId="77777777" w:rsidR="008A1DDD" w:rsidRPr="00496FC3" w:rsidRDefault="008A1DDD" w:rsidP="008A1DDD">
            <w:pPr>
              <w:spacing w:before="0" w:after="0"/>
              <w:contextualSpacing/>
              <w:rPr>
                <w:sz w:val="18"/>
              </w:rPr>
            </w:pPr>
            <w:proofErr w:type="spellStart"/>
            <w:r>
              <w:rPr>
                <w:sz w:val="18"/>
              </w:rPr>
              <w:t>m</w:t>
            </w:r>
            <w:r w:rsidRPr="00496FC3">
              <w:rPr>
                <w:sz w:val="18"/>
              </w:rPr>
              <w:t>pHep</w:t>
            </w:r>
            <w:proofErr w:type="spellEnd"/>
          </w:p>
        </w:tc>
        <w:tc>
          <w:tcPr>
            <w:tcW w:w="2835" w:type="dxa"/>
            <w:shd w:val="clear" w:color="auto" w:fill="auto"/>
            <w:noWrap/>
            <w:vAlign w:val="center"/>
            <w:hideMark/>
          </w:tcPr>
          <w:p w14:paraId="53098E15" w14:textId="77777777" w:rsidR="008A1DDD" w:rsidRPr="00496FC3" w:rsidRDefault="008A1DDD" w:rsidP="008A1DDD">
            <w:pPr>
              <w:spacing w:before="0" w:after="0"/>
              <w:contextualSpacing/>
              <w:rPr>
                <w:sz w:val="18"/>
              </w:rPr>
            </w:pPr>
            <w:r w:rsidRPr="00496FC3">
              <w:rPr>
                <w:sz w:val="18"/>
              </w:rPr>
              <w:t>2D</w:t>
            </w:r>
          </w:p>
        </w:tc>
        <w:tc>
          <w:tcPr>
            <w:tcW w:w="1842" w:type="dxa"/>
            <w:shd w:val="clear" w:color="auto" w:fill="auto"/>
            <w:vAlign w:val="center"/>
            <w:hideMark/>
          </w:tcPr>
          <w:p w14:paraId="309C9505" w14:textId="13312DCF" w:rsidR="008A1DDD" w:rsidRPr="00496FC3" w:rsidRDefault="008A1DDD" w:rsidP="008A1DDD">
            <w:pPr>
              <w:spacing w:before="0" w:after="0"/>
              <w:contextualSpacing/>
              <w:rPr>
                <w:sz w:val="18"/>
              </w:rPr>
            </w:pPr>
            <w:r>
              <w:rPr>
                <w:sz w:val="18"/>
              </w:rPr>
              <w:t>24h</w:t>
            </w:r>
          </w:p>
        </w:tc>
        <w:tc>
          <w:tcPr>
            <w:tcW w:w="1418" w:type="dxa"/>
            <w:shd w:val="clear" w:color="auto" w:fill="auto"/>
            <w:noWrap/>
            <w:vAlign w:val="center"/>
          </w:tcPr>
          <w:p w14:paraId="020DAF0C" w14:textId="77777777" w:rsidR="008A1DDD" w:rsidRPr="00496FC3" w:rsidRDefault="008A1DDD" w:rsidP="008A1DDD">
            <w:pPr>
              <w:spacing w:before="0" w:after="0"/>
              <w:contextualSpacing/>
              <w:rPr>
                <w:sz w:val="18"/>
              </w:rPr>
            </w:pPr>
            <w:r w:rsidRPr="00496FC3">
              <w:rPr>
                <w:sz w:val="18"/>
              </w:rPr>
              <w:t>~1.2</w:t>
            </w:r>
            <w:r>
              <w:rPr>
                <w:sz w:val="18"/>
              </w:rPr>
              <w:t>5</w:t>
            </w:r>
          </w:p>
        </w:tc>
        <w:tc>
          <w:tcPr>
            <w:tcW w:w="1984" w:type="dxa"/>
            <w:shd w:val="clear" w:color="auto" w:fill="auto"/>
            <w:noWrap/>
            <w:vAlign w:val="center"/>
          </w:tcPr>
          <w:p w14:paraId="620104BF" w14:textId="77777777" w:rsidR="008A1DDD" w:rsidRPr="00496FC3" w:rsidRDefault="008A1DDD" w:rsidP="008A1DDD">
            <w:pPr>
              <w:spacing w:before="0" w:after="0"/>
              <w:contextualSpacing/>
              <w:rPr>
                <w:sz w:val="18"/>
              </w:rPr>
            </w:pPr>
            <w:r w:rsidRPr="00496FC3">
              <w:rPr>
                <w:sz w:val="18"/>
              </w:rPr>
              <w:t>LDH Leakage</w:t>
            </w:r>
          </w:p>
        </w:tc>
        <w:tc>
          <w:tcPr>
            <w:tcW w:w="3687" w:type="dxa"/>
            <w:vAlign w:val="center"/>
          </w:tcPr>
          <w:p w14:paraId="5C2005BA" w14:textId="1A00D1C6" w:rsidR="008A1DDD" w:rsidRPr="00394E0E" w:rsidRDefault="008A1DDD" w:rsidP="008A1DDD">
            <w:pPr>
              <w:spacing w:before="0" w:after="0"/>
              <w:contextualSpacing/>
              <w:rPr>
                <w:bCs/>
                <w:sz w:val="18"/>
              </w:rPr>
            </w:pPr>
            <w:r>
              <w:rPr>
                <w:bCs/>
                <w:sz w:val="18"/>
              </w:rPr>
              <w:t xml:space="preserve">NA | </w:t>
            </w:r>
            <w:r w:rsidRPr="00394E0E">
              <w:rPr>
                <w:bCs/>
                <w:sz w:val="18"/>
              </w:rPr>
              <w:t>Intracellular GSH,</w:t>
            </w:r>
          </w:p>
          <w:p w14:paraId="5388A874" w14:textId="77777777" w:rsidR="008A1DDD" w:rsidRPr="00496FC3" w:rsidRDefault="008A1DDD" w:rsidP="008A1DDD">
            <w:pPr>
              <w:spacing w:before="0" w:after="0"/>
              <w:contextualSpacing/>
              <w:rPr>
                <w:sz w:val="18"/>
              </w:rPr>
            </w:pPr>
            <w:r w:rsidRPr="00394E0E">
              <w:rPr>
                <w:bCs/>
                <w:sz w:val="18"/>
              </w:rPr>
              <w:t>ROS and MDA production, MMP visualization</w:t>
            </w:r>
          </w:p>
        </w:tc>
        <w:tc>
          <w:tcPr>
            <w:tcW w:w="1231" w:type="dxa"/>
            <w:shd w:val="clear" w:color="auto" w:fill="auto"/>
            <w:noWrap/>
            <w:vAlign w:val="center"/>
          </w:tcPr>
          <w:p w14:paraId="3CB35BF5" w14:textId="77777777" w:rsidR="008A1DDD" w:rsidRPr="00D83073" w:rsidRDefault="008A1DDD" w:rsidP="008A1DDD">
            <w:pPr>
              <w:spacing w:before="0" w:after="0"/>
              <w:contextualSpacing/>
              <w:rPr>
                <w:sz w:val="18"/>
              </w:rPr>
            </w:pPr>
            <w:r w:rsidRPr="00D83073">
              <w:rPr>
                <w:bCs/>
                <w:sz w:val="18"/>
              </w:rPr>
              <w:fldChar w:fldCharType="begin" w:fldLock="1"/>
            </w:r>
            <w:r w:rsidRPr="00D83073">
              <w:rPr>
                <w:bCs/>
                <w:sz w:val="18"/>
              </w:rPr>
              <w:instrText>ADDIN CSL_CITATION {"citationItems":[{"id":"ITEM-1","itemData":{"DOI":"10.1080/01480545.2016.1255953","ISSN":"15256014","abstract":"Context: Acetaminophen (APAP) hepatotoxicity is often studied in primary cultures of hepatocytes of various species, but there are only few works comparing interspecies differences in susceptibility of hepatocytes to APAP in vitro. Objectives: The aim of our work was to compare hepatotoxicity of APAP in rat and mouse hepatocytes in primary cultures. Materials and methods: Hepatocytes isolated from male Wistar rats and C57Bl/6J mice were exposed to APAP for up to 24 h. We determined lactate dehydrogenase (LDH) activity in culture medium, activity of cellular dehydrogenases (WST-1) and activity of caspases 3 in cell lysate as markers of cell damage/death. We assessed content of intracellular reduced glutathione, production of reactive oxygen species (ROS) and malondialdehyde (MDA). Respiration of digitonin-permeabilized hepatocytes was measured by high resolution respirometry and mitochondrial membrane potential (MMP) was visualized (JC-1). Results: APAP from concentrations of 2.5 and 0.75 mmol/L induced a decrease in viability of rat (p &lt; 0.001) and mouse (p &lt; 0.001) hepatocytes (WST-1), respectively. In contrast to rat hepatocytes, there was no activation of caspase-3 in mouse hepatocytes after APAP treatment. Earlier damage to plasma membrane and faster depletion of reduced glutathione were detected in mouse hepatocytes. Mouse hepatocytes showed increased glutamate + malate-driven respiration in state 4 and higher susceptibility of the outer mitochondrial membrane (OMM) to APAP-induced injury. Conclusion: APAP displayed dose-dependent toxicity in hepatocytes of both species. Mouse hepatocytes in primary culture however had approximately three-fold higher susceptibility to the toxic effect of APAP when compared to rat hepatocytes.","author":[{"dropping-particle":"","family":"Kučera","given":"Otto","non-dropping-particle":"","parse-names":false,"suffix":""},{"dropping-particle":"","family":"Endlicher","given":"René","non-dropping-particle":"","parse-names":false,"suffix":""},{"dropping-particle":"","family":"Rychtrmoc","given":"David","non-dropping-particle":"","parse-names":false,"suffix":""},{"dropping-particle":"","family":"Lotková","given":"Halka","non-dropping-particle":"","parse-names":false,"suffix":""},{"dropping-particle":"","family":"Sobotka","given":"Ondřej","non-dropping-particle":"","parse-names":false,"suffix":""},{"dropping-particle":"","family":"Červinková","given":"Zuzana","non-dropping-particle":"","parse-names":false,"suffix":""}],"container-title":"Drug and Chemical Toxicology","id":"ITEM-1","issue":"4","issued":{"date-parts":[["2017"]]},"page":"448-456","title":"Acetaminophen toxicity in rat and mouse hepatocytes in vitro","type":"article-journal","volume":"40"},"uris":["http://www.mendeley.com/documents/?uuid=9f0e474d-6138-4a3a-a719-56e989bfd04e","http://www.mendeley.com/documents/?uuid=6c324c23-f28d-46b3-b817-bcbbd2904b9b"]}],"mendeley":{"formattedCitation":"(Kučera et al., 2017)","plainTextFormattedCitation":"(Kučera et al., 2017)","previouslyFormattedCitation":"(Kučera et al., 2017)"},"properties":{"noteIndex":0},"schema":"https://github.com/citation-style-language/schema/raw/master/csl-citation.json"}</w:instrText>
            </w:r>
            <w:r w:rsidRPr="00D83073">
              <w:rPr>
                <w:bCs/>
                <w:sz w:val="18"/>
              </w:rPr>
              <w:fldChar w:fldCharType="separate"/>
            </w:r>
            <w:r w:rsidRPr="00D83073">
              <w:rPr>
                <w:bCs/>
                <w:noProof/>
                <w:sz w:val="18"/>
              </w:rPr>
              <w:t>(Kučera et al., 2017)</w:t>
            </w:r>
            <w:r w:rsidRPr="00D83073">
              <w:rPr>
                <w:bCs/>
                <w:sz w:val="18"/>
              </w:rPr>
              <w:fldChar w:fldCharType="end"/>
            </w:r>
          </w:p>
        </w:tc>
      </w:tr>
      <w:tr w:rsidR="008A1DDD" w:rsidRPr="00E076C9" w14:paraId="666FDD9A" w14:textId="77777777" w:rsidTr="00007CB5">
        <w:trPr>
          <w:trHeight w:val="280"/>
          <w:jc w:val="center"/>
        </w:trPr>
        <w:tc>
          <w:tcPr>
            <w:tcW w:w="1560" w:type="dxa"/>
            <w:vMerge/>
            <w:shd w:val="clear" w:color="auto" w:fill="auto"/>
            <w:noWrap/>
            <w:vAlign w:val="center"/>
          </w:tcPr>
          <w:p w14:paraId="4F0E98F6" w14:textId="77777777" w:rsidR="008A1DDD" w:rsidRPr="00496FC3" w:rsidRDefault="008A1DDD" w:rsidP="008A1DDD">
            <w:pPr>
              <w:spacing w:before="0" w:after="0"/>
              <w:contextualSpacing/>
              <w:rPr>
                <w:sz w:val="18"/>
              </w:rPr>
            </w:pPr>
          </w:p>
        </w:tc>
        <w:tc>
          <w:tcPr>
            <w:tcW w:w="2835" w:type="dxa"/>
            <w:shd w:val="clear" w:color="auto" w:fill="auto"/>
            <w:noWrap/>
            <w:vAlign w:val="center"/>
          </w:tcPr>
          <w:p w14:paraId="7E0EE862" w14:textId="77777777" w:rsidR="008A1DDD" w:rsidRPr="00496FC3" w:rsidRDefault="008A1DDD" w:rsidP="008A1DDD">
            <w:pPr>
              <w:spacing w:before="0" w:after="0"/>
              <w:contextualSpacing/>
              <w:rPr>
                <w:sz w:val="18"/>
              </w:rPr>
            </w:pPr>
            <w:r w:rsidRPr="00496FC3">
              <w:rPr>
                <w:sz w:val="18"/>
              </w:rPr>
              <w:t xml:space="preserve">3D </w:t>
            </w:r>
            <w:r>
              <w:rPr>
                <w:sz w:val="18"/>
              </w:rPr>
              <w:t>C</w:t>
            </w:r>
            <w:r w:rsidRPr="00496FC3">
              <w:rPr>
                <w:sz w:val="18"/>
              </w:rPr>
              <w:t>ollagen sandwich</w:t>
            </w:r>
          </w:p>
        </w:tc>
        <w:tc>
          <w:tcPr>
            <w:tcW w:w="1842" w:type="dxa"/>
            <w:shd w:val="clear" w:color="auto" w:fill="auto"/>
            <w:vAlign w:val="center"/>
          </w:tcPr>
          <w:p w14:paraId="1CF601B2" w14:textId="52E9AE1E" w:rsidR="008A1DDD" w:rsidRPr="00496FC3" w:rsidRDefault="007171D7" w:rsidP="008A1DDD">
            <w:pPr>
              <w:spacing w:before="0" w:after="0"/>
              <w:contextualSpacing/>
              <w:rPr>
                <w:sz w:val="18"/>
              </w:rPr>
            </w:pPr>
            <w:r>
              <w:rPr>
                <w:sz w:val="18"/>
              </w:rPr>
              <w:t>24h</w:t>
            </w:r>
          </w:p>
        </w:tc>
        <w:tc>
          <w:tcPr>
            <w:tcW w:w="1418" w:type="dxa"/>
            <w:shd w:val="clear" w:color="auto" w:fill="auto"/>
            <w:noWrap/>
            <w:vAlign w:val="center"/>
          </w:tcPr>
          <w:p w14:paraId="24ABDA84" w14:textId="77777777" w:rsidR="008A1DDD" w:rsidRPr="00496FC3" w:rsidRDefault="008A1DDD" w:rsidP="008A1DDD">
            <w:pPr>
              <w:spacing w:before="0" w:after="0"/>
              <w:contextualSpacing/>
              <w:rPr>
                <w:sz w:val="18"/>
              </w:rPr>
            </w:pPr>
            <w:r w:rsidRPr="00496FC3">
              <w:rPr>
                <w:sz w:val="18"/>
              </w:rPr>
              <w:t>3.8</w:t>
            </w:r>
          </w:p>
        </w:tc>
        <w:tc>
          <w:tcPr>
            <w:tcW w:w="1984" w:type="dxa"/>
            <w:shd w:val="clear" w:color="auto" w:fill="auto"/>
            <w:noWrap/>
            <w:vAlign w:val="center"/>
          </w:tcPr>
          <w:p w14:paraId="6FEAAD0D" w14:textId="77777777" w:rsidR="008A1DDD" w:rsidRPr="00496FC3" w:rsidRDefault="008A1DDD" w:rsidP="008A1DDD">
            <w:pPr>
              <w:spacing w:before="0" w:after="0"/>
              <w:contextualSpacing/>
              <w:rPr>
                <w:sz w:val="18"/>
              </w:rPr>
            </w:pPr>
            <w:r w:rsidRPr="00496FC3">
              <w:rPr>
                <w:sz w:val="18"/>
              </w:rPr>
              <w:t>MTT assay</w:t>
            </w:r>
          </w:p>
        </w:tc>
        <w:tc>
          <w:tcPr>
            <w:tcW w:w="3687" w:type="dxa"/>
            <w:vAlign w:val="center"/>
          </w:tcPr>
          <w:p w14:paraId="18FDC748" w14:textId="6221964F" w:rsidR="008A1DDD" w:rsidRDefault="008A1DDD" w:rsidP="008A1DDD">
            <w:pPr>
              <w:spacing w:before="0" w:after="0"/>
              <w:contextualSpacing/>
              <w:rPr>
                <w:sz w:val="18"/>
              </w:rPr>
            </w:pPr>
            <w:r>
              <w:rPr>
                <w:sz w:val="18"/>
              </w:rPr>
              <w:t>CYP2E1 activity | NA</w:t>
            </w:r>
          </w:p>
        </w:tc>
        <w:tc>
          <w:tcPr>
            <w:tcW w:w="1231" w:type="dxa"/>
            <w:shd w:val="clear" w:color="auto" w:fill="auto"/>
            <w:noWrap/>
            <w:vAlign w:val="center"/>
          </w:tcPr>
          <w:p w14:paraId="5AD2DCDC" w14:textId="77777777" w:rsidR="008A1DDD" w:rsidRPr="00D83073" w:rsidRDefault="008A1DDD" w:rsidP="008A1DDD">
            <w:pPr>
              <w:spacing w:before="0" w:after="0"/>
              <w:contextualSpacing/>
              <w:rPr>
                <w:sz w:val="18"/>
              </w:rPr>
            </w:pPr>
            <w:r w:rsidRPr="00D83073">
              <w:rPr>
                <w:sz w:val="18"/>
              </w:rPr>
              <w:fldChar w:fldCharType="begin" w:fldLock="1"/>
            </w:r>
            <w:r w:rsidRPr="00D83073">
              <w:rPr>
                <w:sz w:val="18"/>
              </w:rPr>
              <w:instrText>ADDIN CSL_CITATION {"citationItems":[{"id":"ITEM-1","itemData":{"DOI":"10.1016/j.tiv.2008.02.001","ISSN":"08872333","abstract":"Most of the experiments studying acetaminophen (APAP) induced hepatotoxicity were performed using moue as model specie, right because its high sensitivity. While the toxic responses can be called forth easily in mice, the human relevancy of these results is questionable. In this study human, rat, and mouse primary hepatocytes were treated with increasing concentrations of APAP, and cell viability was measured by MTT cytotoxicity assay. Pronounced interspecies differences were obtained in cell viability following 24 h of APAP treatment starting at 24 h after seeding (EC50: 3.8 mM, 7.6 mM, and 28.2 mM, in mouse, rat, and human hepatocyte culture, respectively). The longer time of culturing highly increased the resistance of hepatocytes of all species investigated. In rat hepatocyte culture EC50 values were 6.0 mM, 12.5 mM, and 18.8 mM, when starting APAP treatment after 24, 48, and 72 h of seeding. Although N-acetylbenzoquinoneimine, a minor metabolite of APAP, which is mainly formed by CYP2E1 at high APAP concentration in every species studied, is thought to initiate the toxic processes, no correlation was found between CYP2E1 activities and hepatocyte sensitivity of different species. We conclude that the toxicity induced by APAP overdose highly depends on the animal model applied. © 2008 Elsevier Ltd. All rights reserved.","author":[{"dropping-particle":"","family":"Jemnitz","given":"Katalin","non-dropping-particle":"","parse-names":false,"suffix":""},{"dropping-particle":"","family":"Veres","given":"Zsuzsa","non-dropping-particle":"","parse-names":false,"suffix":""},{"dropping-particle":"","family":"Monostory","given":"Katalin","non-dropping-particle":"","parse-names":false,"suffix":""},{"dropping-particle":"","family":"Kóbori","given":"László","non-dropping-particle":"","parse-names":false,"suffix":""},{"dropping-particle":"","family":"Vereczkey","given":"László","non-dropping-particle":"","parse-names":false,"suffix":""}],"container-title":"Toxicology in Vitro","id":"ITEM-1","issue":"4","issued":{"date-parts":[["2008"]]},"page":"961-967","title":"Interspecies differences in acetaminophen sensitivity of human, rat, and mouse primary hepatocytes","type":"article-journal","volume":"22"},"uris":["http://www.mendeley.com/documents/?uuid=384d613e-97d3-4708-8676-34f728cac680"]}],"mendeley":{"formattedCitation":"(Jemnitz et al., 2008)","plainTextFormattedCitation":"(Jemnitz et al., 2008)","previouslyFormattedCitation":"(Jemnitz et al., 2008)"},"properties":{"noteIndex":0},"schema":"https://github.com/citation-style-language/schema/raw/master/csl-citation.json"}</w:instrText>
            </w:r>
            <w:r w:rsidRPr="00D83073">
              <w:rPr>
                <w:sz w:val="18"/>
              </w:rPr>
              <w:fldChar w:fldCharType="separate"/>
            </w:r>
            <w:r w:rsidRPr="00D83073">
              <w:rPr>
                <w:noProof/>
                <w:sz w:val="18"/>
              </w:rPr>
              <w:t>(Jemnitz et al., 2008)</w:t>
            </w:r>
            <w:r w:rsidRPr="00D83073">
              <w:rPr>
                <w:sz w:val="18"/>
              </w:rPr>
              <w:fldChar w:fldCharType="end"/>
            </w:r>
          </w:p>
        </w:tc>
      </w:tr>
      <w:tr w:rsidR="008A1DDD" w:rsidRPr="00E076C9" w14:paraId="3B3EA9F4" w14:textId="77777777" w:rsidTr="00007CB5">
        <w:trPr>
          <w:trHeight w:val="280"/>
          <w:jc w:val="center"/>
        </w:trPr>
        <w:tc>
          <w:tcPr>
            <w:tcW w:w="1560" w:type="dxa"/>
            <w:shd w:val="clear" w:color="auto" w:fill="auto"/>
            <w:noWrap/>
            <w:vAlign w:val="center"/>
          </w:tcPr>
          <w:p w14:paraId="6C955C8C" w14:textId="77777777" w:rsidR="008A1DDD" w:rsidRPr="00496FC3" w:rsidRDefault="008A1DDD" w:rsidP="008A1DDD">
            <w:pPr>
              <w:spacing w:before="0" w:after="0"/>
              <w:contextualSpacing/>
              <w:rPr>
                <w:sz w:val="18"/>
              </w:rPr>
            </w:pPr>
            <w:proofErr w:type="spellStart"/>
            <w:r>
              <w:rPr>
                <w:sz w:val="18"/>
              </w:rPr>
              <w:t>h</w:t>
            </w:r>
            <w:r w:rsidRPr="00496FC3">
              <w:rPr>
                <w:sz w:val="18"/>
              </w:rPr>
              <w:t>pHep</w:t>
            </w:r>
            <w:proofErr w:type="spellEnd"/>
          </w:p>
        </w:tc>
        <w:tc>
          <w:tcPr>
            <w:tcW w:w="2835" w:type="dxa"/>
            <w:shd w:val="clear" w:color="auto" w:fill="auto"/>
            <w:noWrap/>
            <w:vAlign w:val="center"/>
          </w:tcPr>
          <w:p w14:paraId="390C4D83" w14:textId="77777777" w:rsidR="008A1DDD" w:rsidRPr="00496FC3" w:rsidRDefault="008A1DDD" w:rsidP="008A1DDD">
            <w:pPr>
              <w:spacing w:before="0" w:after="0"/>
              <w:contextualSpacing/>
              <w:rPr>
                <w:sz w:val="18"/>
              </w:rPr>
            </w:pPr>
            <w:r w:rsidRPr="00496FC3">
              <w:rPr>
                <w:sz w:val="18"/>
              </w:rPr>
              <w:t xml:space="preserve">3D </w:t>
            </w:r>
            <w:r>
              <w:rPr>
                <w:sz w:val="18"/>
              </w:rPr>
              <w:t>C</w:t>
            </w:r>
            <w:r w:rsidRPr="00496FC3">
              <w:rPr>
                <w:sz w:val="18"/>
              </w:rPr>
              <w:t>ollagen sandwich</w:t>
            </w:r>
          </w:p>
        </w:tc>
        <w:tc>
          <w:tcPr>
            <w:tcW w:w="1842" w:type="dxa"/>
            <w:shd w:val="clear" w:color="auto" w:fill="auto"/>
            <w:vAlign w:val="center"/>
          </w:tcPr>
          <w:p w14:paraId="28066EBC" w14:textId="77777777" w:rsidR="008A1DDD" w:rsidRPr="00496FC3" w:rsidRDefault="008A1DDD" w:rsidP="008A1DDD">
            <w:pPr>
              <w:spacing w:before="0" w:after="0"/>
              <w:contextualSpacing/>
              <w:rPr>
                <w:sz w:val="18"/>
              </w:rPr>
            </w:pPr>
            <w:r w:rsidRPr="00496FC3">
              <w:rPr>
                <w:sz w:val="18"/>
              </w:rPr>
              <w:t>24h</w:t>
            </w:r>
          </w:p>
        </w:tc>
        <w:tc>
          <w:tcPr>
            <w:tcW w:w="1418" w:type="dxa"/>
            <w:shd w:val="clear" w:color="auto" w:fill="auto"/>
            <w:noWrap/>
            <w:vAlign w:val="center"/>
          </w:tcPr>
          <w:p w14:paraId="19D2FB77" w14:textId="77777777" w:rsidR="008A1DDD" w:rsidRPr="00496FC3" w:rsidRDefault="008A1DDD" w:rsidP="008A1DDD">
            <w:pPr>
              <w:spacing w:before="0" w:after="0"/>
              <w:contextualSpacing/>
              <w:rPr>
                <w:sz w:val="18"/>
              </w:rPr>
            </w:pPr>
            <w:r w:rsidRPr="00496FC3">
              <w:rPr>
                <w:sz w:val="18"/>
              </w:rPr>
              <w:t>28.2</w:t>
            </w:r>
          </w:p>
        </w:tc>
        <w:tc>
          <w:tcPr>
            <w:tcW w:w="1984" w:type="dxa"/>
            <w:shd w:val="clear" w:color="auto" w:fill="auto"/>
            <w:noWrap/>
            <w:vAlign w:val="center"/>
          </w:tcPr>
          <w:p w14:paraId="4E05BD8D" w14:textId="77777777" w:rsidR="008A1DDD" w:rsidRPr="00496FC3" w:rsidRDefault="008A1DDD" w:rsidP="008A1DDD">
            <w:pPr>
              <w:spacing w:before="0" w:after="0"/>
              <w:contextualSpacing/>
              <w:rPr>
                <w:sz w:val="18"/>
              </w:rPr>
            </w:pPr>
            <w:r w:rsidRPr="00496FC3">
              <w:rPr>
                <w:sz w:val="18"/>
              </w:rPr>
              <w:t>MTT assay</w:t>
            </w:r>
          </w:p>
        </w:tc>
        <w:tc>
          <w:tcPr>
            <w:tcW w:w="3687" w:type="dxa"/>
            <w:vAlign w:val="center"/>
          </w:tcPr>
          <w:p w14:paraId="4D45A256" w14:textId="6B5E3EFB" w:rsidR="008A1DDD" w:rsidRDefault="008A1DDD" w:rsidP="008A1DDD">
            <w:pPr>
              <w:spacing w:before="0" w:after="0"/>
              <w:contextualSpacing/>
              <w:rPr>
                <w:sz w:val="18"/>
              </w:rPr>
            </w:pPr>
            <w:r>
              <w:rPr>
                <w:sz w:val="18"/>
              </w:rPr>
              <w:t>CYP2E1 activity | NA</w:t>
            </w:r>
          </w:p>
        </w:tc>
        <w:tc>
          <w:tcPr>
            <w:tcW w:w="1231" w:type="dxa"/>
            <w:shd w:val="clear" w:color="auto" w:fill="auto"/>
            <w:noWrap/>
            <w:vAlign w:val="center"/>
          </w:tcPr>
          <w:p w14:paraId="0371AE76" w14:textId="77777777" w:rsidR="008A1DDD" w:rsidRPr="00D83073" w:rsidRDefault="008A1DDD" w:rsidP="008A1DDD">
            <w:pPr>
              <w:spacing w:before="0" w:after="0"/>
              <w:contextualSpacing/>
              <w:rPr>
                <w:sz w:val="18"/>
              </w:rPr>
            </w:pPr>
            <w:r w:rsidRPr="00D83073">
              <w:rPr>
                <w:sz w:val="18"/>
              </w:rPr>
              <w:fldChar w:fldCharType="begin" w:fldLock="1"/>
            </w:r>
            <w:r w:rsidRPr="00D83073">
              <w:rPr>
                <w:sz w:val="18"/>
              </w:rPr>
              <w:instrText>ADDIN CSL_CITATION {"citationItems":[{"id":"ITEM-1","itemData":{"DOI":"10.1016/j.tiv.2008.02.001","ISSN":"08872333","abstract":"Most of the experiments studying acetaminophen (APAP) induced hepatotoxicity were performed using moue as model specie, right because its high sensitivity. While the toxic responses can be called forth easily in mice, the human relevancy of these results is questionable. In this study human, rat, and mouse primary hepatocytes were treated with increasing concentrations of APAP, and cell viability was measured by MTT cytotoxicity assay. Pronounced interspecies differences were obtained in cell viability following 24 h of APAP treatment starting at 24 h after seeding (EC50: 3.8 mM, 7.6 mM, and 28.2 mM, in mouse, rat, and human hepatocyte culture, respectively). The longer time of culturing highly increased the resistance of hepatocytes of all species investigated. In rat hepatocyte culture EC50 values were 6.0 mM, 12.5 mM, and 18.8 mM, when starting APAP treatment after 24, 48, and 72 h of seeding. Although N-acetylbenzoquinoneimine, a minor metabolite of APAP, which is mainly formed by CYP2E1 at high APAP concentration in every species studied, is thought to initiate the toxic processes, no correlation was found between CYP2E1 activities and hepatocyte sensitivity of different species. We conclude that the toxicity induced by APAP overdose highly depends on the animal model applied. © 2008 Elsevier Ltd. All rights reserved.","author":[{"dropping-particle":"","family":"Jemnitz","given":"Katalin","non-dropping-particle":"","parse-names":false,"suffix":""},{"dropping-particle":"","family":"Veres","given":"Zsuzsa","non-dropping-particle":"","parse-names":false,"suffix":""},{"dropping-particle":"","family":"Monostory","given":"Katalin","non-dropping-particle":"","parse-names":false,"suffix":""},{"dropping-particle":"","family":"Kóbori","given":"László","non-dropping-particle":"","parse-names":false,"suffix":""},{"dropping-particle":"","family":"Vereczkey","given":"László","non-dropping-particle":"","parse-names":false,"suffix":""}],"container-title":"Toxicology in Vitro","id":"ITEM-1","issue":"4","issued":{"date-parts":[["2008"]]},"page":"961-967","title":"Interspecies differences in acetaminophen sensitivity of human, rat, and mouse primary hepatocytes","type":"article-journal","volume":"22"},"uris":["http://www.mendeley.com/documents/?uuid=384d613e-97d3-4708-8676-34f728cac680"]}],"mendeley":{"formattedCitation":"(Jemnitz et al., 2008)","plainTextFormattedCitation":"(Jemnitz et al., 2008)","previouslyFormattedCitation":"(Jemnitz et al., 2008)"},"properties":{"noteIndex":0},"schema":"https://github.com/citation-style-language/schema/raw/master/csl-citation.json"}</w:instrText>
            </w:r>
            <w:r w:rsidRPr="00D83073">
              <w:rPr>
                <w:sz w:val="18"/>
              </w:rPr>
              <w:fldChar w:fldCharType="separate"/>
            </w:r>
            <w:r w:rsidRPr="00D83073">
              <w:rPr>
                <w:noProof/>
                <w:sz w:val="18"/>
              </w:rPr>
              <w:t>(Jemnitz et al., 2008)</w:t>
            </w:r>
            <w:r w:rsidRPr="00D83073">
              <w:rPr>
                <w:sz w:val="18"/>
              </w:rPr>
              <w:fldChar w:fldCharType="end"/>
            </w:r>
          </w:p>
        </w:tc>
      </w:tr>
      <w:tr w:rsidR="007171D7" w:rsidRPr="00E076C9" w14:paraId="0695772C" w14:textId="77777777" w:rsidTr="00007CB5">
        <w:trPr>
          <w:trHeight w:val="280"/>
          <w:jc w:val="center"/>
        </w:trPr>
        <w:tc>
          <w:tcPr>
            <w:tcW w:w="1560" w:type="dxa"/>
            <w:vMerge w:val="restart"/>
            <w:shd w:val="clear" w:color="auto" w:fill="auto"/>
            <w:noWrap/>
            <w:vAlign w:val="center"/>
          </w:tcPr>
          <w:p w14:paraId="16AFAB5E" w14:textId="0167B3B2" w:rsidR="007171D7" w:rsidRPr="00496FC3" w:rsidRDefault="007171D7" w:rsidP="008A1DDD">
            <w:pPr>
              <w:spacing w:before="0" w:after="0"/>
              <w:contextualSpacing/>
              <w:rPr>
                <w:sz w:val="18"/>
              </w:rPr>
            </w:pPr>
            <w:proofErr w:type="spellStart"/>
            <w:r>
              <w:rPr>
                <w:rFonts w:eastAsia="Times New Roman"/>
                <w:sz w:val="18"/>
                <w:szCs w:val="18"/>
                <w:lang w:eastAsia="en-GB"/>
              </w:rPr>
              <w:t>Cryo</w:t>
            </w:r>
            <w:proofErr w:type="spellEnd"/>
            <w:r>
              <w:rPr>
                <w:rFonts w:eastAsia="Times New Roman"/>
                <w:sz w:val="18"/>
                <w:szCs w:val="18"/>
                <w:lang w:eastAsia="en-GB"/>
              </w:rPr>
              <w:t xml:space="preserve"> </w:t>
            </w:r>
            <w:proofErr w:type="spellStart"/>
            <w:r>
              <w:rPr>
                <w:rFonts w:eastAsia="Times New Roman"/>
                <w:sz w:val="18"/>
                <w:szCs w:val="18"/>
                <w:lang w:eastAsia="en-GB"/>
              </w:rPr>
              <w:t>hpHep</w:t>
            </w:r>
            <w:proofErr w:type="spellEnd"/>
          </w:p>
        </w:tc>
        <w:tc>
          <w:tcPr>
            <w:tcW w:w="2835" w:type="dxa"/>
            <w:vMerge w:val="restart"/>
            <w:shd w:val="clear" w:color="auto" w:fill="auto"/>
            <w:noWrap/>
            <w:vAlign w:val="center"/>
          </w:tcPr>
          <w:p w14:paraId="6C4E0372" w14:textId="34EAB008" w:rsidR="007171D7" w:rsidRPr="00496FC3" w:rsidRDefault="007171D7" w:rsidP="008A1DDD">
            <w:pPr>
              <w:spacing w:before="0" w:after="0"/>
              <w:contextualSpacing/>
              <w:rPr>
                <w:sz w:val="18"/>
              </w:rPr>
            </w:pPr>
            <w:r>
              <w:rPr>
                <w:sz w:val="18"/>
              </w:rPr>
              <w:t>2D</w:t>
            </w:r>
          </w:p>
        </w:tc>
        <w:tc>
          <w:tcPr>
            <w:tcW w:w="1842" w:type="dxa"/>
            <w:vMerge w:val="restart"/>
            <w:shd w:val="clear" w:color="auto" w:fill="auto"/>
            <w:vAlign w:val="center"/>
          </w:tcPr>
          <w:p w14:paraId="07E72580" w14:textId="77777777" w:rsidR="007171D7" w:rsidRPr="00496FC3" w:rsidRDefault="007171D7" w:rsidP="008A1DDD">
            <w:pPr>
              <w:spacing w:before="0" w:after="0"/>
              <w:contextualSpacing/>
              <w:rPr>
                <w:sz w:val="18"/>
              </w:rPr>
            </w:pPr>
            <w:r w:rsidRPr="00496FC3">
              <w:rPr>
                <w:rFonts w:eastAsia="Times New Roman"/>
                <w:sz w:val="18"/>
                <w:szCs w:val="18"/>
              </w:rPr>
              <w:t>24h</w:t>
            </w:r>
          </w:p>
        </w:tc>
        <w:tc>
          <w:tcPr>
            <w:tcW w:w="1418" w:type="dxa"/>
            <w:shd w:val="clear" w:color="auto" w:fill="auto"/>
            <w:noWrap/>
            <w:vAlign w:val="center"/>
          </w:tcPr>
          <w:p w14:paraId="4996675B" w14:textId="77777777" w:rsidR="007171D7" w:rsidRPr="00496FC3" w:rsidRDefault="007171D7" w:rsidP="008A1DDD">
            <w:pPr>
              <w:spacing w:before="0" w:after="0"/>
              <w:contextualSpacing/>
              <w:rPr>
                <w:sz w:val="18"/>
              </w:rPr>
            </w:pPr>
            <w:r w:rsidRPr="00496FC3">
              <w:rPr>
                <w:rFonts w:eastAsia="Times New Roman"/>
                <w:sz w:val="18"/>
                <w:szCs w:val="18"/>
              </w:rPr>
              <w:t>5-10</w:t>
            </w:r>
          </w:p>
        </w:tc>
        <w:tc>
          <w:tcPr>
            <w:tcW w:w="1984" w:type="dxa"/>
            <w:shd w:val="clear" w:color="auto" w:fill="auto"/>
            <w:noWrap/>
            <w:vAlign w:val="center"/>
          </w:tcPr>
          <w:p w14:paraId="2A07EF51" w14:textId="77777777" w:rsidR="007171D7" w:rsidRPr="00496FC3" w:rsidRDefault="007171D7" w:rsidP="008A1DDD">
            <w:pPr>
              <w:spacing w:before="0" w:after="0"/>
              <w:contextualSpacing/>
              <w:rPr>
                <w:sz w:val="18"/>
              </w:rPr>
            </w:pPr>
            <w:r>
              <w:rPr>
                <w:rFonts w:eastAsia="Times New Roman"/>
                <w:sz w:val="18"/>
                <w:szCs w:val="18"/>
              </w:rPr>
              <w:t>L</w:t>
            </w:r>
            <w:r w:rsidRPr="00531E06">
              <w:rPr>
                <w:rFonts w:eastAsia="Times New Roman"/>
                <w:sz w:val="18"/>
                <w:szCs w:val="18"/>
              </w:rPr>
              <w:t>ive cell protease /</w:t>
            </w:r>
            <w:proofErr w:type="gramStart"/>
            <w:r w:rsidRPr="00531E06">
              <w:rPr>
                <w:rFonts w:eastAsia="Times New Roman"/>
                <w:sz w:val="18"/>
                <w:szCs w:val="18"/>
              </w:rPr>
              <w:t>caspase-3</w:t>
            </w:r>
            <w:proofErr w:type="gramEnd"/>
            <w:r w:rsidRPr="00531E06">
              <w:rPr>
                <w:rFonts w:eastAsia="Times New Roman"/>
                <w:sz w:val="18"/>
                <w:szCs w:val="18"/>
              </w:rPr>
              <w:t>/7</w:t>
            </w:r>
          </w:p>
        </w:tc>
        <w:tc>
          <w:tcPr>
            <w:tcW w:w="3687" w:type="dxa"/>
            <w:vAlign w:val="center"/>
          </w:tcPr>
          <w:p w14:paraId="0D74C76D" w14:textId="080DE8B2" w:rsidR="007171D7" w:rsidRDefault="007171D7" w:rsidP="008A1DDD">
            <w:pPr>
              <w:spacing w:before="0" w:after="0"/>
              <w:contextualSpacing/>
              <w:rPr>
                <w:sz w:val="18"/>
              </w:rPr>
            </w:pPr>
            <w:r w:rsidRPr="00531E06">
              <w:rPr>
                <w:rFonts w:eastAsia="Times New Roman"/>
                <w:sz w:val="18"/>
                <w:szCs w:val="18"/>
                <w:lang w:eastAsia="en-GB"/>
              </w:rPr>
              <w:t>NA</w:t>
            </w:r>
            <w:r>
              <w:rPr>
                <w:sz w:val="18"/>
              </w:rPr>
              <w:t xml:space="preserve"> | </w:t>
            </w:r>
            <w:r w:rsidRPr="00531E06">
              <w:rPr>
                <w:rFonts w:eastAsia="Times New Roman"/>
                <w:sz w:val="18"/>
                <w:szCs w:val="18"/>
                <w:lang w:eastAsia="en-GB"/>
              </w:rPr>
              <w:t>Mitochondrial dysfunction (OCR)</w:t>
            </w:r>
          </w:p>
        </w:tc>
        <w:tc>
          <w:tcPr>
            <w:tcW w:w="1231" w:type="dxa"/>
            <w:shd w:val="clear" w:color="auto" w:fill="auto"/>
            <w:noWrap/>
            <w:vAlign w:val="center"/>
          </w:tcPr>
          <w:p w14:paraId="541361A2" w14:textId="77777777" w:rsidR="007171D7" w:rsidRPr="00D83073" w:rsidRDefault="007171D7" w:rsidP="008A1DDD">
            <w:pPr>
              <w:spacing w:before="0" w:after="0"/>
              <w:contextualSpacing/>
              <w:rPr>
                <w:sz w:val="18"/>
              </w:rPr>
            </w:pPr>
            <w:r w:rsidRPr="00D83073">
              <w:rPr>
                <w:sz w:val="18"/>
                <w:szCs w:val="18"/>
              </w:rPr>
              <w:fldChar w:fldCharType="begin" w:fldLock="1"/>
            </w:r>
            <w:r w:rsidRPr="00D83073">
              <w:rPr>
                <w:rFonts w:eastAsia="Times New Roman"/>
                <w:sz w:val="18"/>
                <w:szCs w:val="18"/>
                <w:lang w:eastAsia="en-GB"/>
              </w:rPr>
              <w:instrText>ADDIN CSL_CITATION {"citationItems":[{"id":"ITEM-1","itemData":{"DOI":"10.2131/jts.41.605","ISSN":"03881350","abstract":"Drug-induced liver injury (DILI) is one of the serious and frequent drug-related adverse events. This adverse event is a main reason for regulatory action pertaining to drugs, including restrictions in clinical indications and withdrawal from clinical trials or the marketplace. Idiosyncratic DILI especially has become a major clinical concern because of its unpredictable nature, frequent hospitalization, need for liver transplantation and high mortality. The estimation of the potential for compounds to induce idiosyncratic DILI is very difficult in non-clinical studies because the precise mechanism of idiosyncratic DILI is still unknown. Recently, many in vitro assays which indicate a possibility of the prediction of the idiosyncratic DILI have been reported. Among these, some in vitro assays focus on the effects of compounds on mitochondrial function and the apoptotic effects of compounds on human hepatocytes. In this study, we measured oxygen consumption rate (OCR) and caspase-3/7 activity as an endpoint of mitochondrial dysfunction and apoptosis, respectively, with human hepatocytes after treatment with compounds causing idiosyncratic DILI (troglitazone, leflunomide, ranitidine and diclofenac). Troglitazone and leflunomide decreased the OCR but did not affect caspase-3/7 activity. Ranitidine increased caspase-3/7 activity but did not affect the OCR. Diclofenac decreased the OCR and increased caspase-3/7 activity. Acetaminophen and ethanol, which are also hepatotoxicants but do not induce idiosyncratic DILI, did not affect the OCR or caspase-3/7 activity. These results indicate that a combination assay of mitochondrial dysfunction and apoptosis is useful for the estimation of potential risk of compounds to induce idiosyncratic DILI.","author":[{"dropping-particle":"","family":"Goda","given":"Keisuke","non-dropping-particle":"","parse-names":false,"suffix":""},{"dropping-particle":"","family":"Takahashi","given":"Tadakazu","non-dropping-particle":"","parse-names":false,"suffix":""},{"dropping-particle":"","family":"Kobayashi","given":"Akio","non-dropping-particle":"","parse-names":false,"suffix":""},{"dropping-particle":"","family":"Shoda","given":"Toshiyuki","non-dropping-particle":"","parse-names":false,"suffix":""},{"dropping-particle":"","family":"Kuno","given":"Hideyuki","non-dropping-particle":"","parse-names":false,"suffix":""},{"dropping-particle":"","family":"Sugai","given":"Shoichiro","non-dropping-particle":"","parse-names":false,"suffix":""}],"container-title":"Journal of Toxicological Sciences","id":"ITEM-1","issue":"5","issued":{"date-parts":[["2016"]]},"page":"605-615","title":"Usefulness of in vitro combination assays of mitochondrial dysfunction and apoptosis for the estimation of potential risk of idiosyncratic drug induced liver injury","type":"article-journal","volume":"41"},"uris":["http://www.mendeley.com/documents/?uuid=ab945997-551a-4876-a9f7-b2dfa5ab931f","http://www.mendeley.com/documents/?uuid=d356165d-ed53-4329-ae47-399f74f25610"]}],"mendeley":{"formattedCitation":"(Goda et al., 2016)","plainTextFormattedCitation":"(Goda et al., 2016)","previouslyFormattedCitation":"(Goda et al., 2016)"},"properties":{"noteIndex":0},"schema":"https://github.com/citation-style-language/schema/raw/master/csl-citation.json"}</w:instrText>
            </w:r>
            <w:r w:rsidRPr="00D83073">
              <w:rPr>
                <w:sz w:val="18"/>
                <w:szCs w:val="18"/>
              </w:rPr>
              <w:fldChar w:fldCharType="separate"/>
            </w:r>
            <w:r w:rsidRPr="00D83073">
              <w:rPr>
                <w:rFonts w:eastAsia="Times New Roman"/>
                <w:noProof/>
                <w:sz w:val="18"/>
                <w:szCs w:val="18"/>
                <w:lang w:eastAsia="en-GB"/>
              </w:rPr>
              <w:t>(Goda et al., 2016)</w:t>
            </w:r>
            <w:r w:rsidRPr="00D83073">
              <w:rPr>
                <w:sz w:val="18"/>
                <w:szCs w:val="18"/>
              </w:rPr>
              <w:fldChar w:fldCharType="end"/>
            </w:r>
          </w:p>
        </w:tc>
      </w:tr>
      <w:tr w:rsidR="007171D7" w:rsidRPr="00E076C9" w14:paraId="5A98D826" w14:textId="77777777" w:rsidTr="00007CB5">
        <w:trPr>
          <w:trHeight w:val="280"/>
          <w:jc w:val="center"/>
        </w:trPr>
        <w:tc>
          <w:tcPr>
            <w:tcW w:w="1560" w:type="dxa"/>
            <w:vMerge/>
            <w:shd w:val="clear" w:color="auto" w:fill="auto"/>
            <w:noWrap/>
            <w:vAlign w:val="center"/>
          </w:tcPr>
          <w:p w14:paraId="136C41CE" w14:textId="77777777" w:rsidR="007171D7" w:rsidRPr="00D1133E" w:rsidRDefault="007171D7" w:rsidP="008A1DDD">
            <w:pPr>
              <w:spacing w:before="0" w:after="0"/>
              <w:contextualSpacing/>
              <w:rPr>
                <w:rFonts w:eastAsia="Times New Roman"/>
                <w:sz w:val="18"/>
                <w:szCs w:val="18"/>
                <w:lang w:eastAsia="en-GB"/>
              </w:rPr>
            </w:pPr>
          </w:p>
        </w:tc>
        <w:tc>
          <w:tcPr>
            <w:tcW w:w="2835" w:type="dxa"/>
            <w:vMerge/>
            <w:shd w:val="clear" w:color="auto" w:fill="auto"/>
            <w:noWrap/>
            <w:vAlign w:val="center"/>
          </w:tcPr>
          <w:p w14:paraId="3B25280B" w14:textId="6B86FED2" w:rsidR="007171D7" w:rsidRPr="00496FC3" w:rsidRDefault="007171D7" w:rsidP="008A1DDD">
            <w:pPr>
              <w:spacing w:before="0" w:after="0"/>
              <w:contextualSpacing/>
              <w:rPr>
                <w:sz w:val="18"/>
              </w:rPr>
            </w:pPr>
          </w:p>
        </w:tc>
        <w:tc>
          <w:tcPr>
            <w:tcW w:w="1842" w:type="dxa"/>
            <w:vMerge/>
            <w:shd w:val="clear" w:color="auto" w:fill="auto"/>
            <w:vAlign w:val="center"/>
          </w:tcPr>
          <w:p w14:paraId="1B7E0E48" w14:textId="77777777" w:rsidR="007171D7" w:rsidRPr="00496FC3" w:rsidRDefault="007171D7" w:rsidP="008A1DDD">
            <w:pPr>
              <w:spacing w:before="0" w:after="0"/>
              <w:contextualSpacing/>
              <w:rPr>
                <w:sz w:val="18"/>
              </w:rPr>
            </w:pPr>
          </w:p>
        </w:tc>
        <w:tc>
          <w:tcPr>
            <w:tcW w:w="1418" w:type="dxa"/>
            <w:shd w:val="clear" w:color="auto" w:fill="auto"/>
            <w:noWrap/>
            <w:vAlign w:val="center"/>
          </w:tcPr>
          <w:p w14:paraId="4DF6A34B" w14:textId="77777777" w:rsidR="007171D7" w:rsidRPr="00496FC3" w:rsidRDefault="007171D7" w:rsidP="008A1DDD">
            <w:pPr>
              <w:spacing w:before="0" w:after="0"/>
              <w:contextualSpacing/>
              <w:rPr>
                <w:sz w:val="18"/>
              </w:rPr>
            </w:pPr>
            <w:r>
              <w:rPr>
                <w:rFonts w:eastAsia="Times New Roman"/>
                <w:sz w:val="18"/>
                <w:szCs w:val="18"/>
                <w:lang w:eastAsia="en-GB"/>
              </w:rPr>
              <w:t>45.2</w:t>
            </w:r>
          </w:p>
        </w:tc>
        <w:tc>
          <w:tcPr>
            <w:tcW w:w="1984" w:type="dxa"/>
            <w:shd w:val="clear" w:color="auto" w:fill="auto"/>
            <w:noWrap/>
            <w:vAlign w:val="center"/>
          </w:tcPr>
          <w:p w14:paraId="09E3447F" w14:textId="77777777" w:rsidR="007171D7" w:rsidRPr="00496FC3" w:rsidRDefault="007171D7" w:rsidP="008A1DDD">
            <w:pPr>
              <w:spacing w:before="0" w:after="0"/>
              <w:contextualSpacing/>
              <w:rPr>
                <w:sz w:val="18"/>
              </w:rPr>
            </w:pPr>
            <w:r w:rsidRPr="00B3016F">
              <w:rPr>
                <w:rFonts w:eastAsia="Times New Roman"/>
                <w:sz w:val="18"/>
                <w:szCs w:val="18"/>
                <w:lang w:eastAsia="en-GB"/>
              </w:rPr>
              <w:t>MTT Assay</w:t>
            </w:r>
          </w:p>
        </w:tc>
        <w:tc>
          <w:tcPr>
            <w:tcW w:w="3687" w:type="dxa"/>
            <w:vAlign w:val="center"/>
          </w:tcPr>
          <w:p w14:paraId="6EC78437" w14:textId="0106D0EB" w:rsidR="007171D7" w:rsidRDefault="007171D7" w:rsidP="008A1DDD">
            <w:pPr>
              <w:spacing w:before="0" w:after="0"/>
              <w:contextualSpacing/>
              <w:rPr>
                <w:sz w:val="18"/>
              </w:rPr>
            </w:pPr>
            <w:r>
              <w:rPr>
                <w:rFonts w:eastAsia="Times New Roman"/>
                <w:sz w:val="18"/>
                <w:szCs w:val="18"/>
                <w:lang w:eastAsia="en-GB"/>
              </w:rPr>
              <w:t>CYP activity</w:t>
            </w:r>
            <w:r>
              <w:rPr>
                <w:sz w:val="18"/>
              </w:rPr>
              <w:t xml:space="preserve"> | </w:t>
            </w:r>
            <w:r w:rsidRPr="00B3016F">
              <w:rPr>
                <w:rFonts w:eastAsia="Times New Roman"/>
                <w:sz w:val="18"/>
                <w:szCs w:val="18"/>
                <w:lang w:eastAsia="en-GB"/>
              </w:rPr>
              <w:t>NA</w:t>
            </w:r>
          </w:p>
        </w:tc>
        <w:tc>
          <w:tcPr>
            <w:tcW w:w="1231" w:type="dxa"/>
            <w:shd w:val="clear" w:color="auto" w:fill="auto"/>
            <w:noWrap/>
            <w:vAlign w:val="center"/>
          </w:tcPr>
          <w:p w14:paraId="77282824" w14:textId="77777777" w:rsidR="007171D7" w:rsidRPr="00D83073" w:rsidRDefault="007171D7" w:rsidP="008A1DDD">
            <w:pPr>
              <w:spacing w:before="0" w:after="0"/>
              <w:contextualSpacing/>
              <w:rPr>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{"citationItems":[{"id":"ITEM-1","itemData":{"DOI":"10.1016/j.biomaterials.2015.08.002","ISSN":"18785905","PMID":"26310107","abstract":"Significant efforts have been invested into the differentiation of stem cells into functional hepatocyte-like cells that can be used for cell therapy, disease modeling and drug screening. Most of these efforts have been concentrated on the use of growth factors to recapitulate developmental signals under in vitro conditions. Using small molecules instead of growth factors would provide an attractive alternative since small molecules are cell-permeable and cheaper than growth factors. We have developed a protocol for the differentiation of human embryonic stem cells into hepatocyte-like cells using a predominantly small molecule-based approach (SM-Hep). This 3 step differentiation strategy involves the use of optimized concentrations of LY294002 and bromo-indirubin-3'-oxime (BIO) for the generation of definitive endoderm; sodium butyrate and dimethyl sulfoxide (DMSO) for the generation of hepatoblasts and SB431542 for differentiation into hepatocyte-like cells. Activin A is the only growth factor required in this protocol. Our results showed that SM-Hep were morphologically and functionally similar or better compared to the hepatocytes derived from the growth-factor induced differentiation (GF-Hep) in terms of expression of hepatic markers, urea and albumin production and cytochrome P450 (CYP1A2 and CYP3A4) activities. Cell viability assays following treatment with paradigm hepatotoxicants Acetaminophen, Chlorpromazine, Diclofenac, Digoxin, Quinidine and Troglitazone showed that their sensitivity to these drugs was similar to human primary hepatocytes (PHHs). Using SM-Hep would result in 67% and 81% cost reduction compared to GF-Hep and PHHs respectively. Therefore, SM-Hep can serve as a robust and cost effective replacement for PHHs for drug screening and development.","author":[{"dropping-particle":"","family":"Tasnim","given":"Farah","non-dropping-particle":"","parse-names":false,"suffix":""},{"dropping-particle":"","family":"Phan","given":"Derek","non-dropping-particle":"","parse-names":false,"suffix":""},{"dropping-particle":"","family":"Toh","given":"Yi Chin","non-dropping-particle":"","parse-names":false,"suffix":""},{"dropping-particle":"","family":"Yu","given":"Hanry","non-dropping-particle":"","parse-names":false,"suffix":""}],"container-title":"Biomaterials","id":"ITEM-1","issued":{"date-parts":[["2015"]]},"page":"115-25","title":"Cost-effective differentiation of hepatocyte-like cells from human pluripotent stem cells using small molecules","type":"article-journal","volume":"70"},"uris":["http://www.mendeley.com/documents/?uuid=6b69a0c6-53a3-4d97-9fc5-818ef0aee7ff","http://www.mendeley.com/documents/?uuid=03dbe8fb-1ecb-40a6-ac14-53fdb798339c"]}],"mendeley":{"formattedCitation":"(Tasnim et al., 2015)","plainTextFormattedCitation":"(Tasnim et al., 2015)","previouslyFormattedCitation":"(Tasnim et al., 2015)"},"properties":{"noteIndex":0},"schema":"https://github.com/citation-style-language/schema/raw/master/csl-citation.json"}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(Tasnim et al., 2015)</w:t>
            </w:r>
            <w:r w:rsidRPr="00D83073">
              <w:rPr>
                <w:rFonts w:eastAsia="Times New Roman"/>
                <w:sz w:val="18"/>
                <w:szCs w:val="18"/>
                <w:lang w:eastAsia="en-GB"/>
              </w:rPr>
              <w:fldChar w:fldCharType="end"/>
            </w:r>
          </w:p>
        </w:tc>
      </w:tr>
      <w:tr w:rsidR="007171D7" w:rsidRPr="00E076C9" w14:paraId="7818D34D" w14:textId="77777777" w:rsidTr="00007CB5">
        <w:trPr>
          <w:trHeight w:val="280"/>
          <w:jc w:val="center"/>
        </w:trPr>
        <w:tc>
          <w:tcPr>
            <w:tcW w:w="1560" w:type="dxa"/>
            <w:vMerge/>
            <w:shd w:val="clear" w:color="auto" w:fill="auto"/>
            <w:noWrap/>
            <w:vAlign w:val="center"/>
          </w:tcPr>
          <w:p w14:paraId="4D38D970" w14:textId="77777777" w:rsidR="007171D7" w:rsidRDefault="007171D7" w:rsidP="00DE184F">
            <w:pPr>
              <w:spacing w:before="0" w:after="0"/>
              <w:contextualSpacing/>
              <w:rPr>
                <w:rFonts w:eastAsia="Times New Roman"/>
                <w:sz w:val="18"/>
                <w:szCs w:val="18"/>
                <w:lang w:eastAsia="en-GB"/>
              </w:rPr>
            </w:pPr>
          </w:p>
        </w:tc>
        <w:tc>
          <w:tcPr>
            <w:tcW w:w="2835" w:type="dxa"/>
            <w:vMerge/>
            <w:shd w:val="clear" w:color="auto" w:fill="auto"/>
            <w:noWrap/>
            <w:vAlign w:val="center"/>
          </w:tcPr>
          <w:p w14:paraId="18FA8E3C" w14:textId="77777777" w:rsidR="007171D7" w:rsidRPr="00B3016F" w:rsidRDefault="007171D7" w:rsidP="00DE184F">
            <w:pPr>
              <w:spacing w:before="0" w:after="0"/>
              <w:contextualSpacing/>
              <w:rPr>
                <w:rFonts w:eastAsia="Times New Roman"/>
                <w:sz w:val="18"/>
                <w:szCs w:val="18"/>
                <w:lang w:eastAsia="en-GB"/>
              </w:rPr>
            </w:pPr>
          </w:p>
        </w:tc>
        <w:tc>
          <w:tcPr>
            <w:tcW w:w="1842" w:type="dxa"/>
            <w:vMerge/>
            <w:shd w:val="clear" w:color="auto" w:fill="auto"/>
            <w:vAlign w:val="center"/>
          </w:tcPr>
          <w:p w14:paraId="5F2F4087" w14:textId="77777777" w:rsidR="007171D7" w:rsidRPr="0066331F" w:rsidRDefault="007171D7" w:rsidP="00DE184F">
            <w:pPr>
              <w:spacing w:before="0" w:after="0"/>
              <w:contextualSpacing/>
              <w:rPr>
                <w:sz w:val="18"/>
              </w:rPr>
            </w:pPr>
          </w:p>
        </w:tc>
        <w:tc>
          <w:tcPr>
            <w:tcW w:w="1418" w:type="dxa"/>
            <w:shd w:val="clear" w:color="auto" w:fill="auto"/>
            <w:noWrap/>
            <w:vAlign w:val="center"/>
          </w:tcPr>
          <w:p w14:paraId="32CB65BE" w14:textId="1A1F2187" w:rsidR="007171D7" w:rsidRPr="009976E9" w:rsidRDefault="007171D7" w:rsidP="00DE184F">
            <w:pPr>
              <w:spacing w:before="0" w:after="0"/>
              <w:contextualSpacing/>
              <w:rPr>
                <w:sz w:val="18"/>
              </w:rPr>
            </w:pPr>
            <w:r>
              <w:rPr>
                <w:sz w:val="18"/>
              </w:rPr>
              <w:t>~</w:t>
            </w:r>
            <w:r w:rsidRPr="00496FC3">
              <w:rPr>
                <w:sz w:val="18"/>
              </w:rPr>
              <w:t>20.0</w:t>
            </w:r>
          </w:p>
        </w:tc>
        <w:tc>
          <w:tcPr>
            <w:tcW w:w="1984" w:type="dxa"/>
            <w:vMerge w:val="restart"/>
            <w:shd w:val="clear" w:color="auto" w:fill="auto"/>
            <w:noWrap/>
            <w:vAlign w:val="center"/>
          </w:tcPr>
          <w:p w14:paraId="400AF6AD" w14:textId="0E73556F" w:rsidR="007171D7" w:rsidRPr="0066331F" w:rsidRDefault="007171D7" w:rsidP="00DE184F">
            <w:pPr>
              <w:spacing w:before="0" w:after="0"/>
              <w:contextualSpacing/>
              <w:rPr>
                <w:sz w:val="18"/>
              </w:rPr>
            </w:pPr>
            <w:r w:rsidRPr="00496FC3">
              <w:rPr>
                <w:sz w:val="18"/>
              </w:rPr>
              <w:t>ATP Quantification</w:t>
            </w:r>
          </w:p>
        </w:tc>
        <w:tc>
          <w:tcPr>
            <w:tcW w:w="3687" w:type="dxa"/>
            <w:vAlign w:val="center"/>
          </w:tcPr>
          <w:p w14:paraId="790A9E86" w14:textId="77777777" w:rsidR="007171D7" w:rsidRPr="00F7109D" w:rsidRDefault="007171D7" w:rsidP="00DE184F">
            <w:pPr>
              <w:spacing w:before="0" w:after="0"/>
              <w:contextualSpacing/>
              <w:rPr>
                <w:sz w:val="18"/>
              </w:rPr>
            </w:pPr>
            <w:r>
              <w:rPr>
                <w:sz w:val="18"/>
              </w:rPr>
              <w:t>S</w:t>
            </w:r>
            <w:r w:rsidRPr="00F7109D">
              <w:rPr>
                <w:sz w:val="18"/>
              </w:rPr>
              <w:t>ulfation and</w:t>
            </w:r>
          </w:p>
          <w:p w14:paraId="7FA61DB7" w14:textId="27707BDC" w:rsidR="007171D7" w:rsidRDefault="007171D7" w:rsidP="00DE184F">
            <w:pPr>
              <w:spacing w:before="0" w:after="0"/>
              <w:contextualSpacing/>
              <w:rPr>
                <w:sz w:val="18"/>
              </w:rPr>
            </w:pPr>
            <w:r>
              <w:rPr>
                <w:sz w:val="18"/>
              </w:rPr>
              <w:t>g</w:t>
            </w:r>
            <w:r w:rsidRPr="00F7109D">
              <w:rPr>
                <w:sz w:val="18"/>
              </w:rPr>
              <w:t>lucuronidation</w:t>
            </w:r>
            <w:r>
              <w:rPr>
                <w:sz w:val="18"/>
              </w:rPr>
              <w:t xml:space="preserve"> assessment | NA</w:t>
            </w:r>
          </w:p>
        </w:tc>
        <w:tc>
          <w:tcPr>
            <w:tcW w:w="1231" w:type="dxa"/>
            <w:shd w:val="clear" w:color="auto" w:fill="auto"/>
            <w:noWrap/>
            <w:vAlign w:val="center"/>
          </w:tcPr>
          <w:p w14:paraId="22CEF1A4" w14:textId="214C6018" w:rsidR="007171D7" w:rsidRPr="00D83073" w:rsidRDefault="007171D7" w:rsidP="00DE184F">
            <w:pPr>
              <w:spacing w:before="0" w:after="0"/>
              <w:contextualSpacing/>
              <w:rPr>
                <w:sz w:val="18"/>
              </w:rPr>
            </w:pPr>
            <w:r w:rsidRPr="00D83073">
              <w:rPr>
                <w:sz w:val="18"/>
              </w:rPr>
              <w:fldChar w:fldCharType="begin" w:fldLock="1"/>
            </w:r>
            <w:r w:rsidRPr="00D83073">
              <w:rPr>
                <w:sz w:val="18"/>
              </w:rPr>
              <w:instrText>ADDIN CSL_CITATION {"citationItems":[{"id":"ITEM-1","itemData":{"DOI":"10.1080/00498250902763440","ISSN":"00498254","PMID":"19280384","abstract":"Cultured cryopreserved human hepatocytes are extensively used as a model system for studying drug metabolism, although they remain poorly characterized in respect of the major conjugation reactions glucuronidation and sulfation. Using paracetamol (acetaminophen), we assessed eleven samples of cryopreserved human hepatocytes for their suitability to investigate the simultaneous glucuronidation and sulfation of xenobiotics and evaluated inhibitors of conjugation. Kinetic characterization showed broadly similar values for paracetamol conjugation by hepatocytes (as reported in the literature for in vitro systems), with Km values of approximately 6 mM and 0.3 mM for glucuronidation and sulfation, respectively. Substantial interindividual differences were observed. The hepatocytes demonstrated a strong dose-dependent switch from a preponderance of sulfation at low concentrations of paracetamol to glucuronidation at higher doses, consistent with routes of clearance in vivo. A number of drugs, some of which such as probenecid and sulfinpyrazone are known to interact with paracetamol in vivo, were demonstrated to inhibit the sulfation and/or glucuronidation of paracetamol in hepatocytes, demonstrating the potential application of this model system for studying drugdrug interactions involving conjugation. © 2009 Informa UK Ltd.","author":[{"dropping-particle":"","family":"Riches","given":"Z.","non-dropping-particle":"","parse-names":false,"suffix":""},{"dropping-particle":"","family":"Bloomer","given":"J.","non-dropping-particle":"","parse-names":false,"suffix":""},{"dropping-particle":"","family":"Patel","given":"A.","non-dropping-particle":"","parse-names":false,"suffix":""},{"dropping-particle":"","family":"Nolan","given":"A.","non-dropping-particle":"","parse-names":false,"suffix":""},{"dropping-particle":"","family":"Coughtrie","given":"M.","non-dropping-particle":"","parse-names":false,"suffix":""}],"container-title":"Xenobiotica","id":"ITEM-1","issue":"5","issued":{"date-parts":[["2009"]]},"page":"374-81","title":"Assessment of cryopreserved human hepatocytes as a model system to investigate sulfation and glucuronidation and to evaluate inhibitors of drug conjugation","type":"article-journal","volume":"39"},"uris":["http://www.mendeley.com/documents/?uuid=58c70bb0-0f1a-4b59-91f8-6ce7d427cbde","http://www.mendeley.com/documents/?uuid=14a7c5d7-77f1-4f2a-8c14-10897cf64ce6"]}],"mendeley":{"formattedCitation":"(Riches et al., 2009)","plainTextFormattedCitation":"(Riches et al., 2009)","previouslyFormattedCitation":"(Riches et al., 2009)"},"properties":{"noteIndex":0},"schema":"https://github.com/citation-style-language/schema/raw/master/csl-citation.json"}</w:instrText>
            </w:r>
            <w:r w:rsidRPr="00D83073">
              <w:rPr>
                <w:sz w:val="18"/>
              </w:rPr>
              <w:fldChar w:fldCharType="separate"/>
            </w:r>
            <w:r w:rsidRPr="00D83073">
              <w:rPr>
                <w:noProof/>
                <w:sz w:val="18"/>
              </w:rPr>
              <w:t>(Riches et al., 2009)</w:t>
            </w:r>
            <w:r w:rsidRPr="00D83073">
              <w:rPr>
                <w:sz w:val="18"/>
              </w:rPr>
              <w:fldChar w:fldCharType="end"/>
            </w:r>
          </w:p>
        </w:tc>
      </w:tr>
      <w:tr w:rsidR="007171D7" w:rsidRPr="00E076C9" w14:paraId="1B2F48A5" w14:textId="77777777" w:rsidTr="00007CB5">
        <w:trPr>
          <w:trHeight w:val="280"/>
          <w:jc w:val="center"/>
        </w:trPr>
        <w:tc>
          <w:tcPr>
            <w:tcW w:w="1560" w:type="dxa"/>
            <w:vMerge/>
            <w:shd w:val="clear" w:color="auto" w:fill="auto"/>
            <w:noWrap/>
            <w:vAlign w:val="center"/>
          </w:tcPr>
          <w:p w14:paraId="34A91960" w14:textId="77777777" w:rsidR="007171D7" w:rsidRDefault="007171D7" w:rsidP="00DE184F">
            <w:pPr>
              <w:spacing w:before="0" w:after="0"/>
              <w:contextualSpacing/>
              <w:rPr>
                <w:rFonts w:eastAsia="Times New Roman"/>
                <w:sz w:val="18"/>
                <w:szCs w:val="18"/>
                <w:lang w:eastAsia="en-GB"/>
              </w:rPr>
            </w:pPr>
          </w:p>
        </w:tc>
        <w:tc>
          <w:tcPr>
            <w:tcW w:w="2835" w:type="dxa"/>
            <w:vMerge/>
            <w:shd w:val="clear" w:color="auto" w:fill="auto"/>
            <w:noWrap/>
            <w:vAlign w:val="center"/>
          </w:tcPr>
          <w:p w14:paraId="563F3D1C" w14:textId="77777777" w:rsidR="007171D7" w:rsidRPr="00B3016F" w:rsidRDefault="007171D7" w:rsidP="00DE184F">
            <w:pPr>
              <w:spacing w:before="0" w:after="0"/>
              <w:contextualSpacing/>
              <w:rPr>
                <w:rFonts w:eastAsia="Times New Roman"/>
                <w:sz w:val="18"/>
                <w:szCs w:val="18"/>
                <w:lang w:eastAsia="en-GB"/>
              </w:rPr>
            </w:pPr>
          </w:p>
        </w:tc>
        <w:tc>
          <w:tcPr>
            <w:tcW w:w="1842" w:type="dxa"/>
            <w:vMerge/>
            <w:shd w:val="clear" w:color="auto" w:fill="auto"/>
            <w:vAlign w:val="center"/>
          </w:tcPr>
          <w:p w14:paraId="53182EB7" w14:textId="77777777" w:rsidR="007171D7" w:rsidRPr="0066331F" w:rsidRDefault="007171D7" w:rsidP="00DE184F">
            <w:pPr>
              <w:spacing w:before="0" w:after="0"/>
              <w:contextualSpacing/>
              <w:rPr>
                <w:sz w:val="18"/>
              </w:rPr>
            </w:pPr>
          </w:p>
        </w:tc>
        <w:tc>
          <w:tcPr>
            <w:tcW w:w="1418" w:type="dxa"/>
            <w:shd w:val="clear" w:color="auto" w:fill="auto"/>
            <w:noWrap/>
            <w:vAlign w:val="center"/>
          </w:tcPr>
          <w:p w14:paraId="61C510A0" w14:textId="77777777" w:rsidR="007171D7" w:rsidRPr="0066331F" w:rsidRDefault="007171D7" w:rsidP="00DE184F">
            <w:pPr>
              <w:spacing w:before="0" w:after="0"/>
              <w:contextualSpacing/>
              <w:rPr>
                <w:sz w:val="18"/>
              </w:rPr>
            </w:pPr>
            <w:r w:rsidRPr="009976E9">
              <w:rPr>
                <w:sz w:val="18"/>
              </w:rPr>
              <w:t>&gt;20</w:t>
            </w:r>
            <w:r>
              <w:rPr>
                <w:sz w:val="18"/>
              </w:rPr>
              <w:t>.0</w:t>
            </w:r>
            <w:r w:rsidRPr="009976E9">
              <w:rPr>
                <w:sz w:val="18"/>
              </w:rPr>
              <w:tab/>
            </w:r>
          </w:p>
        </w:tc>
        <w:tc>
          <w:tcPr>
            <w:tcW w:w="1984" w:type="dxa"/>
            <w:vMerge/>
            <w:shd w:val="clear" w:color="auto" w:fill="auto"/>
            <w:noWrap/>
            <w:vAlign w:val="center"/>
          </w:tcPr>
          <w:p w14:paraId="601BA469" w14:textId="27055031" w:rsidR="007171D7" w:rsidRPr="0066331F" w:rsidRDefault="007171D7" w:rsidP="00DE184F">
            <w:pPr>
              <w:spacing w:before="0" w:after="0"/>
              <w:contextualSpacing/>
              <w:rPr>
                <w:sz w:val="18"/>
              </w:rPr>
            </w:pPr>
          </w:p>
        </w:tc>
        <w:tc>
          <w:tcPr>
            <w:tcW w:w="3687" w:type="dxa"/>
            <w:vAlign w:val="center"/>
          </w:tcPr>
          <w:p w14:paraId="1F7F4BA1" w14:textId="1B522A01" w:rsidR="007171D7" w:rsidRPr="0066331F" w:rsidRDefault="007171D7" w:rsidP="00DE184F">
            <w:pPr>
              <w:spacing w:before="0" w:after="0"/>
              <w:contextualSpacing/>
              <w:rPr>
                <w:sz w:val="18"/>
              </w:rPr>
            </w:pPr>
            <w:r>
              <w:rPr>
                <w:sz w:val="18"/>
              </w:rPr>
              <w:t xml:space="preserve">NA | </w:t>
            </w:r>
            <w:r w:rsidRPr="00A1131E">
              <w:rPr>
                <w:sz w:val="18"/>
              </w:rPr>
              <w:t>inflammatory response</w:t>
            </w:r>
          </w:p>
        </w:tc>
        <w:tc>
          <w:tcPr>
            <w:tcW w:w="1231" w:type="dxa"/>
            <w:shd w:val="clear" w:color="auto" w:fill="auto"/>
            <w:noWrap/>
            <w:vAlign w:val="center"/>
          </w:tcPr>
          <w:p w14:paraId="71852026" w14:textId="77777777" w:rsidR="007171D7" w:rsidRPr="00D83073" w:rsidRDefault="007171D7" w:rsidP="00DE184F">
            <w:pPr>
              <w:spacing w:before="0" w:after="0"/>
              <w:contextualSpacing/>
              <w:rPr>
                <w:sz w:val="18"/>
              </w:rPr>
            </w:pPr>
            <w:r w:rsidRPr="00D83073">
              <w:rPr>
                <w:sz w:val="18"/>
              </w:rPr>
              <w:fldChar w:fldCharType="begin" w:fldLock="1"/>
            </w:r>
            <w:r w:rsidRPr="00D83073">
              <w:rPr>
                <w:sz w:val="18"/>
              </w:rPr>
              <w:instrText>ADDIN CSL_CITATION {"citationItems":[{"id":"ITEM-1","itemData":{"DOI":"10.1016/j.xphs.2020.02.021","ISSN":"15206017","PMID":"32145211","abstract":"Drug-induced liver injury (DILI) remains a challenge and a leading risk for drug discovery. Three-dimensional liver spheroids made from primary human hepatocytes (PHHs) with, or without, other liver cell types can provide more physiological relevance. In comparison to conventional 2-dimensional monolayer culture, our tests with 100 drugs of known DILI status indicate that PHH spheroids are significantly more sensitive in detecting drug-induced hepatotoxicity. To evaluate the role of Kupffer cells (KCs) in drug-induced liver toxicity, we have established conditions for generating co-culture spheroids with PHH and KCs. Inflammatory responses as shown by interleukin 6 secretion can be recapitulated in co-culture spheroids when treated with endotoxin lipopolysaccharides. KCs potentiated the cytotoxicity induced by trovafloxacin in co-culture spheroids at 48 h, but the differences between PHH spheroids and co-culture spheroids became less obvious after a 5-day treatment. Interestingly, a protective role of KCs was shown in co-culture spheroids treated with both acetaminophen and lipopolysaccharides. Additional tests with 14 DILI compounds comparing PHH spheroids and co-culture spheroids showed differential roles of KCs that were compound dependent. In summary, these 3-dimensional liver spheroid models are useful tools to understand the complex mechanisms underlying DILI.","author":[{"dropping-particle":"","family":"Li","given":"Feng","non-dropping-particle":"","parse-names":false,"suffix":""},{"dropping-particle":"","family":"Cao","given":"Li","non-dropping-particle":"","parse-names":false,"suffix":""},{"dropping-particle":"","family":"Parikh","given":"Sweta","non-dropping-particle":"","parse-names":false,"suffix":""},{"dropping-particle":"","family":"Zuo","given":"Rongjun","non-dropping-particle":"","parse-names":false,"suffix":""}],"container-title":"Journal of Pharmaceutical Sciences","id":"ITEM-1","issue":"6","issued":{"date-parts":[["2020"]]},"page":"1912-1923","title":"Three-Dimensional Spheroids With Primary Human Liver Cells and Differential Roles of Kupffer Cells in Drug-Induced Liver Injury","type":"article-journal","volume":"109"},"uris":["http://www.mendeley.com/documents/?uuid=868b523a-eed5-433a-96ba-7bde49530d8b","http://www.mendeley.com/documents/?uuid=d1e8af79-812c-4f04-91ea-2ac72a611a8c"]}],"mendeley":{"formattedCitation":"(Li et al., 2020)","plainTextFormattedCitation":"(Li et al., 2020)","previouslyFormattedCitation":"(Li et al., 2020)"},"properties":{"noteIndex":0},"schema":"https://github.com/citation-style-language/schema/raw/master/csl-citation.json"}</w:instrText>
            </w:r>
            <w:r w:rsidRPr="00D83073">
              <w:rPr>
                <w:sz w:val="18"/>
              </w:rPr>
              <w:fldChar w:fldCharType="separate"/>
            </w:r>
            <w:r w:rsidRPr="00D83073">
              <w:rPr>
                <w:noProof/>
                <w:sz w:val="18"/>
              </w:rPr>
              <w:t>(Li et al., 2020)</w:t>
            </w:r>
            <w:r w:rsidRPr="00D83073">
              <w:rPr>
                <w:sz w:val="18"/>
              </w:rPr>
              <w:fldChar w:fldCharType="end"/>
            </w:r>
          </w:p>
        </w:tc>
      </w:tr>
      <w:tr w:rsidR="007171D7" w:rsidRPr="00E076C9" w14:paraId="2FAFD011" w14:textId="77777777" w:rsidTr="00007CB5">
        <w:trPr>
          <w:trHeight w:val="280"/>
          <w:jc w:val="center"/>
        </w:trPr>
        <w:tc>
          <w:tcPr>
            <w:tcW w:w="1560" w:type="dxa"/>
            <w:vMerge/>
            <w:shd w:val="clear" w:color="auto" w:fill="auto"/>
            <w:noWrap/>
            <w:vAlign w:val="center"/>
          </w:tcPr>
          <w:p w14:paraId="000298B8" w14:textId="77777777" w:rsidR="007171D7" w:rsidRDefault="007171D7" w:rsidP="00DE184F">
            <w:pPr>
              <w:spacing w:before="0" w:after="0"/>
              <w:contextualSpacing/>
              <w:rPr>
                <w:rFonts w:eastAsia="Times New Roman"/>
                <w:sz w:val="18"/>
                <w:szCs w:val="18"/>
                <w:lang w:eastAsia="en-GB"/>
              </w:rPr>
            </w:pPr>
          </w:p>
        </w:tc>
        <w:tc>
          <w:tcPr>
            <w:tcW w:w="2835" w:type="dxa"/>
            <w:vMerge/>
            <w:shd w:val="clear" w:color="auto" w:fill="auto"/>
            <w:noWrap/>
            <w:vAlign w:val="center"/>
          </w:tcPr>
          <w:p w14:paraId="7EA975D9" w14:textId="77777777" w:rsidR="007171D7" w:rsidRPr="00B3016F" w:rsidRDefault="007171D7" w:rsidP="00DE184F">
            <w:pPr>
              <w:spacing w:before="0" w:after="0"/>
              <w:contextualSpacing/>
              <w:rPr>
                <w:rFonts w:eastAsia="Times New Roman"/>
                <w:sz w:val="18"/>
                <w:szCs w:val="18"/>
                <w:lang w:eastAsia="en-GB"/>
              </w:rPr>
            </w:pPr>
          </w:p>
        </w:tc>
        <w:tc>
          <w:tcPr>
            <w:tcW w:w="1842" w:type="dxa"/>
            <w:shd w:val="clear" w:color="auto" w:fill="auto"/>
            <w:vAlign w:val="center"/>
          </w:tcPr>
          <w:p w14:paraId="461B1013" w14:textId="77777777" w:rsidR="007171D7" w:rsidRPr="00B3016F" w:rsidRDefault="007171D7" w:rsidP="00DE184F">
            <w:pPr>
              <w:spacing w:before="0" w:after="0"/>
              <w:contextualSpacing/>
              <w:rPr>
                <w:rFonts w:eastAsia="Times New Roman"/>
                <w:sz w:val="18"/>
                <w:szCs w:val="18"/>
                <w:lang w:eastAsia="en-GB"/>
              </w:rPr>
            </w:pPr>
            <w:r w:rsidRPr="0066331F">
              <w:rPr>
                <w:sz w:val="18"/>
              </w:rPr>
              <w:t>48h</w:t>
            </w:r>
          </w:p>
        </w:tc>
        <w:tc>
          <w:tcPr>
            <w:tcW w:w="1418" w:type="dxa"/>
            <w:shd w:val="clear" w:color="auto" w:fill="auto"/>
            <w:noWrap/>
            <w:vAlign w:val="center"/>
          </w:tcPr>
          <w:p w14:paraId="1744957A" w14:textId="77777777" w:rsidR="007171D7" w:rsidRDefault="007171D7" w:rsidP="00DE184F">
            <w:pPr>
              <w:spacing w:before="0" w:after="0"/>
              <w:contextualSpacing/>
              <w:rPr>
                <w:rFonts w:eastAsia="Times New Roman"/>
                <w:sz w:val="18"/>
                <w:szCs w:val="18"/>
                <w:lang w:eastAsia="en-GB"/>
              </w:rPr>
            </w:pPr>
            <w:r w:rsidRPr="0066331F">
              <w:rPr>
                <w:sz w:val="18"/>
              </w:rPr>
              <w:t>4.596</w:t>
            </w:r>
          </w:p>
        </w:tc>
        <w:tc>
          <w:tcPr>
            <w:tcW w:w="1984" w:type="dxa"/>
            <w:vMerge/>
            <w:shd w:val="clear" w:color="auto" w:fill="auto"/>
            <w:noWrap/>
            <w:vAlign w:val="center"/>
          </w:tcPr>
          <w:p w14:paraId="3D27245D" w14:textId="479E13FE" w:rsidR="007171D7" w:rsidRPr="00B3016F" w:rsidRDefault="007171D7" w:rsidP="00DE184F">
            <w:pPr>
              <w:spacing w:before="0" w:after="0"/>
              <w:contextualSpacing/>
              <w:rPr>
                <w:rFonts w:eastAsia="Times New Roman"/>
                <w:sz w:val="18"/>
                <w:szCs w:val="18"/>
                <w:lang w:eastAsia="en-GB"/>
              </w:rPr>
            </w:pPr>
          </w:p>
        </w:tc>
        <w:tc>
          <w:tcPr>
            <w:tcW w:w="3687" w:type="dxa"/>
            <w:vAlign w:val="center"/>
          </w:tcPr>
          <w:p w14:paraId="21AAE2B9" w14:textId="4A399147" w:rsidR="007171D7" w:rsidRPr="00AE4EC8" w:rsidRDefault="007171D7" w:rsidP="00DE184F">
            <w:pPr>
              <w:spacing w:before="0" w:after="0"/>
              <w:contextualSpacing/>
              <w:rPr>
                <w:rFonts w:eastAsia="Times New Roman"/>
                <w:sz w:val="18"/>
                <w:szCs w:val="18"/>
                <w:lang w:val="de-DE" w:eastAsia="en-GB"/>
              </w:rPr>
            </w:pPr>
            <w:r>
              <w:rPr>
                <w:sz w:val="18"/>
              </w:rPr>
              <w:t xml:space="preserve">NA | </w:t>
            </w:r>
            <w:r w:rsidRPr="0066331F">
              <w:rPr>
                <w:sz w:val="18"/>
              </w:rPr>
              <w:t>miR-122, HMGB1 and α-GST</w:t>
            </w:r>
          </w:p>
        </w:tc>
        <w:tc>
          <w:tcPr>
            <w:tcW w:w="1231" w:type="dxa"/>
            <w:shd w:val="clear" w:color="auto" w:fill="auto"/>
            <w:noWrap/>
            <w:vAlign w:val="center"/>
          </w:tcPr>
          <w:p w14:paraId="33C88C01" w14:textId="77777777" w:rsidR="007171D7" w:rsidRPr="00D83073" w:rsidRDefault="007171D7" w:rsidP="00DE184F">
            <w:pPr>
              <w:spacing w:before="0" w:after="0"/>
              <w:contextualSpacing/>
              <w:rPr>
                <w:rFonts w:eastAsia="Times New Roman"/>
                <w:sz w:val="18"/>
                <w:szCs w:val="18"/>
                <w:lang w:eastAsia="en-GB"/>
              </w:rPr>
            </w:pPr>
            <w:r w:rsidRPr="00D83073">
              <w:rPr>
                <w:sz w:val="18"/>
              </w:rPr>
              <w:fldChar w:fldCharType="begin" w:fldLock="1"/>
            </w:r>
            <w:r w:rsidRPr="00D83073">
              <w:rPr>
                <w:sz w:val="18"/>
              </w:rPr>
              <w:instrText>ADDIN CSL_CITATION {"citationItems":[{"id":"ITEM-1","itemData":{"DOI":"10.1007/s00204-017-2002-1","ISSN":"14320738","abstract":"Drug-induced liver injury (DILI) continues to be a major source of clinical attrition, precautionary warnings, and post-market withdrawal of drugs. Accordingly, there is a need for more predictive tools to assess hepatotoxicity risk in drug discovery. Three-dimensional (3D) spheroid hepatic cultures have emerged as promising tools to assess mechanisms of hepatotoxicity, as they demonstrate enhanced liver phenotype, metabolic activity, and stability in culture not attainable with conventional two-dimensional hepatic models. Increased sensitivity of these models to drug-induced cytotoxicity has been demonstrated with relatively small panels of hepatotoxicants. However, a comprehensive evaluation of these models is lacking. Here, the predictive value of 3D human liver microtissues (hLiMT) to identify known hepatotoxicants using a panel of 110 drugs with and without clinical DILI has been assessed in comparison to plated two-dimensional primary human hepatocytes (PHH). Compounds were treated long-term (14 days) in hLiMT and acutely (2 days) in PHH to assess drug-induced cytotoxicity over an 8-point concentration range to generate IC50 values. Regardless of comparing IC50 values or exposure-corrected margin of safety values, hLiMT demonstrated increased sensitivity in identifying known hepatotoxicants than PHH, while specificity was consistent across both assays. In addition, hLiMT out performed PHH in correctly classifying hepatotoxicants from different pharmacological classes of molecules. The hLiMT demonstrated sufficient capability to warrant exploratory liver injury biomarker investigation (miR-122, HMGB1, α-GST) in the cell-culture media. Taken together, this study represents the most comprehensive evaluation of 3D spheroid hepatic cultures up to now and supports their utility for hepatotoxicity risk assessment in drug discovery.","author":[{"dropping-particle":"","family":"Proctor","given":"William R.","non-dropping-particle":"","parse-names":false,"suffix":""},{"dropping-particle":"","family":"Foster","given":"Alison J.","non-dropping-particle":"","parse-names":false,"suffix":""},{"dropping-particle":"","family":"Vogt","given":"Jennifer","non-dropping-particle":"","parse-names":false,"suffix":""},{"dropping-particle":"","family":"Summers","given":"Claire","non-dropping-particle":"","parse-names":false,"suffix":""},{"dropping-particle":"","family":"Middleton","given":"Brian","non-dropping-particle":"","parse-names":false,"suffix":""},{"dropping-particle":"","family":"Pilling","given":"Mark A.","non-dropping-particle":"","parse-names":false,"suffix":""},{"dropping-particle":"","family":"Shienson","given":"Daniel","non-dropping-particle":"","parse-names":false,"suffix":""},{"dropping-particle":"","family":"Kijanska","given":"Monika","non-dropping-particle":"","parse-names":false,"suffix":""},{"dropping-particle":"","family":"Ströbel","given":"Simon","non-dropping-particle":"","parse-names":false,"suffix":""},{"dropping-particle":"","family":"Kelm","given":"Jens M.","non-dropping-particle":"","parse-names":false,"suffix":""},{"dropping-particle":"","family":"Morgan","given":"Paul","non-dropping-particle":"","parse-names":false,"suffix":""},{"dropping-particle":"","family":"Messner","given":"Simon","non-dropping-particle":"","parse-names":false,"suffix":""},{"dropping-particle":"","family":"Williams","given":"Dominic","non-dropping-particle":"","parse-names":false,"suffix":""}],"container-title":"Archives of Toxicology","id":"ITEM-1","issue":"8","issued":{"date-parts":[["2017"]]},"page":"2849-2863","publisher":"Springer Berlin Heidelberg","title":"Utility of spherical human liver microtissues for prediction of clinical drug-induced liver injury","type":"article-journal","volume":"91"},"uris":["http://www.mendeley.com/documents/?uuid=19f0996e-8e8d-45ca-9a62-105338ea0502"]}],"mendeley":{"formattedCitation":"(Proctor et al., 2017)","plainTextFormattedCitation":"(Proctor et al., 2017)","previouslyFormattedCitation":"(Proctor et al., 2017)"},"properties":{"noteIndex":0},"schema":"https://github.com/citation-style-language/schema/raw/master/csl-citation.json"}</w:instrText>
            </w:r>
            <w:r w:rsidRPr="00D83073">
              <w:rPr>
                <w:sz w:val="18"/>
              </w:rPr>
              <w:fldChar w:fldCharType="separate"/>
            </w:r>
            <w:r w:rsidRPr="00D83073">
              <w:rPr>
                <w:noProof/>
                <w:sz w:val="18"/>
              </w:rPr>
              <w:t>(Proctor et al., 2017)</w:t>
            </w:r>
            <w:r w:rsidRPr="00D83073">
              <w:rPr>
                <w:sz w:val="18"/>
              </w:rPr>
              <w:fldChar w:fldCharType="end"/>
            </w:r>
          </w:p>
        </w:tc>
      </w:tr>
      <w:tr w:rsidR="007171D7" w:rsidRPr="00E076C9" w14:paraId="2C1222FC" w14:textId="77777777" w:rsidTr="00007CB5">
        <w:trPr>
          <w:trHeight w:val="280"/>
          <w:jc w:val="center"/>
        </w:trPr>
        <w:tc>
          <w:tcPr>
            <w:tcW w:w="1560" w:type="dxa"/>
            <w:vMerge/>
            <w:shd w:val="clear" w:color="auto" w:fill="auto"/>
            <w:noWrap/>
            <w:vAlign w:val="center"/>
          </w:tcPr>
          <w:p w14:paraId="5F4AB92A" w14:textId="77777777" w:rsidR="007171D7" w:rsidRDefault="007171D7" w:rsidP="007171D7">
            <w:pPr>
              <w:spacing w:before="0" w:after="0"/>
              <w:contextualSpacing/>
              <w:rPr>
                <w:rFonts w:eastAsia="Times New Roman"/>
                <w:sz w:val="18"/>
                <w:szCs w:val="18"/>
                <w:lang w:eastAsia="en-GB"/>
              </w:rPr>
            </w:pPr>
          </w:p>
        </w:tc>
        <w:tc>
          <w:tcPr>
            <w:tcW w:w="2835" w:type="dxa"/>
            <w:vMerge/>
            <w:tcBorders>
              <w:bottom w:val="single" w:sz="4" w:space="0" w:color="auto"/>
            </w:tcBorders>
            <w:shd w:val="clear" w:color="auto" w:fill="auto"/>
            <w:noWrap/>
            <w:vAlign w:val="center"/>
          </w:tcPr>
          <w:p w14:paraId="50AE5932" w14:textId="77777777" w:rsidR="007171D7" w:rsidRPr="00B3016F" w:rsidRDefault="007171D7" w:rsidP="007171D7">
            <w:pPr>
              <w:spacing w:before="0" w:after="0"/>
              <w:contextualSpacing/>
              <w:rPr>
                <w:rFonts w:eastAsia="Times New Roman"/>
                <w:sz w:val="18"/>
                <w:szCs w:val="18"/>
                <w:lang w:eastAsia="en-GB"/>
              </w:rPr>
            </w:pPr>
          </w:p>
        </w:tc>
        <w:tc>
          <w:tcPr>
            <w:tcW w:w="1842" w:type="dxa"/>
            <w:tcBorders>
              <w:bottom w:val="single" w:sz="4" w:space="0" w:color="auto"/>
            </w:tcBorders>
            <w:shd w:val="clear" w:color="auto" w:fill="auto"/>
            <w:vAlign w:val="center"/>
          </w:tcPr>
          <w:p w14:paraId="4BA0C44E" w14:textId="1E5F7906" w:rsidR="007171D7" w:rsidRPr="0066331F" w:rsidRDefault="007171D7" w:rsidP="007171D7">
            <w:pPr>
              <w:spacing w:before="0" w:after="0"/>
              <w:contextualSpacing/>
              <w:rPr>
                <w:sz w:val="18"/>
              </w:rPr>
            </w:pPr>
            <w:r>
              <w:rPr>
                <w:rFonts w:eastAsia="Times New Roman"/>
                <w:sz w:val="18"/>
                <w:szCs w:val="18"/>
                <w:lang w:eastAsia="en-GB"/>
              </w:rPr>
              <w:t>5 days (compound addition at</w:t>
            </w:r>
            <w:r>
              <w:t xml:space="preserve"> </w:t>
            </w:r>
            <w:r>
              <w:rPr>
                <w:rFonts w:eastAsia="Times New Roman"/>
                <w:sz w:val="18"/>
                <w:szCs w:val="18"/>
                <w:lang w:eastAsia="en-GB"/>
              </w:rPr>
              <w:t>D0 and 2)</w:t>
            </w:r>
          </w:p>
        </w:tc>
        <w:tc>
          <w:tcPr>
            <w:tcW w:w="1418" w:type="dxa"/>
            <w:tcBorders>
              <w:bottom w:val="single" w:sz="4" w:space="0" w:color="auto"/>
            </w:tcBorders>
            <w:shd w:val="clear" w:color="auto" w:fill="auto"/>
            <w:noWrap/>
            <w:vAlign w:val="center"/>
          </w:tcPr>
          <w:p w14:paraId="7197C8D0" w14:textId="4FB29074" w:rsidR="007171D7" w:rsidRPr="0066331F" w:rsidRDefault="007171D7" w:rsidP="007171D7">
            <w:pPr>
              <w:spacing w:before="0" w:after="0"/>
              <w:contextualSpacing/>
              <w:rPr>
                <w:sz w:val="18"/>
              </w:rPr>
            </w:pPr>
            <w:r>
              <w:rPr>
                <w:sz w:val="18"/>
              </w:rPr>
              <w:t>2.987</w:t>
            </w:r>
          </w:p>
        </w:tc>
        <w:tc>
          <w:tcPr>
            <w:tcW w:w="1984" w:type="dxa"/>
            <w:tcBorders>
              <w:bottom w:val="single" w:sz="4" w:space="0" w:color="auto"/>
            </w:tcBorders>
            <w:shd w:val="clear" w:color="auto" w:fill="auto"/>
            <w:noWrap/>
            <w:vAlign w:val="center"/>
          </w:tcPr>
          <w:p w14:paraId="66FFC3A7" w14:textId="105C919A" w:rsidR="007171D7" w:rsidRPr="00B3016F" w:rsidRDefault="007171D7" w:rsidP="007171D7">
            <w:pPr>
              <w:spacing w:before="0" w:after="0"/>
              <w:contextualSpacing/>
              <w:rPr>
                <w:rFonts w:eastAsia="Times New Roman"/>
                <w:sz w:val="18"/>
                <w:szCs w:val="18"/>
                <w:lang w:eastAsia="en-GB"/>
              </w:rPr>
            </w:pPr>
            <w:r>
              <w:rPr>
                <w:rFonts w:eastAsia="Times New Roman"/>
                <w:sz w:val="18"/>
                <w:szCs w:val="18"/>
              </w:rPr>
              <w:t>L</w:t>
            </w:r>
            <w:r w:rsidRPr="006C07C2">
              <w:rPr>
                <w:rFonts w:eastAsia="Times New Roman"/>
                <w:sz w:val="18"/>
                <w:szCs w:val="18"/>
              </w:rPr>
              <w:t xml:space="preserve">ive cell </w:t>
            </w:r>
            <w:r w:rsidRPr="00BE3A8A">
              <w:rPr>
                <w:rFonts w:eastAsia="Times New Roman"/>
                <w:sz w:val="18"/>
                <w:szCs w:val="18"/>
                <w:lang w:eastAsia="en-GB"/>
              </w:rPr>
              <w:t>protease activity</w:t>
            </w:r>
          </w:p>
        </w:tc>
        <w:tc>
          <w:tcPr>
            <w:tcW w:w="3687" w:type="dxa"/>
            <w:tcBorders>
              <w:bottom w:val="single" w:sz="4" w:space="0" w:color="auto"/>
            </w:tcBorders>
            <w:vAlign w:val="center"/>
          </w:tcPr>
          <w:p w14:paraId="7D01D3AD" w14:textId="4A4A8428" w:rsidR="007171D7" w:rsidRDefault="007171D7" w:rsidP="007171D7">
            <w:pPr>
              <w:spacing w:before="0" w:after="0"/>
              <w:contextualSpacing/>
              <w:rPr>
                <w:sz w:val="18"/>
              </w:rPr>
            </w:pPr>
            <w:r w:rsidRPr="00FD5918">
              <w:rPr>
                <w:rFonts w:eastAsia="Times New Roman"/>
                <w:sz w:val="18"/>
                <w:szCs w:val="18"/>
                <w:lang w:eastAsia="en-GB"/>
              </w:rPr>
              <w:t>CYP activity, glucuronidation and sulfation activity</w:t>
            </w:r>
            <w:r>
              <w:rPr>
                <w:sz w:val="18"/>
              </w:rPr>
              <w:t xml:space="preserve"> | </w:t>
            </w:r>
            <w:r>
              <w:rPr>
                <w:rFonts w:eastAsia="Times New Roman"/>
                <w:sz w:val="18"/>
                <w:szCs w:val="18"/>
                <w:lang w:eastAsia="en-GB"/>
              </w:rPr>
              <w:t>NA</w:t>
            </w:r>
          </w:p>
        </w:tc>
        <w:tc>
          <w:tcPr>
            <w:tcW w:w="1231" w:type="dxa"/>
            <w:tcBorders>
              <w:bottom w:val="single" w:sz="4" w:space="0" w:color="auto"/>
            </w:tcBorders>
            <w:shd w:val="clear" w:color="auto" w:fill="auto"/>
            <w:noWrap/>
            <w:vAlign w:val="center"/>
          </w:tcPr>
          <w:p w14:paraId="4A229746" w14:textId="27BCC9C0" w:rsidR="007171D7" w:rsidRPr="00D83073" w:rsidRDefault="007171D7" w:rsidP="007171D7">
            <w:pPr>
              <w:spacing w:before="0" w:after="0"/>
              <w:contextualSpacing/>
              <w:rPr>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{"citationItems":[{"id":"ITEM-1","itemData":{"DOI":"10.1016/j.taap.2013.11.022","ISSN":"0041008X","PMID":"24333257","abstract":"Drug Induced Liver Injury (DILI) is a major cause of attrition during early and late stage drug development. Consequently, there is a need to develop better in vitro primary hepatocyte models from different species for predicting hepatotoxicity in both animals and humans early in drug development. Dog is often chosen as the non-rodent species for toxicology studies. Unfortunately, dog in vitro models allowing long term cultures are not available. The objective of the present manuscript is to describe the development of a co-culture dog model for predicting hepatotoxic drugs in humans and to compare the predictivity of the canine model along with primary human hepatocytes and HepG2 cells. After rigorous optimization, the dog co-culture model displayed metabolic capacities that were maintained up to 2. weeks which indicates that such model could be also used for long term metabolism studies. Most of the human hepatotoxic drugs were detected with a sensitivity of approximately 80% (n. = 40) for the three cellular models. Nevertheless, the specificity was low approximately 40% for the HepG2 cells and hepatocytes compared to 72.7% for the canine model (n. = 11). Furthermore, the dog co-culture model showed a higher superiority for the classification of 5 pairs of close structural analogs with different DILI concerns in comparison to both human cellular models. Finally, the reproducibility of the canine system was also satisfactory with a coefficient of correlation of 75.2% (n. = 14). Overall, the present manuscript indicates that the dog co-culture model may represent a relevant tool to perform chronic hepatotoxicity and metabolism studies. © 2013 Elsevier Inc.","author":[{"dropping-particle":"","family":"Atienzar","given":"Franck A.","non-dropping-particle":"","parse-names":false,"suffix":""},{"dropping-particle":"","family":"Novik","given":"Eric I.","non-dropping-particle":"","parse-names":false,"suffix":""},{"dropping-particle":"","family":"Gerets","given":"Helga H.","non-dropping-particle":"","parse-names":false,"suffix":""},{"dropping-particle":"","family":"Parekh","given":"Amit","non-dropping-particle":"","parse-names":false,"suffix":""},{"dropping-particle":"","family":"Delatour","given":"Claude","non-dropping-particle":"","parse-names":false,"suffix":""},{"dropping-particle":"","family":"Cardenas","given":"Alvaro","non-dropping-particle":"","parse-names":false,"suffix":""},{"dropping-particle":"","family":"MacDonald","given":"James","non-dropping-particle":"","parse-names":false,"suffix":""},{"dropping-particle":"","family":"Yarmush","given":"Martin L.","non-dropping-particle":"","parse-names":false,"suffix":""},{"dropping-particle":"","family":"Dhalluin","given":"Stéphane","non-dropping-particle":"","parse-names":false,"suffix":""}],"container-title":"Toxicology and Applied Pharmacology","id":"ITEM-1","issue":"1","issued":{"date-parts":[["2014"]]},"page":"44-61","title":"Predictivity of dog co-culture model, primary human hepatocytes and HepG2 cells for the detection of hepatotoxic drugs in humans","type":"article-journal","volume":"275"},"uris":["http://www.mendeley.com/documents/?uuid=794f4ea1-ef2f-4a19-a58a-b1a5985d2918"]}],"mendeley":{"formattedCitation":"(Atienzar et al., 2014)","plainTextFormattedCitation":"(Atienzar et al., 2014)","previouslyFormattedCitation":"(Atienzar et al., 2014)"},"properties":{"noteIndex":0},"schema":"https://github.com/citation-style-language/schema/raw/master/csl-citation.json"}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(Atienzar et al., 2014)</w:t>
            </w:r>
            <w:r w:rsidRPr="00D83073">
              <w:rPr>
                <w:rFonts w:eastAsia="Times New Roman"/>
                <w:sz w:val="18"/>
                <w:szCs w:val="18"/>
                <w:lang w:eastAsia="en-GB"/>
              </w:rPr>
              <w:fldChar w:fldCharType="end"/>
            </w:r>
          </w:p>
        </w:tc>
      </w:tr>
      <w:tr w:rsidR="007171D7" w:rsidRPr="00E076C9" w14:paraId="6155788C" w14:textId="77777777" w:rsidTr="00007CB5">
        <w:trPr>
          <w:trHeight w:val="280"/>
          <w:jc w:val="center"/>
        </w:trPr>
        <w:tc>
          <w:tcPr>
            <w:tcW w:w="1560" w:type="dxa"/>
            <w:vMerge/>
            <w:shd w:val="clear" w:color="auto" w:fill="auto"/>
            <w:noWrap/>
            <w:vAlign w:val="center"/>
          </w:tcPr>
          <w:p w14:paraId="06CDDD84" w14:textId="77777777" w:rsidR="007171D7" w:rsidRPr="00496FC3" w:rsidRDefault="007171D7" w:rsidP="007171D7">
            <w:pPr>
              <w:spacing w:before="0" w:after="0"/>
              <w:contextualSpacing/>
              <w:rPr>
                <w:sz w:val="18"/>
              </w:rPr>
            </w:pPr>
          </w:p>
        </w:tc>
        <w:tc>
          <w:tcPr>
            <w:tcW w:w="2835" w:type="dxa"/>
            <w:vMerge w:val="restart"/>
            <w:tcBorders>
              <w:top w:val="single" w:sz="4" w:space="0" w:color="auto"/>
              <w:bottom w:val="single" w:sz="4" w:space="0" w:color="auto"/>
            </w:tcBorders>
            <w:shd w:val="clear" w:color="auto" w:fill="auto"/>
            <w:noWrap/>
            <w:vAlign w:val="center"/>
          </w:tcPr>
          <w:p w14:paraId="22B7D36B" w14:textId="77777777" w:rsidR="007171D7" w:rsidRPr="00496FC3" w:rsidRDefault="007171D7" w:rsidP="007171D7">
            <w:pPr>
              <w:spacing w:before="0" w:after="0"/>
              <w:contextualSpacing/>
              <w:rPr>
                <w:sz w:val="18"/>
              </w:rPr>
            </w:pPr>
            <w:r w:rsidRPr="00531E06">
              <w:rPr>
                <w:sz w:val="18"/>
              </w:rPr>
              <w:t xml:space="preserve">3D </w:t>
            </w:r>
            <w:r>
              <w:rPr>
                <w:sz w:val="18"/>
              </w:rPr>
              <w:t>S</w:t>
            </w:r>
            <w:r w:rsidRPr="00531E06">
              <w:rPr>
                <w:sz w:val="18"/>
              </w:rPr>
              <w:t>pheroids</w:t>
            </w:r>
          </w:p>
        </w:tc>
        <w:tc>
          <w:tcPr>
            <w:tcW w:w="1842" w:type="dxa"/>
            <w:tcBorders>
              <w:top w:val="single" w:sz="4" w:space="0" w:color="auto"/>
              <w:bottom w:val="single" w:sz="4" w:space="0" w:color="auto"/>
            </w:tcBorders>
            <w:shd w:val="clear" w:color="auto" w:fill="auto"/>
            <w:vAlign w:val="center"/>
          </w:tcPr>
          <w:p w14:paraId="013667C6" w14:textId="77777777" w:rsidR="007171D7" w:rsidRPr="00531E06" w:rsidRDefault="007171D7" w:rsidP="007171D7">
            <w:pPr>
              <w:spacing w:before="0" w:after="0"/>
              <w:contextualSpacing/>
              <w:rPr>
                <w:sz w:val="18"/>
              </w:rPr>
            </w:pPr>
            <w:r w:rsidRPr="00531E06">
              <w:rPr>
                <w:sz w:val="18"/>
              </w:rPr>
              <w:t>48h</w:t>
            </w:r>
          </w:p>
          <w:p w14:paraId="1F37B760" w14:textId="77777777" w:rsidR="007171D7" w:rsidRPr="00531E06" w:rsidRDefault="007171D7" w:rsidP="007171D7">
            <w:pPr>
              <w:spacing w:before="0" w:after="0"/>
              <w:contextualSpacing/>
              <w:rPr>
                <w:sz w:val="18"/>
              </w:rPr>
            </w:pPr>
            <w:r w:rsidRPr="00531E06">
              <w:rPr>
                <w:sz w:val="18"/>
              </w:rPr>
              <w:t>7 days</w:t>
            </w:r>
          </w:p>
          <w:p w14:paraId="3782AA4E" w14:textId="77777777" w:rsidR="007171D7" w:rsidRPr="00496FC3" w:rsidRDefault="007171D7" w:rsidP="007171D7">
            <w:pPr>
              <w:spacing w:before="0" w:after="0"/>
              <w:contextualSpacing/>
              <w:rPr>
                <w:sz w:val="18"/>
              </w:rPr>
            </w:pPr>
            <w:r w:rsidRPr="00531E06">
              <w:rPr>
                <w:sz w:val="18"/>
              </w:rPr>
              <w:t>14 days</w:t>
            </w:r>
          </w:p>
        </w:tc>
        <w:tc>
          <w:tcPr>
            <w:tcW w:w="1418" w:type="dxa"/>
            <w:tcBorders>
              <w:top w:val="single" w:sz="4" w:space="0" w:color="auto"/>
              <w:bottom w:val="single" w:sz="4" w:space="0" w:color="auto"/>
            </w:tcBorders>
            <w:shd w:val="clear" w:color="auto" w:fill="auto"/>
            <w:noWrap/>
            <w:vAlign w:val="center"/>
          </w:tcPr>
          <w:p w14:paraId="2ACC3BCE" w14:textId="77777777" w:rsidR="007171D7" w:rsidRPr="00531E06" w:rsidRDefault="007171D7" w:rsidP="007171D7">
            <w:pPr>
              <w:spacing w:before="0" w:after="0"/>
              <w:contextualSpacing/>
              <w:rPr>
                <w:sz w:val="18"/>
              </w:rPr>
            </w:pPr>
            <w:r w:rsidRPr="00531E06">
              <w:rPr>
                <w:sz w:val="18"/>
              </w:rPr>
              <w:t>&gt;10</w:t>
            </w:r>
            <w:r>
              <w:rPr>
                <w:sz w:val="18"/>
              </w:rPr>
              <w:t>.0</w:t>
            </w:r>
          </w:p>
          <w:p w14:paraId="781F1850" w14:textId="77777777" w:rsidR="007171D7" w:rsidRPr="00531E06" w:rsidRDefault="007171D7" w:rsidP="007171D7">
            <w:pPr>
              <w:spacing w:before="0" w:after="0"/>
              <w:contextualSpacing/>
              <w:rPr>
                <w:sz w:val="18"/>
              </w:rPr>
            </w:pPr>
            <w:r w:rsidRPr="00531E06">
              <w:rPr>
                <w:sz w:val="18"/>
              </w:rPr>
              <w:t>2</w:t>
            </w:r>
            <w:r>
              <w:rPr>
                <w:sz w:val="18"/>
              </w:rPr>
              <w:t>.</w:t>
            </w:r>
            <w:r w:rsidRPr="00531E06">
              <w:rPr>
                <w:sz w:val="18"/>
              </w:rPr>
              <w:t>703</w:t>
            </w:r>
          </w:p>
          <w:p w14:paraId="5BF4A408" w14:textId="77777777" w:rsidR="007171D7" w:rsidRPr="00496FC3" w:rsidRDefault="007171D7" w:rsidP="007171D7">
            <w:pPr>
              <w:spacing w:before="0" w:after="0"/>
              <w:contextualSpacing/>
              <w:rPr>
                <w:sz w:val="18"/>
              </w:rPr>
            </w:pPr>
            <w:r w:rsidRPr="00531E06">
              <w:rPr>
                <w:sz w:val="18"/>
              </w:rPr>
              <w:t>0</w:t>
            </w:r>
            <w:r>
              <w:rPr>
                <w:sz w:val="18"/>
              </w:rPr>
              <w:t>.</w:t>
            </w:r>
            <w:r w:rsidRPr="00531E06">
              <w:rPr>
                <w:sz w:val="18"/>
              </w:rPr>
              <w:t>644</w:t>
            </w:r>
          </w:p>
        </w:tc>
        <w:tc>
          <w:tcPr>
            <w:tcW w:w="1984" w:type="dxa"/>
            <w:vMerge w:val="restart"/>
            <w:tcBorders>
              <w:top w:val="single" w:sz="4" w:space="0" w:color="auto"/>
              <w:bottom w:val="single" w:sz="4" w:space="0" w:color="auto"/>
            </w:tcBorders>
            <w:shd w:val="clear" w:color="auto" w:fill="auto"/>
            <w:noWrap/>
            <w:vAlign w:val="center"/>
          </w:tcPr>
          <w:p w14:paraId="5345A132" w14:textId="5DD9FAB2" w:rsidR="007171D7" w:rsidRPr="00496FC3" w:rsidRDefault="007171D7" w:rsidP="007171D7">
            <w:pPr>
              <w:spacing w:before="0" w:after="0"/>
              <w:contextualSpacing/>
              <w:rPr>
                <w:sz w:val="18"/>
              </w:rPr>
            </w:pPr>
            <w:r w:rsidRPr="00496FC3">
              <w:rPr>
                <w:sz w:val="18"/>
              </w:rPr>
              <w:t>ATP Quantification</w:t>
            </w:r>
          </w:p>
        </w:tc>
        <w:tc>
          <w:tcPr>
            <w:tcW w:w="3687" w:type="dxa"/>
            <w:tcBorders>
              <w:top w:val="single" w:sz="4" w:space="0" w:color="auto"/>
              <w:bottom w:val="single" w:sz="4" w:space="0" w:color="auto"/>
            </w:tcBorders>
            <w:vAlign w:val="center"/>
          </w:tcPr>
          <w:p w14:paraId="3145D049" w14:textId="6416EA8F" w:rsidR="007171D7" w:rsidRDefault="007171D7" w:rsidP="007171D7">
            <w:pPr>
              <w:spacing w:before="0" w:after="0"/>
              <w:contextualSpacing/>
              <w:rPr>
                <w:sz w:val="18"/>
              </w:rPr>
            </w:pPr>
            <w:r w:rsidRPr="00531E06">
              <w:rPr>
                <w:rFonts w:eastAsia="Times New Roman"/>
                <w:i/>
                <w:iCs/>
                <w:sz w:val="18"/>
                <w:szCs w:val="18"/>
                <w:lang w:eastAsia="en-GB"/>
              </w:rPr>
              <w:t xml:space="preserve">CYP, GSTT1, UGT1A1, ABCB11, ABCC1 </w:t>
            </w:r>
            <w:r w:rsidRPr="00531E06">
              <w:rPr>
                <w:rFonts w:eastAsia="Times New Roman"/>
                <w:sz w:val="18"/>
                <w:szCs w:val="18"/>
                <w:lang w:eastAsia="en-GB"/>
              </w:rPr>
              <w:t>and</w:t>
            </w:r>
            <w:r w:rsidRPr="00531E06">
              <w:rPr>
                <w:rFonts w:eastAsia="Times New Roman"/>
                <w:i/>
                <w:iCs/>
                <w:sz w:val="18"/>
                <w:szCs w:val="18"/>
                <w:lang w:eastAsia="en-GB"/>
              </w:rPr>
              <w:t xml:space="preserve"> </w:t>
            </w:r>
            <w:r w:rsidRPr="008B1962">
              <w:rPr>
                <w:rFonts w:eastAsia="Times New Roman"/>
                <w:i/>
                <w:iCs/>
                <w:sz w:val="18"/>
                <w:szCs w:val="18"/>
                <w:lang w:eastAsia="en-GB"/>
              </w:rPr>
              <w:t>OATP-C</w:t>
            </w:r>
            <w:r w:rsidRPr="00531E06">
              <w:rPr>
                <w:rFonts w:eastAsia="Times New Roman"/>
                <w:sz w:val="18"/>
                <w:szCs w:val="18"/>
                <w:lang w:eastAsia="en-GB"/>
              </w:rPr>
              <w:t xml:space="preserve"> gene expression</w:t>
            </w:r>
            <w:r>
              <w:rPr>
                <w:sz w:val="18"/>
              </w:rPr>
              <w:t xml:space="preserve"> | </w:t>
            </w:r>
            <w:r w:rsidRPr="00531E06">
              <w:rPr>
                <w:rFonts w:eastAsia="Times New Roman"/>
                <w:sz w:val="18"/>
                <w:szCs w:val="18"/>
                <w:lang w:eastAsia="en-GB"/>
              </w:rPr>
              <w:t>NA</w:t>
            </w:r>
          </w:p>
        </w:tc>
        <w:tc>
          <w:tcPr>
            <w:tcW w:w="1231" w:type="dxa"/>
            <w:tcBorders>
              <w:top w:val="single" w:sz="4" w:space="0" w:color="auto"/>
              <w:bottom w:val="single" w:sz="4" w:space="0" w:color="auto"/>
            </w:tcBorders>
            <w:shd w:val="clear" w:color="auto" w:fill="auto"/>
            <w:noWrap/>
            <w:vAlign w:val="center"/>
          </w:tcPr>
          <w:p w14:paraId="5E54412E" w14:textId="77777777" w:rsidR="007171D7" w:rsidRPr="00D83073" w:rsidRDefault="007171D7" w:rsidP="007171D7">
            <w:pPr>
              <w:spacing w:before="0" w:after="0"/>
              <w:contextualSpacing/>
              <w:rPr>
                <w:sz w:val="18"/>
              </w:rPr>
            </w:pPr>
            <w:r w:rsidRPr="00D83073">
              <w:rPr>
                <w:sz w:val="18"/>
              </w:rPr>
              <w:fldChar w:fldCharType="begin" w:fldLock="1"/>
            </w:r>
            <w:r w:rsidRPr="00D83073">
              <w:rPr>
                <w:sz w:val="18"/>
              </w:rPr>
              <w:instrText>ADDIN CSL_CITATION {"citationItems":[{"id":"ITEM-1","itemData":{"DOI":"10.1124/dmd.116.074369","ISSN":"1521009X","abstract":"Reliable and versatile hepatic in vitro systems for the prediction of drug pharmacokinetics and toxicity are essential constituents of preclinical safety assessment pipelines for new medicines. Here, we compared three emerging cell systems-hepatocytes derived from induced pluripotent stem cells, HepaRG cells, and threedimensional primary human hepatocyte (PHH) spheroids-at transcriptional and functional levels in a multicenter study to evaluate their potential as predictive models for drug-induced hepatotoxicity. Transcriptomic analyses revealed widespread gene expression differences between the three cell models, with 8148 of 17,462 analyzed genes (47%) being differentially expressed. Expression levels of genes involved in the metabolism of endogenous as well as xenobiotic compounds were significantly elevated in PHH spheroids, whereas genes involved in cell division and endocytosis were significantly upregulated in HepaRG cells and hepatocytes derived from induced pluripotent stem cells, respectively. Consequently, PHH spheroids were more sensitive to a panel of drugs with distinctly different toxicity mechanisms, an effect that was amplified by long-term exposure using repeated treatments. Importantly, toxicogenomic analyses revealed that transcriptomic changes in PHH spheroids were in compliance with cholestatic, carcinogenic, or steatogenic in vivo toxicity mechanisms at clinically relevant drug concentrations. Combined, the data reveal important phenotypic differences between the three cell systems and suggest that PHH spheroids can be used for functional investigations of drug-induced liver injury in vivo in humans.","author":[{"dropping-particle":"","family":"Bell","given":"Catherine C.","non-dropping-particle":"","parse-names":false,"suffix":""},{"dropping-particle":"","family":"Lauschke","given":"Volker M.","non-dropping-particle":"","parse-names":false,"suffix":""},{"dropping-particle":"","family":"Vorrink","given":"Sabine U.","non-dropping-particle":"","parse-names":false,"suffix":""},{"dropping-particle":"","family":"Palmgren","given":"Henrik","non-dropping-particle":"","parse-names":false,"suffix":""},{"dropping-particle":"","family":"Duffin","given":"Rodger","non-dropping-particle":"","parse-names":false,"suffix":""},{"dropping-particle":"","family":"Andersson","given":"Tommy B.","non-dropping-particle":"","parse-names":false,"suffix":""},{"dropping-particle":"","family":"Ingelman-Sundberg","given":"Magnus","non-dropping-particle":"","parse-names":false,"suffix":""}],"container-title":"Drug Metabolism and Disposition","id":"ITEM-1","issue":"4","issued":{"date-parts":[["2017"]]},"page":"419–429","title":"Transcriptional, functional, and mechanistic comparisons of stem cell-derived hepatocytes, HepaRG cells, and three-dimensional human hepatocyte spheroids as predictive in vitro systems for drug-induced liver injury","type":"article-journal","volume":"45"},"uris":["http://www.mendeley.com/documents/?uuid=4ee2d66b-9479-4ce4-9359-9a2036e26f66","http://www.mendeley.com/documents/?uuid=d2906bd5-239b-4595-bed0-4ddb24c499a1"]}],"mendeley":{"formattedCitation":"(Bell et al., 2017)","plainTextFormattedCitation":"(Bell et al., 2017)","previouslyFormattedCitation":"(Bell et al., 2017)"},"properties":{"noteIndex":0},"schema":"https://github.com/citation-style-language/schema/raw/master/csl-citation.json"}</w:instrText>
            </w:r>
            <w:r w:rsidRPr="00D83073">
              <w:rPr>
                <w:sz w:val="18"/>
              </w:rPr>
              <w:fldChar w:fldCharType="separate"/>
            </w:r>
            <w:r w:rsidRPr="00D83073">
              <w:rPr>
                <w:noProof/>
                <w:sz w:val="18"/>
              </w:rPr>
              <w:t>(Bell et al., 2017)</w:t>
            </w:r>
            <w:r w:rsidRPr="00D83073">
              <w:rPr>
                <w:sz w:val="18"/>
              </w:rPr>
              <w:fldChar w:fldCharType="end"/>
            </w:r>
          </w:p>
        </w:tc>
      </w:tr>
      <w:tr w:rsidR="007171D7" w:rsidRPr="00E076C9" w14:paraId="6C055443" w14:textId="77777777" w:rsidTr="00007CB5">
        <w:trPr>
          <w:trHeight w:val="280"/>
          <w:jc w:val="center"/>
        </w:trPr>
        <w:tc>
          <w:tcPr>
            <w:tcW w:w="1560" w:type="dxa"/>
            <w:vMerge/>
            <w:tcBorders>
              <w:bottom w:val="single" w:sz="4" w:space="0" w:color="auto"/>
            </w:tcBorders>
            <w:shd w:val="clear" w:color="auto" w:fill="auto"/>
            <w:noWrap/>
            <w:vAlign w:val="center"/>
          </w:tcPr>
          <w:p w14:paraId="26FE6FD9" w14:textId="77777777" w:rsidR="007171D7" w:rsidRPr="00496FC3" w:rsidRDefault="007171D7" w:rsidP="007171D7">
            <w:pPr>
              <w:spacing w:before="0" w:after="0"/>
              <w:contextualSpacing/>
              <w:rPr>
                <w:sz w:val="18"/>
              </w:rPr>
            </w:pPr>
          </w:p>
        </w:tc>
        <w:tc>
          <w:tcPr>
            <w:tcW w:w="2835" w:type="dxa"/>
            <w:vMerge/>
            <w:tcBorders>
              <w:top w:val="single" w:sz="4" w:space="0" w:color="auto"/>
              <w:bottom w:val="single" w:sz="4" w:space="0" w:color="auto"/>
            </w:tcBorders>
            <w:shd w:val="clear" w:color="auto" w:fill="auto"/>
            <w:noWrap/>
            <w:vAlign w:val="center"/>
          </w:tcPr>
          <w:p w14:paraId="0A159B45" w14:textId="77777777" w:rsidR="007171D7" w:rsidRPr="00496FC3" w:rsidRDefault="007171D7" w:rsidP="007171D7">
            <w:pPr>
              <w:spacing w:before="0" w:after="0"/>
              <w:contextualSpacing/>
              <w:rPr>
                <w:sz w:val="18"/>
              </w:rPr>
            </w:pPr>
          </w:p>
        </w:tc>
        <w:tc>
          <w:tcPr>
            <w:tcW w:w="1842" w:type="dxa"/>
            <w:tcBorders>
              <w:top w:val="single" w:sz="4" w:space="0" w:color="auto"/>
              <w:bottom w:val="single" w:sz="4" w:space="0" w:color="auto"/>
            </w:tcBorders>
            <w:shd w:val="clear" w:color="auto" w:fill="auto"/>
            <w:vAlign w:val="center"/>
          </w:tcPr>
          <w:p w14:paraId="79F26BD2" w14:textId="77777777" w:rsidR="007171D7" w:rsidRPr="00496FC3" w:rsidRDefault="007171D7" w:rsidP="007171D7">
            <w:pPr>
              <w:spacing w:before="0" w:after="0"/>
              <w:contextualSpacing/>
              <w:rPr>
                <w:sz w:val="18"/>
              </w:rPr>
            </w:pPr>
            <w:r>
              <w:rPr>
                <w:sz w:val="18"/>
              </w:rPr>
              <w:t>24h after repeated dosing at D8, 12 and 15</w:t>
            </w:r>
          </w:p>
        </w:tc>
        <w:tc>
          <w:tcPr>
            <w:tcW w:w="1418" w:type="dxa"/>
            <w:tcBorders>
              <w:top w:val="single" w:sz="4" w:space="0" w:color="auto"/>
              <w:bottom w:val="single" w:sz="4" w:space="0" w:color="auto"/>
            </w:tcBorders>
            <w:shd w:val="clear" w:color="auto" w:fill="auto"/>
            <w:noWrap/>
            <w:vAlign w:val="center"/>
          </w:tcPr>
          <w:p w14:paraId="641F5B9C" w14:textId="77777777" w:rsidR="007171D7" w:rsidRPr="00496FC3" w:rsidRDefault="007171D7" w:rsidP="007171D7">
            <w:pPr>
              <w:spacing w:before="0" w:after="0"/>
              <w:contextualSpacing/>
              <w:rPr>
                <w:sz w:val="18"/>
              </w:rPr>
            </w:pPr>
            <w:r w:rsidRPr="009976E9">
              <w:rPr>
                <w:sz w:val="18"/>
              </w:rPr>
              <w:t>3</w:t>
            </w:r>
            <w:r>
              <w:rPr>
                <w:sz w:val="18"/>
              </w:rPr>
              <w:t>.</w:t>
            </w:r>
            <w:r w:rsidRPr="009976E9">
              <w:rPr>
                <w:sz w:val="18"/>
              </w:rPr>
              <w:t>280</w:t>
            </w:r>
          </w:p>
        </w:tc>
        <w:tc>
          <w:tcPr>
            <w:tcW w:w="1984" w:type="dxa"/>
            <w:vMerge/>
            <w:tcBorders>
              <w:top w:val="single" w:sz="4" w:space="0" w:color="auto"/>
              <w:bottom w:val="single" w:sz="4" w:space="0" w:color="auto"/>
            </w:tcBorders>
            <w:shd w:val="clear" w:color="auto" w:fill="auto"/>
            <w:noWrap/>
            <w:vAlign w:val="center"/>
          </w:tcPr>
          <w:p w14:paraId="220A677C" w14:textId="77777777" w:rsidR="007171D7" w:rsidRPr="00496FC3" w:rsidRDefault="007171D7" w:rsidP="007171D7">
            <w:pPr>
              <w:spacing w:before="0" w:after="0"/>
              <w:contextualSpacing/>
              <w:rPr>
                <w:sz w:val="18"/>
              </w:rPr>
            </w:pPr>
          </w:p>
        </w:tc>
        <w:tc>
          <w:tcPr>
            <w:tcW w:w="3687" w:type="dxa"/>
            <w:tcBorders>
              <w:top w:val="single" w:sz="4" w:space="0" w:color="auto"/>
              <w:bottom w:val="single" w:sz="4" w:space="0" w:color="auto"/>
            </w:tcBorders>
            <w:vAlign w:val="center"/>
          </w:tcPr>
          <w:p w14:paraId="0430C489" w14:textId="6F2D1AE2" w:rsidR="007171D7" w:rsidRPr="00496FC3" w:rsidRDefault="007171D7" w:rsidP="007171D7">
            <w:pPr>
              <w:spacing w:before="0" w:after="0"/>
              <w:contextualSpacing/>
              <w:rPr>
                <w:sz w:val="18"/>
              </w:rPr>
            </w:pPr>
            <w:r>
              <w:rPr>
                <w:sz w:val="18"/>
              </w:rPr>
              <w:t xml:space="preserve">NA | </w:t>
            </w:r>
            <w:r w:rsidRPr="00A1131E">
              <w:rPr>
                <w:sz w:val="18"/>
              </w:rPr>
              <w:t>inflammatory response</w:t>
            </w:r>
          </w:p>
        </w:tc>
        <w:tc>
          <w:tcPr>
            <w:tcW w:w="1231" w:type="dxa"/>
            <w:tcBorders>
              <w:top w:val="single" w:sz="4" w:space="0" w:color="auto"/>
              <w:bottom w:val="single" w:sz="4" w:space="0" w:color="auto"/>
            </w:tcBorders>
            <w:shd w:val="clear" w:color="auto" w:fill="auto"/>
            <w:noWrap/>
            <w:vAlign w:val="center"/>
          </w:tcPr>
          <w:p w14:paraId="5DF06FFE" w14:textId="77777777" w:rsidR="007171D7" w:rsidRPr="00D83073" w:rsidRDefault="007171D7" w:rsidP="007171D7">
            <w:pPr>
              <w:spacing w:before="0" w:after="0"/>
              <w:contextualSpacing/>
              <w:rPr>
                <w:sz w:val="18"/>
              </w:rPr>
            </w:pPr>
            <w:r w:rsidRPr="00D83073">
              <w:rPr>
                <w:sz w:val="18"/>
              </w:rPr>
              <w:fldChar w:fldCharType="begin" w:fldLock="1"/>
            </w:r>
            <w:r w:rsidRPr="00D83073">
              <w:rPr>
                <w:sz w:val="18"/>
              </w:rPr>
              <w:instrText>ADDIN CSL_CITATION {"citationItems":[{"id":"ITEM-1","itemData":{"DOI":"10.1016/j.xphs.2020.02.021","ISSN":"15206017","PMID":"32145211","abstract":"Drug-induced liver injury (DILI) remains a challenge and a leading risk for drug discovery. Three-dimensional liver spheroids made from primary human hepatocytes (PHHs) with, or without, other liver cell types can provide more physiological relevance. In comparison to conventional 2-dimensional monolayer culture, our tests with 100 drugs of known DILI status indicate that PHH spheroids are significantly more sensitive in detecting drug-induced hepatotoxicity. To evaluate the role of Kupffer cells (KCs) in drug-induced liver toxicity, we have established conditions for generating co-culture spheroids with PHH and KCs. Inflammatory responses as shown by interleukin 6 secretion can be recapitulated in co-culture spheroids when treated with endotoxin lipopolysaccharides. KCs potentiated the cytotoxicity induced by trovafloxacin in co-culture spheroids at 48 h, but the differences between PHH spheroids and co-culture spheroids became less obvious after a 5-day treatment. Interestingly, a protective role of KCs was shown in co-culture spheroids treated with both acetaminophen and lipopolysaccharides. Additional tests with 14 DILI compounds comparing PHH spheroids and co-culture spheroids showed differential roles of KCs that were compound dependent. In summary, these 3-dimensional liver spheroid models are useful tools to understand the complex mechanisms underlying DILI.","author":[{"dropping-particle":"","family":"Li","given":"Feng","non-dropping-particle":"","parse-names":false,"suffix":""},{"dropping-particle":"","family":"Cao","given":"Li","non-dropping-particle":"","parse-names":false,"suffix":""},{"dropping-particle":"","family":"Parikh","given":"Sweta","non-dropping-particle":"","parse-names":false,"suffix":""},{"dropping-particle":"","family":"Zuo","given":"Rongjun","non-dropping-particle":"","parse-names":false,"suffix":""}],"container-title":"Journal of Pharmaceutical Sciences","id":"ITEM-1","issue":"6","issued":{"date-parts":[["2020"]]},"page":"1912-1923","title":"Three-Dimensional Spheroids With Primary Human Liver Cells and Differential Roles of Kupffer Cells in Drug-Induced Liver Injury","type":"article-journal","volume":"109"},"uris":["http://www.mendeley.com/documents/?uuid=868b523a-eed5-433a-96ba-7bde49530d8b","http://www.mendeley.com/documents/?uuid=d1e8af79-812c-4f04-91ea-2ac72a611a8c"]}],"mendeley":{"formattedCitation":"(Li et al., 2020)","plainTextFormattedCitation":"(Li et al., 2020)","previouslyFormattedCitation":"(Li et al., 2020)"},"properties":{"noteIndex":0},"schema":"https://github.com/citation-style-language/schema/raw/master/csl-citation.json"}</w:instrText>
            </w:r>
            <w:r w:rsidRPr="00D83073">
              <w:rPr>
                <w:sz w:val="18"/>
              </w:rPr>
              <w:fldChar w:fldCharType="separate"/>
            </w:r>
            <w:r w:rsidRPr="00D83073">
              <w:rPr>
                <w:noProof/>
                <w:sz w:val="18"/>
              </w:rPr>
              <w:t>(Li et al., 2020)</w:t>
            </w:r>
            <w:r w:rsidRPr="00D83073">
              <w:rPr>
                <w:sz w:val="18"/>
              </w:rPr>
              <w:fldChar w:fldCharType="end"/>
            </w:r>
          </w:p>
        </w:tc>
      </w:tr>
      <w:tr w:rsidR="00007CB5" w:rsidRPr="00E076C9" w14:paraId="1DFA79CF" w14:textId="77777777" w:rsidTr="00007CB5">
        <w:trPr>
          <w:trHeight w:val="605"/>
          <w:jc w:val="center"/>
        </w:trPr>
        <w:tc>
          <w:tcPr>
            <w:tcW w:w="1560" w:type="dxa"/>
            <w:tcBorders>
              <w:top w:val="single" w:sz="4" w:space="0" w:color="auto"/>
              <w:bottom w:val="single" w:sz="4" w:space="0" w:color="auto"/>
            </w:tcBorders>
            <w:shd w:val="clear" w:color="auto" w:fill="auto"/>
            <w:noWrap/>
            <w:vAlign w:val="center"/>
          </w:tcPr>
          <w:p w14:paraId="237E8B3F" w14:textId="77777777" w:rsidR="00007CB5" w:rsidRPr="00496FC3" w:rsidRDefault="00007CB5" w:rsidP="007171D7">
            <w:pPr>
              <w:spacing w:before="0" w:after="0"/>
              <w:contextualSpacing/>
              <w:rPr>
                <w:sz w:val="18"/>
              </w:rPr>
            </w:pPr>
            <w:r w:rsidRPr="00496FC3">
              <w:rPr>
                <w:rFonts w:eastAsia="Times New Roman"/>
                <w:sz w:val="18"/>
                <w:lang w:eastAsia="en-GB"/>
              </w:rPr>
              <w:t xml:space="preserve">Co-culture of </w:t>
            </w:r>
            <w:proofErr w:type="spellStart"/>
            <w:r w:rsidRPr="00496FC3">
              <w:rPr>
                <w:sz w:val="18"/>
              </w:rPr>
              <w:t>HepaRG</w:t>
            </w:r>
            <w:proofErr w:type="spellEnd"/>
            <w:r w:rsidRPr="00496FC3">
              <w:rPr>
                <w:sz w:val="18"/>
              </w:rPr>
              <w:t xml:space="preserve"> and</w:t>
            </w:r>
          </w:p>
          <w:p w14:paraId="48B0C1EF" w14:textId="77777777" w:rsidR="00007CB5" w:rsidRPr="00496FC3" w:rsidRDefault="00007CB5" w:rsidP="007171D7">
            <w:pPr>
              <w:spacing w:before="0" w:after="0"/>
              <w:contextualSpacing/>
              <w:rPr>
                <w:sz w:val="18"/>
              </w:rPr>
            </w:pPr>
            <w:r w:rsidRPr="00496FC3">
              <w:rPr>
                <w:sz w:val="18"/>
              </w:rPr>
              <w:t>HSC</w:t>
            </w:r>
          </w:p>
        </w:tc>
        <w:tc>
          <w:tcPr>
            <w:tcW w:w="2835" w:type="dxa"/>
            <w:tcBorders>
              <w:top w:val="single" w:sz="4" w:space="0" w:color="auto"/>
              <w:bottom w:val="single" w:sz="4" w:space="0" w:color="auto"/>
            </w:tcBorders>
            <w:shd w:val="clear" w:color="auto" w:fill="auto"/>
            <w:noWrap/>
            <w:vAlign w:val="center"/>
          </w:tcPr>
          <w:p w14:paraId="400CC3B1" w14:textId="77777777" w:rsidR="00007CB5" w:rsidRPr="00496FC3" w:rsidRDefault="00007CB5" w:rsidP="007171D7">
            <w:pPr>
              <w:spacing w:before="0" w:after="0"/>
              <w:contextualSpacing/>
              <w:rPr>
                <w:sz w:val="18"/>
              </w:rPr>
            </w:pPr>
            <w:r w:rsidRPr="00496FC3">
              <w:rPr>
                <w:sz w:val="18"/>
              </w:rPr>
              <w:t>3D Spheroids</w:t>
            </w:r>
          </w:p>
        </w:tc>
        <w:tc>
          <w:tcPr>
            <w:tcW w:w="1842" w:type="dxa"/>
            <w:tcBorders>
              <w:top w:val="single" w:sz="4" w:space="0" w:color="auto"/>
              <w:bottom w:val="single" w:sz="4" w:space="0" w:color="auto"/>
            </w:tcBorders>
            <w:shd w:val="clear" w:color="auto" w:fill="auto"/>
            <w:vAlign w:val="center"/>
          </w:tcPr>
          <w:p w14:paraId="0487E726" w14:textId="6967B742" w:rsidR="00007CB5" w:rsidRDefault="00007CB5" w:rsidP="007171D7">
            <w:pPr>
              <w:spacing w:before="0" w:after="0"/>
              <w:contextualSpacing/>
              <w:rPr>
                <w:sz w:val="18"/>
              </w:rPr>
            </w:pPr>
            <w:r w:rsidRPr="00496FC3">
              <w:rPr>
                <w:sz w:val="18"/>
              </w:rPr>
              <w:t>24h after 6/7 days in culture</w:t>
            </w:r>
          </w:p>
          <w:p w14:paraId="6CBB572C" w14:textId="77777777" w:rsidR="00007CB5" w:rsidRPr="00496FC3" w:rsidRDefault="00007CB5" w:rsidP="007171D7">
            <w:pPr>
              <w:spacing w:before="0" w:after="0"/>
              <w:contextualSpacing/>
              <w:rPr>
                <w:sz w:val="18"/>
              </w:rPr>
            </w:pPr>
            <w:r w:rsidRPr="00496FC3">
              <w:rPr>
                <w:sz w:val="18"/>
              </w:rPr>
              <w:t>24h after 21/22 days in culture</w:t>
            </w:r>
          </w:p>
        </w:tc>
        <w:tc>
          <w:tcPr>
            <w:tcW w:w="1418" w:type="dxa"/>
            <w:tcBorders>
              <w:top w:val="single" w:sz="4" w:space="0" w:color="auto"/>
              <w:bottom w:val="single" w:sz="4" w:space="0" w:color="auto"/>
            </w:tcBorders>
            <w:shd w:val="clear" w:color="auto" w:fill="auto"/>
            <w:noWrap/>
            <w:vAlign w:val="center"/>
          </w:tcPr>
          <w:p w14:paraId="6A0C1FEE" w14:textId="77777777" w:rsidR="00007CB5" w:rsidRDefault="00007CB5" w:rsidP="007171D7">
            <w:pPr>
              <w:spacing w:before="0" w:after="0"/>
              <w:contextualSpacing/>
              <w:rPr>
                <w:sz w:val="18"/>
              </w:rPr>
            </w:pPr>
            <w:r w:rsidRPr="00496FC3">
              <w:rPr>
                <w:sz w:val="18"/>
              </w:rPr>
              <w:t>10.0</w:t>
            </w:r>
          </w:p>
          <w:p w14:paraId="07589F68" w14:textId="77777777" w:rsidR="00007CB5" w:rsidRDefault="00007CB5" w:rsidP="007171D7">
            <w:pPr>
              <w:spacing w:before="0" w:after="0"/>
              <w:contextualSpacing/>
              <w:rPr>
                <w:sz w:val="18"/>
              </w:rPr>
            </w:pPr>
          </w:p>
          <w:p w14:paraId="6DE80B5B" w14:textId="77777777" w:rsidR="00007CB5" w:rsidRPr="00496FC3" w:rsidRDefault="00007CB5" w:rsidP="007171D7">
            <w:pPr>
              <w:spacing w:before="0" w:after="0"/>
              <w:contextualSpacing/>
              <w:rPr>
                <w:sz w:val="18"/>
              </w:rPr>
            </w:pPr>
            <w:r w:rsidRPr="00496FC3">
              <w:rPr>
                <w:sz w:val="18"/>
              </w:rPr>
              <w:t>8.0</w:t>
            </w:r>
          </w:p>
        </w:tc>
        <w:tc>
          <w:tcPr>
            <w:tcW w:w="1984" w:type="dxa"/>
            <w:tcBorders>
              <w:top w:val="single" w:sz="4" w:space="0" w:color="auto"/>
              <w:bottom w:val="single" w:sz="4" w:space="0" w:color="auto"/>
            </w:tcBorders>
            <w:shd w:val="clear" w:color="auto" w:fill="auto"/>
            <w:noWrap/>
            <w:vAlign w:val="center"/>
          </w:tcPr>
          <w:p w14:paraId="7A089332" w14:textId="77777777" w:rsidR="00007CB5" w:rsidRPr="00496FC3" w:rsidRDefault="00007CB5" w:rsidP="007171D7">
            <w:pPr>
              <w:spacing w:before="0" w:after="0"/>
              <w:contextualSpacing/>
              <w:rPr>
                <w:sz w:val="18"/>
              </w:rPr>
            </w:pPr>
            <w:r w:rsidRPr="00496FC3">
              <w:rPr>
                <w:sz w:val="18"/>
              </w:rPr>
              <w:t>ATP Quantification</w:t>
            </w:r>
          </w:p>
        </w:tc>
        <w:tc>
          <w:tcPr>
            <w:tcW w:w="3687" w:type="dxa"/>
            <w:tcBorders>
              <w:top w:val="single" w:sz="4" w:space="0" w:color="auto"/>
              <w:bottom w:val="single" w:sz="4" w:space="0" w:color="auto"/>
            </w:tcBorders>
            <w:vAlign w:val="center"/>
          </w:tcPr>
          <w:p w14:paraId="3603F028" w14:textId="7EBCA059" w:rsidR="00007CB5" w:rsidRPr="00496FC3" w:rsidRDefault="00007CB5" w:rsidP="007171D7">
            <w:pPr>
              <w:spacing w:before="0" w:after="0"/>
              <w:contextualSpacing/>
              <w:rPr>
                <w:sz w:val="18"/>
              </w:rPr>
            </w:pPr>
            <w:r w:rsidRPr="00AE4EC8">
              <w:rPr>
                <w:sz w:val="18"/>
              </w:rPr>
              <w:t>CYP induction</w:t>
            </w:r>
            <w:r>
              <w:rPr>
                <w:sz w:val="18"/>
              </w:rPr>
              <w:t xml:space="preserve"> |</w:t>
            </w:r>
            <w:r w:rsidRPr="00AE4EC8">
              <w:rPr>
                <w:sz w:val="18"/>
              </w:rPr>
              <w:t xml:space="preserve"> mitochondrial function (OCR) and glycolytic activity (ECAR), fibrosis (HSC activation, collagen secretion and deposition)</w:t>
            </w:r>
          </w:p>
        </w:tc>
        <w:tc>
          <w:tcPr>
            <w:tcW w:w="1231" w:type="dxa"/>
            <w:tcBorders>
              <w:top w:val="single" w:sz="4" w:space="0" w:color="auto"/>
              <w:bottom w:val="single" w:sz="4" w:space="0" w:color="auto"/>
            </w:tcBorders>
            <w:shd w:val="clear" w:color="auto" w:fill="auto"/>
            <w:noWrap/>
            <w:vAlign w:val="center"/>
          </w:tcPr>
          <w:p w14:paraId="50210646" w14:textId="77777777" w:rsidR="00007CB5" w:rsidRPr="00D83073" w:rsidRDefault="00007CB5" w:rsidP="007171D7">
            <w:pPr>
              <w:spacing w:before="0" w:after="0"/>
              <w:contextualSpacing/>
              <w:rPr>
                <w:sz w:val="18"/>
              </w:rPr>
            </w:pPr>
            <w:r w:rsidRPr="00D83073">
              <w:rPr>
                <w:sz w:val="18"/>
                <w:lang w:val="de-DE"/>
              </w:rPr>
              <w:fldChar w:fldCharType="begin" w:fldLock="1"/>
            </w:r>
            <w:r w:rsidRPr="00D83073">
              <w:rPr>
                <w:sz w:val="18"/>
                <w:lang w:val="de-DE"/>
              </w:rPr>
              <w:instrText>ADDIN CSL_CITATION {"citationItems":[{"id":"ITEM-1","itemData":{"DOI":"10.1016/j.biomaterials.2015.11.026","ISSN":"18785905","abstract":"Current models for in vitro fibrosis consist of simple mono-layer cultures of rodent hepatic stellate cells (HSC), ignoring the role of hepatocyte injury. We aimed to develop a method allowing the detection of hepatocyte-mediated and drug-induced liver fibrosis. We used HepaRG (Hep) and primary human HSCs cultured as 3D spheroids in 96-well plates. These resulting scaffold-free organoids were characterized for CYP induction, albumin secretion, and hepatocyte and HSC-specific gene expression by qPCR. The metabolic competence of the organoid over 21 days allows activation of HSCs in the organoid in a drug- and hepatocyte-dependent manner. After a single dose or repeated exposure for 14 days to the pro-fibrotic compounds Allyl alcohol and Methotrexate, hepatic organoids display fibrotic features such as HSC activation, collagen secretion and deposition. Acetaminophen was identified by these organoids as an inducer of hepatotoxic-mediated HSC activation which was confirmed in vivo in mice. This novel hepatic organoid culture model is the first that can detect hepatocyte-dependent and compound-induced HSC activation, thereby representing an important step forward towards in vitro compound testing for drug-induced liver fibrosis.","author":[{"dropping-particle":"","family":"Leite","given":"Sofia B.","non-dropping-particle":"","parse-names":false,"suffix":""},{"dropping-particle":"","family":"Roosens","given":"Tiffany","non-dropping-particle":"","parse-names":false,"suffix":""},{"dropping-particle":"","family":"Taghdouini","given":"Adil","non-dropping-particle":"El","parse-names":false,"suffix":""},{"dropping-particle":"","family":"Mannaerts","given":"Inge","non-dropping-particle":"","parse-names":false,"suffix":""},{"dropping-particle":"","family":"Smout","given":"Ayla J.","non-dropping-particle":"","parse-names":false,"suffix":""},{"dropping-particle":"","family":"Najimi","given":"Mustapha","non-dropping-particle":"","parse-names":false,"suffix":""},{"dropping-particle":"","family":"Sokal","given":"Etienne","non-dropping-particle":"","parse-names":false,"suffix":""},{"dropping-particle":"","family":"Noor","given":"Fozia","non-dropping-particle":"","parse-names":false,"suffix":""},{"dropping-particle":"","family":"Chesne","given":"Christophe","non-dropping-particle":"","parse-names":false,"suffix":""},{"dropping-particle":"","family":"Grunsven","given":"Leo A.","non-dropping-particle":"van","parse-names":false,"suffix":""}],"container-title":"Biomaterials","id":"ITEM-1","issued":{"date-parts":[["2016"]]},"page":"1-10","title":"Novel human hepatic organoid model enables testing of drug-induced liver fibrosis in vitro","type":"article-journal","volume":"78"},"uris":["http://www.mendeley.com/documents/?uuid=4673bc91-024b-41da-a16e-a58fe4deae52"]}],"mendeley":{"formattedCitation":"(Leite et al., 2016)","plainTextFormattedCitation":"(Leite et al., 2016)","previouslyFormattedCitation":"(Leite et al., 2016)"},"properties":{"noteIndex":0},"schema":"https://github.com/citation-style-language/schema/raw/master/csl-citation.json"}</w:instrText>
            </w:r>
            <w:r w:rsidRPr="00D83073">
              <w:rPr>
                <w:sz w:val="18"/>
                <w:lang w:val="de-DE"/>
              </w:rPr>
              <w:fldChar w:fldCharType="separate"/>
            </w:r>
            <w:r w:rsidRPr="00D83073">
              <w:rPr>
                <w:noProof/>
                <w:sz w:val="18"/>
              </w:rPr>
              <w:t>(Leite et al., 2016)</w:t>
            </w:r>
            <w:r w:rsidRPr="00D83073">
              <w:rPr>
                <w:sz w:val="18"/>
                <w:lang w:val="de-DE"/>
              </w:rPr>
              <w:fldChar w:fldCharType="end"/>
            </w:r>
          </w:p>
        </w:tc>
      </w:tr>
      <w:tr w:rsidR="007171D7" w:rsidRPr="00E076C9" w14:paraId="498275C0" w14:textId="77777777" w:rsidTr="00007CB5">
        <w:trPr>
          <w:trHeight w:val="322"/>
          <w:jc w:val="center"/>
        </w:trPr>
        <w:tc>
          <w:tcPr>
            <w:tcW w:w="1560" w:type="dxa"/>
            <w:tcBorders>
              <w:top w:val="single" w:sz="4" w:space="0" w:color="auto"/>
            </w:tcBorders>
            <w:shd w:val="clear" w:color="auto" w:fill="auto"/>
            <w:noWrap/>
            <w:vAlign w:val="center"/>
          </w:tcPr>
          <w:p w14:paraId="2D1FAD87" w14:textId="77777777" w:rsidR="007171D7" w:rsidRPr="00496FC3" w:rsidRDefault="007171D7" w:rsidP="007171D7">
            <w:pPr>
              <w:spacing w:before="0" w:after="0"/>
              <w:contextualSpacing/>
              <w:rPr>
                <w:sz w:val="18"/>
              </w:rPr>
            </w:pPr>
            <w:r>
              <w:rPr>
                <w:rFonts w:eastAsia="Times New Roman"/>
                <w:sz w:val="18"/>
                <w:szCs w:val="18"/>
                <w:lang w:eastAsia="en-GB"/>
              </w:rPr>
              <w:t>Co-culture of dog hepatocytes and NPC</w:t>
            </w:r>
          </w:p>
        </w:tc>
        <w:tc>
          <w:tcPr>
            <w:tcW w:w="2835" w:type="dxa"/>
            <w:tcBorders>
              <w:top w:val="single" w:sz="4" w:space="0" w:color="auto"/>
            </w:tcBorders>
            <w:shd w:val="clear" w:color="auto" w:fill="auto"/>
            <w:noWrap/>
            <w:vAlign w:val="center"/>
          </w:tcPr>
          <w:p w14:paraId="3350D7C7" w14:textId="77777777" w:rsidR="007171D7" w:rsidRPr="00496FC3" w:rsidRDefault="007171D7" w:rsidP="007171D7">
            <w:pPr>
              <w:spacing w:before="0" w:after="0"/>
              <w:contextualSpacing/>
              <w:rPr>
                <w:sz w:val="18"/>
              </w:rPr>
            </w:pPr>
            <w:r>
              <w:rPr>
                <w:rFonts w:eastAsia="Times New Roman"/>
                <w:sz w:val="18"/>
                <w:szCs w:val="18"/>
                <w:lang w:eastAsia="en-GB"/>
              </w:rPr>
              <w:t>2D</w:t>
            </w:r>
          </w:p>
        </w:tc>
        <w:tc>
          <w:tcPr>
            <w:tcW w:w="1842" w:type="dxa"/>
            <w:tcBorders>
              <w:top w:val="single" w:sz="4" w:space="0" w:color="auto"/>
            </w:tcBorders>
            <w:shd w:val="clear" w:color="auto" w:fill="auto"/>
            <w:vAlign w:val="center"/>
          </w:tcPr>
          <w:p w14:paraId="3F72CEED" w14:textId="46281CC4" w:rsidR="007171D7" w:rsidRPr="00496FC3" w:rsidRDefault="007171D7" w:rsidP="007171D7">
            <w:pPr>
              <w:spacing w:before="0" w:after="0"/>
              <w:contextualSpacing/>
              <w:rPr>
                <w:sz w:val="18"/>
              </w:rPr>
            </w:pPr>
            <w:r>
              <w:rPr>
                <w:rFonts w:eastAsia="Times New Roman"/>
                <w:sz w:val="18"/>
                <w:szCs w:val="18"/>
                <w:lang w:eastAsia="en-GB"/>
              </w:rPr>
              <w:t>5 days (compound addition at</w:t>
            </w:r>
            <w:r>
              <w:t xml:space="preserve"> </w:t>
            </w:r>
            <w:r>
              <w:rPr>
                <w:rFonts w:eastAsia="Times New Roman"/>
                <w:sz w:val="18"/>
                <w:szCs w:val="18"/>
                <w:lang w:eastAsia="en-GB"/>
              </w:rPr>
              <w:t>D0 and 2)</w:t>
            </w:r>
          </w:p>
        </w:tc>
        <w:tc>
          <w:tcPr>
            <w:tcW w:w="1418" w:type="dxa"/>
            <w:tcBorders>
              <w:top w:val="single" w:sz="4" w:space="0" w:color="auto"/>
            </w:tcBorders>
            <w:shd w:val="clear" w:color="auto" w:fill="auto"/>
            <w:noWrap/>
            <w:vAlign w:val="center"/>
          </w:tcPr>
          <w:p w14:paraId="32792793" w14:textId="77777777" w:rsidR="007171D7" w:rsidRPr="00496FC3" w:rsidRDefault="007171D7" w:rsidP="007171D7">
            <w:pPr>
              <w:spacing w:before="0" w:after="0"/>
              <w:contextualSpacing/>
              <w:rPr>
                <w:sz w:val="18"/>
              </w:rPr>
            </w:pPr>
            <w:r>
              <w:rPr>
                <w:sz w:val="18"/>
              </w:rPr>
              <w:t>8.489</w:t>
            </w:r>
          </w:p>
        </w:tc>
        <w:tc>
          <w:tcPr>
            <w:tcW w:w="1984" w:type="dxa"/>
            <w:tcBorders>
              <w:top w:val="single" w:sz="4" w:space="0" w:color="auto"/>
            </w:tcBorders>
            <w:shd w:val="clear" w:color="auto" w:fill="auto"/>
            <w:noWrap/>
            <w:vAlign w:val="center"/>
          </w:tcPr>
          <w:p w14:paraId="6CF00532" w14:textId="77777777" w:rsidR="007171D7" w:rsidRPr="00496FC3" w:rsidRDefault="007171D7" w:rsidP="007171D7">
            <w:pPr>
              <w:spacing w:before="0" w:after="0"/>
              <w:contextualSpacing/>
              <w:rPr>
                <w:sz w:val="18"/>
              </w:rPr>
            </w:pPr>
            <w:r>
              <w:rPr>
                <w:rFonts w:eastAsia="Times New Roman"/>
                <w:sz w:val="18"/>
                <w:szCs w:val="18"/>
              </w:rPr>
              <w:t>L</w:t>
            </w:r>
            <w:r w:rsidRPr="006C07C2">
              <w:rPr>
                <w:rFonts w:eastAsia="Times New Roman"/>
                <w:sz w:val="18"/>
                <w:szCs w:val="18"/>
              </w:rPr>
              <w:t xml:space="preserve">ive cell </w:t>
            </w:r>
            <w:r w:rsidRPr="00BE3A8A">
              <w:rPr>
                <w:rFonts w:eastAsia="Times New Roman"/>
                <w:sz w:val="18"/>
                <w:szCs w:val="18"/>
                <w:lang w:eastAsia="en-GB"/>
              </w:rPr>
              <w:t>protease activity</w:t>
            </w:r>
          </w:p>
        </w:tc>
        <w:tc>
          <w:tcPr>
            <w:tcW w:w="3687" w:type="dxa"/>
            <w:tcBorders>
              <w:top w:val="single" w:sz="4" w:space="0" w:color="auto"/>
            </w:tcBorders>
            <w:vAlign w:val="center"/>
          </w:tcPr>
          <w:p w14:paraId="4F04445A" w14:textId="3D10902D" w:rsidR="007171D7" w:rsidRPr="00496FC3" w:rsidRDefault="007171D7" w:rsidP="007171D7">
            <w:pPr>
              <w:spacing w:before="0" w:after="0"/>
              <w:contextualSpacing/>
              <w:rPr>
                <w:sz w:val="18"/>
              </w:rPr>
            </w:pPr>
            <w:r w:rsidRPr="00FD5918">
              <w:rPr>
                <w:rFonts w:eastAsia="Times New Roman"/>
                <w:sz w:val="18"/>
                <w:szCs w:val="18"/>
                <w:lang w:eastAsia="en-GB"/>
              </w:rPr>
              <w:t>CYP activity, glucuronidation and sulfation activity</w:t>
            </w:r>
            <w:r>
              <w:rPr>
                <w:rFonts w:eastAsia="Times New Roman"/>
                <w:sz w:val="18"/>
                <w:szCs w:val="18"/>
                <w:lang w:eastAsia="en-GB"/>
              </w:rPr>
              <w:t xml:space="preserve"> | NA</w:t>
            </w:r>
          </w:p>
        </w:tc>
        <w:tc>
          <w:tcPr>
            <w:tcW w:w="1231" w:type="dxa"/>
            <w:tcBorders>
              <w:top w:val="single" w:sz="4" w:space="0" w:color="auto"/>
            </w:tcBorders>
            <w:shd w:val="clear" w:color="auto" w:fill="auto"/>
            <w:noWrap/>
            <w:vAlign w:val="center"/>
          </w:tcPr>
          <w:p w14:paraId="71BF0DD4" w14:textId="77777777" w:rsidR="007171D7" w:rsidRPr="00D83073" w:rsidRDefault="007171D7" w:rsidP="007171D7">
            <w:pPr>
              <w:spacing w:before="0" w:after="0"/>
              <w:contextualSpacing/>
              <w:rPr>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{"citationItems":[{"id":"ITEM-1","itemData":{"DOI":"10.1016/j.taap.2013.11.022","ISSN":"0041008X","PMID":"24333257","abstract":"Drug Induced Liver Injury (DILI) is a major cause of attrition during early and late stage drug development. Consequently, there is a need to develop better in vitro primary hepatocyte models from different species for predicting hepatotoxicity in both animals and humans early in drug development. Dog is often chosen as the non-rodent species for toxicology studies. Unfortunately, dog in vitro models allowing long term cultures are not available. The objective of the present manuscript is to describe the development of a co-culture dog model for predicting hepatotoxic drugs in humans and to compare the predictivity of the canine model along with primary human hepatocytes and HepG2 cells. After rigorous optimization, the dog co-culture model displayed metabolic capacities that were maintained up to 2. weeks which indicates that such model could be also used for long term metabolism studies. Most of the human hepatotoxic drugs were detected with a sensitivity of approximately 80% (n. = 40) for the three cellular models. Nevertheless, the specificity was low approximately 40% for the HepG2 cells and hepatocytes compared to 72.7% for the canine model (n. = 11). Furthermore, the dog co-culture model showed a higher superiority for the classification of 5 pairs of close structural analogs with different DILI concerns in comparison to both human cellular models. Finally, the reproducibility of the canine system was also satisfactory with a coefficient of correlation of 75.2% (n. = 14). Overall, the present manuscript indicates that the dog co-culture model may represent a relevant tool to perform chronic hepatotoxicity and metabolism studies. © 2013 Elsevier Inc.","author":[{"dropping-particle":"","family":"Atienzar","given":"Franck A.","non-dropping-particle":"","parse-names":false,"suffix":""},{"dropping-particle":"","family":"Novik","given":"Eric I.","non-dropping-particle":"","parse-names":false,"suffix":""},{"dropping-particle":"","family":"Gerets","given":"Helga H.","non-dropping-particle":"","parse-names":false,"suffix":""},{"dropping-particle":"","family":"Parekh","given":"Amit","non-dropping-particle":"","parse-names":false,"suffix":""},{"dropping-particle":"","family":"Delatour","given":"Claude","non-dropping-particle":"","parse-names":false,"suffix":""},{"dropping-particle":"","family":"Cardenas","given":"Alvaro","non-dropping-particle":"","parse-names":false,"suffix":""},{"dropping-particle":"","family":"MacDonald","given":"James","non-dropping-particle":"","parse-names":false,"suffix":""},{"dropping-particle":"","family":"Yarmush","given":"Martin L.","non-dropping-particle":"","parse-names":false,"suffix":""},{"dropping-particle":"","family":"Dhalluin","given":"Stéphane","non-dropping-particle":"","parse-names":false,"suffix":""}],"container-title":"Toxicology and Applied Pharmacology","id":"ITEM-1","issue":"1","issued":{"date-parts":[["2014"]]},"page":"44-61","title":"Predictivity of dog co-culture model, primary human hepatocytes and HepG2 cells for the detection of hepatotoxic drugs in humans","type":"article-journal","volume":"275"},"uris":["http://www.mendeley.com/documents/?uuid=794f4ea1-ef2f-4a19-a58a-b1a5985d2918"]}],"mendeley":{"formattedCitation":"(Atienzar et al., 2014)","plainTextFormattedCitation":"(Atienzar et al., 2014)","previouslyFormattedCitation":"(Atienzar et al., 2014)"},"properties":{"noteIndex":0},"schema":"https://github.com/citation-style-language/schema/raw/master/csl-citation.json"}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(Atienzar et al., 2014)</w:t>
            </w:r>
            <w:r w:rsidRPr="00D83073">
              <w:rPr>
                <w:rFonts w:eastAsia="Times New Roman"/>
                <w:sz w:val="18"/>
                <w:szCs w:val="18"/>
                <w:lang w:eastAsia="en-GB"/>
              </w:rPr>
              <w:fldChar w:fldCharType="end"/>
            </w:r>
          </w:p>
        </w:tc>
      </w:tr>
      <w:tr w:rsidR="00007CB5" w:rsidRPr="00E076C9" w14:paraId="361BD64B" w14:textId="77777777" w:rsidTr="000A0302">
        <w:trPr>
          <w:trHeight w:val="1016"/>
          <w:jc w:val="center"/>
        </w:trPr>
        <w:tc>
          <w:tcPr>
            <w:tcW w:w="1560" w:type="dxa"/>
            <w:vMerge w:val="restart"/>
            <w:shd w:val="clear" w:color="auto" w:fill="auto"/>
            <w:noWrap/>
            <w:vAlign w:val="center"/>
          </w:tcPr>
          <w:p w14:paraId="2719AC04" w14:textId="4AA535B4" w:rsidR="00007CB5" w:rsidRPr="0066331F" w:rsidRDefault="00007CB5" w:rsidP="007171D7">
            <w:pPr>
              <w:spacing w:before="0" w:after="0"/>
              <w:contextualSpacing/>
              <w:rPr>
                <w:sz w:val="18"/>
              </w:rPr>
            </w:pPr>
            <w:r w:rsidRPr="0066331F">
              <w:rPr>
                <w:sz w:val="18"/>
              </w:rPr>
              <w:lastRenderedPageBreak/>
              <w:t xml:space="preserve">Co-culture of </w:t>
            </w:r>
            <w:proofErr w:type="spellStart"/>
            <w:r w:rsidRPr="0066331F">
              <w:rPr>
                <w:sz w:val="18"/>
              </w:rPr>
              <w:t>cryo</w:t>
            </w:r>
            <w:proofErr w:type="spellEnd"/>
            <w:r w:rsidRPr="0066331F">
              <w:rPr>
                <w:sz w:val="18"/>
              </w:rPr>
              <w:t xml:space="preserve"> </w:t>
            </w:r>
            <w:proofErr w:type="spellStart"/>
            <w:r w:rsidRPr="0066331F">
              <w:rPr>
                <w:sz w:val="18"/>
              </w:rPr>
              <w:t>hpHep</w:t>
            </w:r>
            <w:proofErr w:type="spellEnd"/>
            <w:r w:rsidRPr="0066331F">
              <w:rPr>
                <w:sz w:val="18"/>
              </w:rPr>
              <w:t xml:space="preserve"> and NPC</w:t>
            </w:r>
          </w:p>
        </w:tc>
        <w:tc>
          <w:tcPr>
            <w:tcW w:w="2835" w:type="dxa"/>
            <w:shd w:val="clear" w:color="auto" w:fill="auto"/>
            <w:noWrap/>
            <w:vAlign w:val="center"/>
          </w:tcPr>
          <w:p w14:paraId="1EE8DAD7" w14:textId="6AEF05F0" w:rsidR="00007CB5" w:rsidRPr="0066331F" w:rsidRDefault="00007CB5" w:rsidP="007171D7">
            <w:pPr>
              <w:spacing w:before="0" w:after="0"/>
              <w:contextualSpacing/>
              <w:rPr>
                <w:sz w:val="18"/>
              </w:rPr>
            </w:pPr>
            <w:r w:rsidRPr="00D43387">
              <w:rPr>
                <w:sz w:val="18"/>
              </w:rPr>
              <w:t>3D Spheroids</w:t>
            </w:r>
          </w:p>
        </w:tc>
        <w:tc>
          <w:tcPr>
            <w:tcW w:w="1842" w:type="dxa"/>
            <w:shd w:val="clear" w:color="auto" w:fill="auto"/>
            <w:noWrap/>
            <w:vAlign w:val="center"/>
          </w:tcPr>
          <w:p w14:paraId="6BE8258C" w14:textId="77777777" w:rsidR="00007CB5" w:rsidRPr="00007CB5" w:rsidRDefault="00007CB5" w:rsidP="00007CB5">
            <w:pPr>
              <w:spacing w:before="0" w:after="0"/>
              <w:contextualSpacing/>
              <w:rPr>
                <w:sz w:val="18"/>
              </w:rPr>
            </w:pPr>
            <w:r w:rsidRPr="00D43387">
              <w:rPr>
                <w:sz w:val="18"/>
              </w:rPr>
              <w:t>24h</w:t>
            </w:r>
          </w:p>
          <w:p w14:paraId="43F56A57" w14:textId="77777777" w:rsidR="00007CB5" w:rsidRPr="00D43387" w:rsidRDefault="00007CB5" w:rsidP="007171D7">
            <w:pPr>
              <w:spacing w:before="0" w:after="0"/>
              <w:contextualSpacing/>
              <w:rPr>
                <w:sz w:val="18"/>
              </w:rPr>
            </w:pPr>
            <w:r w:rsidRPr="00D43387">
              <w:rPr>
                <w:sz w:val="18"/>
              </w:rPr>
              <w:t>72h</w:t>
            </w:r>
          </w:p>
          <w:p w14:paraId="38FD5676" w14:textId="77777777" w:rsidR="00007CB5" w:rsidRPr="00D43387" w:rsidRDefault="00007CB5" w:rsidP="007171D7">
            <w:pPr>
              <w:spacing w:before="0" w:after="0"/>
              <w:contextualSpacing/>
              <w:rPr>
                <w:sz w:val="18"/>
              </w:rPr>
            </w:pPr>
            <w:r w:rsidRPr="00D43387">
              <w:rPr>
                <w:sz w:val="18"/>
              </w:rPr>
              <w:t>7 days</w:t>
            </w:r>
          </w:p>
          <w:p w14:paraId="66202539" w14:textId="69EAB1F3" w:rsidR="00007CB5" w:rsidRPr="00007CB5" w:rsidRDefault="00007CB5" w:rsidP="007171D7">
            <w:pPr>
              <w:spacing w:before="0" w:after="0"/>
              <w:contextualSpacing/>
              <w:rPr>
                <w:sz w:val="18"/>
              </w:rPr>
            </w:pPr>
            <w:r w:rsidRPr="00D43387">
              <w:rPr>
                <w:sz w:val="18"/>
              </w:rPr>
              <w:t>10 days</w:t>
            </w:r>
          </w:p>
        </w:tc>
        <w:tc>
          <w:tcPr>
            <w:tcW w:w="1418" w:type="dxa"/>
            <w:shd w:val="clear" w:color="auto" w:fill="auto"/>
            <w:noWrap/>
            <w:vAlign w:val="center"/>
          </w:tcPr>
          <w:p w14:paraId="0284D877" w14:textId="77777777" w:rsidR="00007CB5" w:rsidRDefault="00007CB5" w:rsidP="00007CB5">
            <w:pPr>
              <w:spacing w:before="0" w:after="0"/>
              <w:contextualSpacing/>
              <w:rPr>
                <w:sz w:val="18"/>
              </w:rPr>
            </w:pPr>
            <w:r w:rsidRPr="00D43387">
              <w:rPr>
                <w:sz w:val="18"/>
              </w:rPr>
              <w:t>&gt;10</w:t>
            </w:r>
          </w:p>
          <w:p w14:paraId="3D70ECDA" w14:textId="77777777" w:rsidR="00007CB5" w:rsidRPr="00D43387" w:rsidRDefault="00007CB5" w:rsidP="007171D7">
            <w:pPr>
              <w:spacing w:before="0" w:after="0"/>
              <w:contextualSpacing/>
              <w:rPr>
                <w:sz w:val="18"/>
              </w:rPr>
            </w:pPr>
            <w:r w:rsidRPr="00D43387">
              <w:rPr>
                <w:sz w:val="18"/>
              </w:rPr>
              <w:t>2.9</w:t>
            </w:r>
          </w:p>
          <w:p w14:paraId="303B33B3" w14:textId="77777777" w:rsidR="00007CB5" w:rsidRPr="00D43387" w:rsidRDefault="00007CB5" w:rsidP="007171D7">
            <w:pPr>
              <w:spacing w:before="0" w:after="0"/>
              <w:contextualSpacing/>
              <w:rPr>
                <w:sz w:val="18"/>
              </w:rPr>
            </w:pPr>
            <w:r w:rsidRPr="00D43387">
              <w:rPr>
                <w:sz w:val="18"/>
              </w:rPr>
              <w:t>1.9</w:t>
            </w:r>
          </w:p>
          <w:p w14:paraId="7A40E19B" w14:textId="6A3B35F6" w:rsidR="00007CB5" w:rsidRDefault="00007CB5" w:rsidP="007171D7">
            <w:pPr>
              <w:spacing w:before="0" w:after="0"/>
              <w:contextualSpacing/>
              <w:rPr>
                <w:sz w:val="18"/>
              </w:rPr>
            </w:pPr>
            <w:r w:rsidRPr="00D43387">
              <w:rPr>
                <w:sz w:val="18"/>
              </w:rPr>
              <w:t>1.7</w:t>
            </w:r>
          </w:p>
        </w:tc>
        <w:tc>
          <w:tcPr>
            <w:tcW w:w="1984" w:type="dxa"/>
            <w:vMerge w:val="restart"/>
            <w:shd w:val="clear" w:color="auto" w:fill="auto"/>
            <w:noWrap/>
            <w:vAlign w:val="center"/>
          </w:tcPr>
          <w:p w14:paraId="261BF8B6" w14:textId="13AB4871" w:rsidR="00007CB5" w:rsidRPr="00531E06" w:rsidRDefault="00007CB5" w:rsidP="007171D7">
            <w:pPr>
              <w:spacing w:before="0" w:after="0"/>
              <w:contextualSpacing/>
              <w:rPr>
                <w:sz w:val="18"/>
              </w:rPr>
            </w:pPr>
            <w:r w:rsidRPr="00531E06">
              <w:rPr>
                <w:sz w:val="18"/>
              </w:rPr>
              <w:t>ATP Quantification</w:t>
            </w:r>
          </w:p>
        </w:tc>
        <w:tc>
          <w:tcPr>
            <w:tcW w:w="3687" w:type="dxa"/>
            <w:vAlign w:val="center"/>
          </w:tcPr>
          <w:p w14:paraId="1A212C45" w14:textId="72F2B4B5" w:rsidR="00007CB5" w:rsidRPr="008249D6" w:rsidRDefault="00007CB5" w:rsidP="007171D7">
            <w:pPr>
              <w:spacing w:before="0" w:after="0"/>
              <w:contextualSpacing/>
              <w:rPr>
                <w:sz w:val="18"/>
              </w:rPr>
            </w:pPr>
            <w:r w:rsidRPr="008249D6">
              <w:rPr>
                <w:sz w:val="18"/>
              </w:rPr>
              <w:t xml:space="preserve">Metabolite quantification | miR-122, </w:t>
            </w:r>
            <w:r w:rsidRPr="00D43387">
              <w:rPr>
                <w:sz w:val="18"/>
              </w:rPr>
              <w:t>α</w:t>
            </w:r>
            <w:r w:rsidRPr="008249D6">
              <w:rPr>
                <w:sz w:val="18"/>
              </w:rPr>
              <w:t>-GST</w:t>
            </w:r>
          </w:p>
        </w:tc>
        <w:tc>
          <w:tcPr>
            <w:tcW w:w="1231" w:type="dxa"/>
            <w:shd w:val="clear" w:color="auto" w:fill="auto"/>
            <w:vAlign w:val="center"/>
          </w:tcPr>
          <w:p w14:paraId="05AC17DB" w14:textId="640B7A5D" w:rsidR="00007CB5" w:rsidRPr="00D83073" w:rsidRDefault="00007CB5" w:rsidP="007171D7">
            <w:pPr>
              <w:spacing w:before="0" w:after="0"/>
              <w:contextualSpacing/>
              <w:rPr>
                <w:rFonts w:eastAsia="Times New Roman"/>
                <w:sz w:val="18"/>
                <w:szCs w:val="18"/>
                <w:lang w:eastAsia="en-GB"/>
              </w:rPr>
            </w:pPr>
            <w:r w:rsidRPr="00D83073">
              <w:rPr>
                <w:sz w:val="18"/>
              </w:rPr>
              <w:fldChar w:fldCharType="begin" w:fldLock="1"/>
            </w:r>
            <w:r w:rsidRPr="00D83073">
              <w:rPr>
                <w:sz w:val="18"/>
              </w:rPr>
              <w:instrText>ADDIN CSL_CITATION {"citationItems":[{"id":"ITEM-1","itemData":{"DOI":"10.1007/s00204-019-02427-4","ISSN":"14320738","abstract":"Drug-induced liver injury remains a frequent reason for drug withdrawal. Accordingly, more predictive and translational models are required to assess human hepatotoxicity risk. This study presents a comprehensive evaluation of two promising models to assess mechanistic hepatotoxicity, microengineered Organ-Chips and 3D hepatic spheroids, which have enhanced liver phenotype, metabolic activity and stability in culture not attainable with conventional 2D models. Sensitivity of the models to two hepatotoxins, acetaminophen (APAP) and fialuridine (FIAU), was assessed across a range of cytotoxicity biomarkers (ATP, albumin, miR-122, α-GST) as well as their metabolic functionality by quantifying APAP, FIAU and CYP probe substrate metabolites. APAP and FIAU produced dose- and time-dependent increases in miR-122 and α-GST release as well as decreases in albumin secretion in both Liver-Chips and hepatic spheroids. Metabolic turnover of CYP probe substrates, APAP and FIAU, was maintained over the 10-day exposure period at concentrations where no cytotoxicity was detected and APAP turnover decreased at concentrations where cytotoxicity was detected. With APAP, the most sensitive biomarkers were albumin in the Liver-Chips (EC 50 5.6 mM, day 1) and miR-122 and ATP in the liver spheroids (14-fold and EC 50 2.9 mM, respectively, day 3). With FIAU, the most sensitive biomarkers were albumin in the Liver-Chip (EC 50 126 µM) and miR-122 (15-fold) in the liver spheroids, both on day 7. In conclusion, both models exhibited integrated toxicity and metabolism, and broadly similar sensitivity to the hepatotoxicants at relevant clinical concentrations, demonstrating the utility of these models for improved hepatotoxicity risk assessment.","author":[{"dropping-particle":"","family":"Foster","given":"Alison J.","non-dropping-particle":"","parse-names":false,"suffix":""},{"dropping-particle":"","family":"Chouhan","given":"Bhavik","non-dropping-particle":"","parse-names":false,"suffix":""},{"dropping-particle":"","family":"Regan","given":"Sophie L.","non-dropping-particle":"","parse-names":false,"suffix":""},{"dropping-particle":"","family":"Rollison","given":"Helen","non-dropping-particle":"","parse-names":false,"suffix":""},{"dropping-particle":"","family":"Amberntsson","given":"Sara","non-dropping-particle":"","parse-names":false,"suffix":""},{"dropping-particle":"","family":"Andersson","given":"Linda C.","non-dropping-particle":"","parse-names":false,"suffix":""},{"dropping-particle":"","family":"Srivastava","given":"Abhishek","non-dropping-particle":"","parse-names":false,"suffix":""},{"dropping-particle":"","family":"Darnell","given":"Malin","non-dropping-particle":"","parse-names":false,"suffix":""},{"dropping-particle":"","family":"Cairns","given":"Jonathan","non-dropping-particle":"","parse-names":false,"suffix":""},{"dropping-particle":"","family":"Lazic","given":"Stanley E.","non-dropping-particle":"","parse-names":false,"suffix":""},{"dropping-particle":"","family":"Jang","given":"Kyung Jin","non-dropping-particle":"","parse-names":false,"suffix":""},{"dropping-particle":"","family":"Petropolis","given":"Debora B.","non-dropping-particle":"","parse-names":false,"suffix":""},{"dropping-particle":"","family":"Kodella","given":"Konstantia","non-dropping-particle":"","parse-names":false,"suffix":""},{"dropping-particle":"","family":"Rubins","given":"Jonathan E.","non-dropping-particle":"","parse-names":false,"suffix":""},{"dropping-particle":"","family":"Williams","given":"Dominic","non-dropping-particle":"","parse-names":false,"suffix":""},{"dropping-particle":"","family":"Hamilton","given":"Geraldine A.","non-dropping-particle":"","parse-names":false,"suffix":""},{"dropping-particle":"","family":"Ewart","given":"Lorna","non-dropping-particle":"","parse-names":false,"suffix":""},{"dropping-particle":"","family":"Morgan","given":"Paul","non-dropping-particle":"","parse-names":false,"suffix":""}],"container-title":"Archives of Toxicology","id":"ITEM-1","issued":{"date-parts":[["2019"]]},"page":"1021-1037","title":"Integrated in vitro models for hepatic safety and metabolism: evaluation of a human Liver-Chip and liver spheroid","type":"article-journal","volume":"93"},"uris":["http://www.mendeley.com/documents/?uuid=b54243b6-44dc-48b8-95aa-cc15b306c240","http://www.mendeley.com/documents/?uuid=bb95f1b9-0ee1-4ff1-bc0f-67bceef709b2"]}],"mendeley":{"formattedCitation":"(Foster et al., 2019)","plainTextFormattedCitation":"(Foster et al., 2019)","previouslyFormattedCitation":"(Foster et al., 2019)"},"properties":{"noteIndex":0},"schema":"https://github.com/citation-style-language/schema/raw/master/csl-citation.json"}</w:instrText>
            </w:r>
            <w:r w:rsidRPr="00D83073">
              <w:rPr>
                <w:sz w:val="18"/>
              </w:rPr>
              <w:fldChar w:fldCharType="separate"/>
            </w:r>
            <w:r w:rsidRPr="00D83073">
              <w:rPr>
                <w:noProof/>
                <w:sz w:val="18"/>
              </w:rPr>
              <w:t>(Foster et al., 2019)</w:t>
            </w:r>
            <w:r w:rsidRPr="00D83073">
              <w:rPr>
                <w:sz w:val="18"/>
              </w:rPr>
              <w:fldChar w:fldCharType="end"/>
            </w:r>
          </w:p>
        </w:tc>
      </w:tr>
      <w:tr w:rsidR="00007CB5" w:rsidRPr="00E076C9" w14:paraId="414A02CD" w14:textId="77777777" w:rsidTr="00007CB5">
        <w:trPr>
          <w:trHeight w:val="263"/>
          <w:jc w:val="center"/>
        </w:trPr>
        <w:tc>
          <w:tcPr>
            <w:tcW w:w="1560" w:type="dxa"/>
            <w:vMerge/>
            <w:shd w:val="clear" w:color="auto" w:fill="auto"/>
            <w:noWrap/>
            <w:vAlign w:val="center"/>
          </w:tcPr>
          <w:p w14:paraId="2CEC2AC8" w14:textId="42BF9433" w:rsidR="00007CB5" w:rsidRPr="0066331F" w:rsidRDefault="00007CB5" w:rsidP="007171D7">
            <w:pPr>
              <w:spacing w:before="0" w:after="0"/>
              <w:contextualSpacing/>
              <w:rPr>
                <w:sz w:val="18"/>
              </w:rPr>
            </w:pPr>
          </w:p>
        </w:tc>
        <w:tc>
          <w:tcPr>
            <w:tcW w:w="2835" w:type="dxa"/>
            <w:vMerge w:val="restart"/>
            <w:shd w:val="clear" w:color="auto" w:fill="auto"/>
            <w:noWrap/>
            <w:vAlign w:val="center"/>
          </w:tcPr>
          <w:p w14:paraId="7B3200F0" w14:textId="77777777" w:rsidR="00007CB5" w:rsidRPr="0066331F" w:rsidRDefault="00007CB5" w:rsidP="007171D7">
            <w:pPr>
              <w:spacing w:before="0" w:after="0"/>
              <w:contextualSpacing/>
              <w:rPr>
                <w:sz w:val="18"/>
              </w:rPr>
            </w:pPr>
            <w:r w:rsidRPr="0066331F">
              <w:rPr>
                <w:sz w:val="18"/>
              </w:rPr>
              <w:t xml:space="preserve">3D </w:t>
            </w:r>
            <w:r>
              <w:rPr>
                <w:sz w:val="18"/>
              </w:rPr>
              <w:t>S</w:t>
            </w:r>
            <w:r w:rsidRPr="0066331F">
              <w:rPr>
                <w:sz w:val="18"/>
              </w:rPr>
              <w:t>pheroid human liver microtissues (</w:t>
            </w:r>
            <w:r>
              <w:rPr>
                <w:sz w:val="18"/>
              </w:rPr>
              <w:t xml:space="preserve">3D </w:t>
            </w:r>
            <w:proofErr w:type="spellStart"/>
            <w:r w:rsidRPr="0066331F">
              <w:rPr>
                <w:sz w:val="18"/>
              </w:rPr>
              <w:t>hLiMT</w:t>
            </w:r>
            <w:proofErr w:type="spellEnd"/>
            <w:r w:rsidRPr="0066331F">
              <w:rPr>
                <w:sz w:val="18"/>
              </w:rPr>
              <w:t>)</w:t>
            </w:r>
          </w:p>
        </w:tc>
        <w:tc>
          <w:tcPr>
            <w:tcW w:w="1842" w:type="dxa"/>
            <w:tcBorders>
              <w:bottom w:val="single" w:sz="4" w:space="0" w:color="auto"/>
            </w:tcBorders>
            <w:shd w:val="clear" w:color="auto" w:fill="auto"/>
            <w:noWrap/>
            <w:vAlign w:val="center"/>
          </w:tcPr>
          <w:p w14:paraId="485ADF90" w14:textId="77777777" w:rsidR="00007CB5" w:rsidRPr="0066331F" w:rsidRDefault="00007CB5" w:rsidP="007171D7">
            <w:pPr>
              <w:spacing w:before="0" w:after="0"/>
              <w:contextualSpacing/>
              <w:rPr>
                <w:sz w:val="18"/>
              </w:rPr>
            </w:pPr>
            <w:r>
              <w:rPr>
                <w:rFonts w:eastAsia="Times New Roman"/>
                <w:sz w:val="18"/>
                <w:szCs w:val="18"/>
              </w:rPr>
              <w:t>72h</w:t>
            </w:r>
          </w:p>
        </w:tc>
        <w:tc>
          <w:tcPr>
            <w:tcW w:w="1418" w:type="dxa"/>
            <w:tcBorders>
              <w:bottom w:val="single" w:sz="4" w:space="0" w:color="auto"/>
            </w:tcBorders>
            <w:shd w:val="clear" w:color="auto" w:fill="auto"/>
            <w:noWrap/>
            <w:vAlign w:val="center"/>
          </w:tcPr>
          <w:p w14:paraId="613F7233" w14:textId="77777777" w:rsidR="00007CB5" w:rsidRPr="0066331F" w:rsidRDefault="00007CB5" w:rsidP="007171D7">
            <w:pPr>
              <w:spacing w:before="0" w:after="0"/>
              <w:contextualSpacing/>
              <w:rPr>
                <w:sz w:val="18"/>
              </w:rPr>
            </w:pPr>
            <w:r>
              <w:rPr>
                <w:sz w:val="18"/>
              </w:rPr>
              <w:t>1.348</w:t>
            </w:r>
          </w:p>
        </w:tc>
        <w:tc>
          <w:tcPr>
            <w:tcW w:w="1984" w:type="dxa"/>
            <w:vMerge/>
            <w:shd w:val="clear" w:color="auto" w:fill="auto"/>
            <w:noWrap/>
            <w:vAlign w:val="center"/>
          </w:tcPr>
          <w:p w14:paraId="5A0CF507" w14:textId="32F2476F" w:rsidR="00007CB5" w:rsidRPr="00F263FA" w:rsidRDefault="00007CB5" w:rsidP="007171D7">
            <w:pPr>
              <w:spacing w:before="0" w:after="0"/>
              <w:contextualSpacing/>
              <w:rPr>
                <w:sz w:val="18"/>
              </w:rPr>
            </w:pPr>
          </w:p>
        </w:tc>
        <w:tc>
          <w:tcPr>
            <w:tcW w:w="3687" w:type="dxa"/>
            <w:vAlign w:val="center"/>
          </w:tcPr>
          <w:p w14:paraId="3E20F9F7" w14:textId="2FC00AAA" w:rsidR="00007CB5" w:rsidRPr="009C2E17" w:rsidRDefault="00007CB5" w:rsidP="007171D7">
            <w:pPr>
              <w:spacing w:before="0" w:after="0"/>
              <w:contextualSpacing/>
              <w:rPr>
                <w:sz w:val="18"/>
              </w:rPr>
            </w:pPr>
            <w:r>
              <w:rPr>
                <w:sz w:val="18"/>
              </w:rPr>
              <w:t>B</w:t>
            </w:r>
            <w:r w:rsidRPr="00526F43">
              <w:rPr>
                <w:sz w:val="18"/>
              </w:rPr>
              <w:t>iotransformation phase I, II and III enzymes</w:t>
            </w:r>
            <w:r>
              <w:rPr>
                <w:sz w:val="18"/>
              </w:rPr>
              <w:t xml:space="preserve"> induction | M</w:t>
            </w:r>
            <w:r w:rsidRPr="009C2E17">
              <w:rPr>
                <w:sz w:val="18"/>
              </w:rPr>
              <w:t>itochondrial</w:t>
            </w:r>
          </w:p>
          <w:p w14:paraId="12224C34" w14:textId="77777777" w:rsidR="00007CB5" w:rsidRPr="0066331F" w:rsidRDefault="00007CB5" w:rsidP="007171D7">
            <w:pPr>
              <w:spacing w:before="0" w:after="0"/>
              <w:contextualSpacing/>
              <w:rPr>
                <w:sz w:val="18"/>
              </w:rPr>
            </w:pPr>
            <w:r w:rsidRPr="009C2E17">
              <w:rPr>
                <w:sz w:val="18"/>
              </w:rPr>
              <w:t>oxidative stress</w:t>
            </w:r>
            <w:r>
              <w:rPr>
                <w:sz w:val="18"/>
              </w:rPr>
              <w:t xml:space="preserve">, </w:t>
            </w:r>
            <w:r w:rsidRPr="004D0FCB">
              <w:rPr>
                <w:sz w:val="18"/>
              </w:rPr>
              <w:t>NAPQI-protein adducts</w:t>
            </w:r>
            <w:r>
              <w:rPr>
                <w:sz w:val="18"/>
              </w:rPr>
              <w:t xml:space="preserve"> quantification</w:t>
            </w:r>
          </w:p>
        </w:tc>
        <w:tc>
          <w:tcPr>
            <w:tcW w:w="1231" w:type="dxa"/>
            <w:shd w:val="clear" w:color="auto" w:fill="auto"/>
            <w:vAlign w:val="center"/>
          </w:tcPr>
          <w:p w14:paraId="48D227B4" w14:textId="77777777" w:rsidR="00007CB5" w:rsidRPr="00D83073" w:rsidRDefault="00007CB5" w:rsidP="007171D7">
            <w:pPr>
              <w:spacing w:before="0" w:after="0"/>
              <w:contextualSpacing/>
              <w:rPr>
                <w:sz w:val="18"/>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{"citationItems":[{"id":"ITEM-1","itemData":{"DOI":"10.1074/mcp.M114.044305","ISSN":"15359484","abstract":"The data-independent acquisition (DIA) approach has recently been introduced as a novel mass spectrometric method that promises to combine the high content aspect of shotgun proteomics with the reproducibility and precision of selected reaction monitoring. Here, we evaluate, whether SWATH-MS type DIA effectively translates into a better protein profiling as compared with the established shotgun proteomics. We implemented a novel DIA method on the widely used Orbitrap platform and used retention-time-normalized (iRT) spectral libraries for targeted data extraction using Spectronaut. We call this combination hyper reaction monitoring (HRM). Using a controlled sample set, we show that HRM outperformed shotgun proteomics both in the number of consistently identified peptides across multiple measurements and quantification of differentially abundant proteins. The reproducibility of HRM in peptide detection was above 98%, resulting in quasi complete data sets compared with 49% of shotgun proteomics. Utilizing HRM, we profiled acetaminophen (APAP)1-treated three-dimensional human liver microtissues. An early onset of relevant proteome changes was revealed at subtoxic doses of APAP. Further, we detected and quantified for the first time human NAPQI-protein adducts that might be relevant for the toxicity of APAP. The adducts were identified on four mitochondrial oxidative stress related proteins (GATM, PARK7, PRDX6, and VDAC2) and two other proteins (ANXA2 and FTCD). Our findings imply that DIA should be the preferred method for quantitative protein profiling.","author":[{"dropping-particle":"","family":"Bruderer","given":"Roland","non-dropping-particle":"","parse-names":false,"suffix":""},{"dropping-particle":"","family":"Bernhardt","given":"Oliver M.","non-dropping-particle":"","parse-names":false,"suffix":""},{"dropping-particle":"","family":"Gandhi","given":"Tejas","non-dropping-particle":"","parse-names":false,"suffix":""},{"dropping-particle":"","family":"Miladinović","given":"Saša M.","non-dropping-particle":"","parse-names":false,"suffix":""},{"dropping-particle":"","family":"Cheng","given":"Lin Yang","non-dropping-particle":"","parse-names":false,"suffix":""},{"dropping-particle":"","family":"Messner","given":"Simon","non-dropping-particle":"","parse-names":false,"suffix":""},{"dropping-particle":"","family":"Ehrenberger","given":"Tobias","non-dropping-particle":"","parse-names":false,"suffix":""},{"dropping-particle":"","family":"Zanotelli","given":"Vito","non-dropping-particle":"","parse-names":false,"suffix":""},{"dropping-particle":"","family":"Butscheid","given":"Yulia","non-dropping-particle":"","parse-names":false,"suffix":""},{"dropping-particle":"","family":"Escher","given":"Claudia","non-dropping-particle":"","parse-names":false,"suffix":""},{"dropping-particle":"","family":"Vitek","given":"Olga","non-dropping-particle":"","parse-names":false,"suffix":""},{"dropping-particle":"","family":"Rinner","given":"Oliver","non-dropping-particle":"","parse-names":false,"suffix":""},{"dropping-particle":"","family":"Reiter","given":"Lukas","non-dropping-particle":"","parse-names":false,"suffix":""}],"container-title":"Molecular and Cellular Proteomics","id":"ITEM-1","issue":"5","issued":{"date-parts":[["2015"]]},"page":"1400–1410","title":"Extending the limits of quantitative proteome profiling with data-independent acquisition and application to acetaminophen-treated three-dimensional liver microtissues","type":"article-journal","volume":"14"},"uris":["http://www.mendeley.com/documents/?uuid=6829e6ef-1e43-49e1-9035-82e7f7bfa8cb"]}],"mendeley":{"formattedCitation":"(Bruderer et al., 2015)","plainTextFormattedCitation":"(Bruderer et al., 2015)","previouslyFormattedCitation":"(Bruderer et al., 2015)"},"properties":{"noteIndex":0},"schema":"https://github.com/citation-style-language/schema/raw/master/csl-citation.json"}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(Bruderer et al., 2015)</w:t>
            </w:r>
            <w:r w:rsidRPr="00D83073">
              <w:rPr>
                <w:rFonts w:eastAsia="Times New Roman"/>
                <w:sz w:val="18"/>
                <w:szCs w:val="18"/>
                <w:lang w:eastAsia="en-GB"/>
              </w:rPr>
              <w:fldChar w:fldCharType="end"/>
            </w:r>
          </w:p>
        </w:tc>
      </w:tr>
      <w:tr w:rsidR="00B6610E" w:rsidRPr="00E076C9" w14:paraId="002C2DA3" w14:textId="77777777" w:rsidTr="00007CB5">
        <w:trPr>
          <w:trHeight w:val="263"/>
          <w:jc w:val="center"/>
        </w:trPr>
        <w:tc>
          <w:tcPr>
            <w:tcW w:w="1560" w:type="dxa"/>
            <w:vMerge/>
            <w:shd w:val="clear" w:color="auto" w:fill="auto"/>
            <w:noWrap/>
            <w:vAlign w:val="center"/>
          </w:tcPr>
          <w:p w14:paraId="4F5A4737" w14:textId="77777777" w:rsidR="00B6610E" w:rsidRPr="0066331F" w:rsidRDefault="00B6610E" w:rsidP="00B6610E">
            <w:pPr>
              <w:spacing w:before="0" w:after="0"/>
              <w:contextualSpacing/>
              <w:rPr>
                <w:sz w:val="18"/>
              </w:rPr>
            </w:pPr>
          </w:p>
        </w:tc>
        <w:tc>
          <w:tcPr>
            <w:tcW w:w="2835" w:type="dxa"/>
            <w:vMerge/>
            <w:shd w:val="clear" w:color="auto" w:fill="auto"/>
            <w:noWrap/>
            <w:vAlign w:val="center"/>
          </w:tcPr>
          <w:p w14:paraId="556AF387" w14:textId="77777777" w:rsidR="00B6610E" w:rsidRPr="0066331F" w:rsidRDefault="00B6610E" w:rsidP="00B6610E">
            <w:pPr>
              <w:spacing w:before="0" w:after="0"/>
              <w:contextualSpacing/>
              <w:rPr>
                <w:sz w:val="18"/>
              </w:rPr>
            </w:pPr>
          </w:p>
        </w:tc>
        <w:tc>
          <w:tcPr>
            <w:tcW w:w="1842" w:type="dxa"/>
            <w:tcBorders>
              <w:bottom w:val="single" w:sz="4" w:space="0" w:color="auto"/>
            </w:tcBorders>
            <w:shd w:val="clear" w:color="auto" w:fill="auto"/>
            <w:noWrap/>
            <w:vAlign w:val="center"/>
          </w:tcPr>
          <w:p w14:paraId="502C0133" w14:textId="77777777" w:rsidR="00B6610E" w:rsidRPr="0066331F" w:rsidRDefault="00B6610E" w:rsidP="00B6610E">
            <w:pPr>
              <w:spacing w:before="0" w:after="0"/>
              <w:contextualSpacing/>
              <w:rPr>
                <w:sz w:val="18"/>
              </w:rPr>
            </w:pPr>
            <w:r w:rsidRPr="0066331F">
              <w:rPr>
                <w:sz w:val="18"/>
              </w:rPr>
              <w:t>5-6 days</w:t>
            </w:r>
          </w:p>
          <w:p w14:paraId="030D6720" w14:textId="4336E735" w:rsidR="00B6610E" w:rsidRPr="0066331F" w:rsidRDefault="00B6610E" w:rsidP="00B6610E">
            <w:pPr>
              <w:spacing w:before="0" w:after="0"/>
              <w:contextualSpacing/>
              <w:rPr>
                <w:sz w:val="18"/>
              </w:rPr>
            </w:pPr>
            <w:r w:rsidRPr="0066331F">
              <w:rPr>
                <w:sz w:val="18"/>
              </w:rPr>
              <w:t>14 days</w:t>
            </w:r>
          </w:p>
        </w:tc>
        <w:tc>
          <w:tcPr>
            <w:tcW w:w="1418" w:type="dxa"/>
            <w:tcBorders>
              <w:bottom w:val="single" w:sz="4" w:space="0" w:color="auto"/>
            </w:tcBorders>
            <w:shd w:val="clear" w:color="auto" w:fill="auto"/>
            <w:noWrap/>
            <w:vAlign w:val="center"/>
          </w:tcPr>
          <w:p w14:paraId="2C50A263" w14:textId="77777777" w:rsidR="00B6610E" w:rsidRPr="0066331F" w:rsidRDefault="00B6610E" w:rsidP="00B6610E">
            <w:pPr>
              <w:spacing w:before="0" w:after="0"/>
              <w:contextualSpacing/>
              <w:rPr>
                <w:sz w:val="18"/>
              </w:rPr>
            </w:pPr>
            <w:r w:rsidRPr="0066331F">
              <w:rPr>
                <w:sz w:val="18"/>
              </w:rPr>
              <w:t>0.9110</w:t>
            </w:r>
          </w:p>
          <w:p w14:paraId="3439EB60" w14:textId="2C728A68" w:rsidR="00B6610E" w:rsidRPr="0066331F" w:rsidRDefault="00B6610E" w:rsidP="00B6610E">
            <w:pPr>
              <w:spacing w:before="0" w:after="0"/>
              <w:contextualSpacing/>
              <w:rPr>
                <w:sz w:val="18"/>
              </w:rPr>
            </w:pPr>
            <w:r w:rsidRPr="0066331F">
              <w:rPr>
                <w:sz w:val="18"/>
              </w:rPr>
              <w:t>0.5728</w:t>
            </w:r>
          </w:p>
        </w:tc>
        <w:tc>
          <w:tcPr>
            <w:tcW w:w="1984" w:type="dxa"/>
            <w:vMerge/>
            <w:shd w:val="clear" w:color="auto" w:fill="auto"/>
            <w:noWrap/>
            <w:vAlign w:val="center"/>
          </w:tcPr>
          <w:p w14:paraId="2D0796EC" w14:textId="77777777" w:rsidR="00B6610E" w:rsidRPr="0066331F" w:rsidRDefault="00B6610E" w:rsidP="00B6610E">
            <w:pPr>
              <w:spacing w:before="0" w:after="0"/>
              <w:contextualSpacing/>
              <w:rPr>
                <w:sz w:val="18"/>
              </w:rPr>
            </w:pPr>
          </w:p>
        </w:tc>
        <w:tc>
          <w:tcPr>
            <w:tcW w:w="3687" w:type="dxa"/>
            <w:vAlign w:val="center"/>
          </w:tcPr>
          <w:p w14:paraId="1735AC6F" w14:textId="41347479" w:rsidR="00B6610E" w:rsidRPr="0066331F" w:rsidRDefault="00B6610E" w:rsidP="00B6610E">
            <w:pPr>
              <w:spacing w:before="0" w:after="0"/>
              <w:contextualSpacing/>
              <w:rPr>
                <w:sz w:val="18"/>
              </w:rPr>
            </w:pPr>
            <w:r>
              <w:rPr>
                <w:sz w:val="18"/>
              </w:rPr>
              <w:t xml:space="preserve">NA | </w:t>
            </w:r>
            <w:r w:rsidRPr="0066331F">
              <w:rPr>
                <w:sz w:val="18"/>
              </w:rPr>
              <w:t>miR-122, HMGB1 and α-GST</w:t>
            </w:r>
          </w:p>
        </w:tc>
        <w:tc>
          <w:tcPr>
            <w:tcW w:w="1231" w:type="dxa"/>
            <w:shd w:val="clear" w:color="auto" w:fill="auto"/>
            <w:vAlign w:val="center"/>
          </w:tcPr>
          <w:p w14:paraId="0124E9DB" w14:textId="146524BF" w:rsidR="00B6610E" w:rsidRPr="00D83073" w:rsidRDefault="00B6610E" w:rsidP="00B6610E">
            <w:pPr>
              <w:spacing w:before="0" w:after="0"/>
              <w:contextualSpacing/>
              <w:rPr>
                <w:sz w:val="18"/>
              </w:rPr>
            </w:pPr>
            <w:r w:rsidRPr="00D83073">
              <w:rPr>
                <w:sz w:val="18"/>
              </w:rPr>
              <w:fldChar w:fldCharType="begin" w:fldLock="1"/>
            </w:r>
            <w:r w:rsidRPr="00D83073">
              <w:rPr>
                <w:sz w:val="18"/>
              </w:rPr>
              <w:instrText>ADDIN CSL_CITATION {"citationItems":[{"id":"ITEM-1","itemData":{"DOI":"10.1007/s00204-017-2002-1","ISSN":"14320738","abstract":"Drug-induced liver injury (DILI) continues to be a major source of clinical attrition, precautionary warnings, and post-market withdrawal of drugs. Accordingly, there is a need for more predictive tools to assess hepatotoxicity risk in drug discovery. Three-dimensional (3D) spheroid hepatic cultures have emerged as promising tools to assess mechanisms of hepatotoxicity, as they demonstrate enhanced liver phenotype, metabolic activity, and stability in culture not attainable with conventional two-dimensional hepatic models. Increased sensitivity of these models to drug-induced cytotoxicity has been demonstrated with relatively small panels of hepatotoxicants. However, a comprehensive evaluation of these models is lacking. Here, the predictive value of 3D human liver microtissues (hLiMT) to identify known hepatotoxicants using a panel of 110 drugs with and without clinical DILI has been assessed in comparison to plated two-dimensional primary human hepatocytes (PHH). Compounds were treated long-term (14 days) in hLiMT and acutely (2 days) in PHH to assess drug-induced cytotoxicity over an 8-point concentration range to generate IC50 values. Regardless of comparing IC50 values or exposure-corrected margin of safety values, hLiMT demonstrated increased sensitivity in identifying known hepatotoxicants than PHH, while specificity was consistent across both assays. In addition, hLiMT out performed PHH in correctly classifying hepatotoxicants from different pharmacological classes of molecules. The hLiMT demonstrated sufficient capability to warrant exploratory liver injury biomarker investigation (miR-122, HMGB1, α-GST) in the cell-culture media. Taken together, this study represents the most comprehensive evaluation of 3D spheroid hepatic cultures up to now and supports their utility for hepatotoxicity risk assessment in drug discovery.","author":[{"dropping-particle":"","family":"Proctor","given":"William R.","non-dropping-particle":"","parse-names":false,"suffix":""},{"dropping-particle":"","family":"Foster","given":"Alison J.","non-dropping-particle":"","parse-names":false,"suffix":""},{"dropping-particle":"","family":"Vogt","given":"Jennifer","non-dropping-particle":"","parse-names":false,"suffix":""},{"dropping-particle":"","family":"Summers","given":"Claire","non-dropping-particle":"","parse-names":false,"suffix":""},{"dropping-particle":"","family":"Middleton","given":"Brian","non-dropping-particle":"","parse-names":false,"suffix":""},{"dropping-particle":"","family":"Pilling","given":"Mark A.","non-dropping-particle":"","parse-names":false,"suffix":""},{"dropping-particle":"","family":"Shienson","given":"Daniel","non-dropping-particle":"","parse-names":false,"suffix":""},{"dropping-particle":"","family":"Kijanska","given":"Monika","non-dropping-particle":"","parse-names":false,"suffix":""},{"dropping-particle":"","family":"Ströbel","given":"Simon","non-dropping-particle":"","parse-names":false,"suffix":""},{"dropping-particle":"","family":"Kelm","given":"Jens M.","non-dropping-particle":"","parse-names":false,"suffix":""},{"dropping-particle":"","family":"Morgan","given":"Paul","non-dropping-particle":"","parse-names":false,"suffix":""},{"dropping-particle":"","family":"Messner","given":"Simon","non-dropping-particle":"","parse-names":false,"suffix":""},{"dropping-particle":"","family":"Williams","given":"Dominic","non-dropping-particle":"","parse-names":false,"suffix":""}],"container-title":"Archives of Toxicology","id":"ITEM-1","issue":"8","issued":{"date-parts":[["2017"]]},"page":"2849-2863","publisher":"Springer Berlin Heidelberg","title":"Utility of spherical human liver microtissues for prediction of clinical drug-induced liver injury","type":"article-journal","volume":"91"},"uris":["http://www.mendeley.com/documents/?uuid=19f0996e-8e8d-45ca-9a62-105338ea0502"]}],"mendeley":{"formattedCitation":"(Proctor et al., 2017)","plainTextFormattedCitation":"(Proctor et al., 2017)","previouslyFormattedCitation":"(Proctor et al., 2017)"},"properties":{"noteIndex":0},"schema":"https://github.com/citation-style-language/schema/raw/master/csl-citation.json"}</w:instrText>
            </w:r>
            <w:r w:rsidRPr="00D83073">
              <w:rPr>
                <w:sz w:val="18"/>
              </w:rPr>
              <w:fldChar w:fldCharType="separate"/>
            </w:r>
            <w:r w:rsidRPr="00D83073">
              <w:rPr>
                <w:noProof/>
                <w:sz w:val="18"/>
              </w:rPr>
              <w:t>(Proctor et al., 2017)</w:t>
            </w:r>
            <w:r w:rsidRPr="00D83073">
              <w:rPr>
                <w:sz w:val="18"/>
              </w:rPr>
              <w:fldChar w:fldCharType="end"/>
            </w:r>
          </w:p>
        </w:tc>
      </w:tr>
      <w:tr w:rsidR="00B6610E" w:rsidRPr="00E076C9" w14:paraId="712C2521" w14:textId="77777777" w:rsidTr="00007CB5">
        <w:trPr>
          <w:trHeight w:val="263"/>
          <w:jc w:val="center"/>
        </w:trPr>
        <w:tc>
          <w:tcPr>
            <w:tcW w:w="1560" w:type="dxa"/>
            <w:vMerge/>
            <w:shd w:val="clear" w:color="auto" w:fill="auto"/>
            <w:noWrap/>
            <w:vAlign w:val="center"/>
          </w:tcPr>
          <w:p w14:paraId="62C7BC1C" w14:textId="77777777" w:rsidR="00B6610E" w:rsidRPr="0066331F" w:rsidRDefault="00B6610E" w:rsidP="00B6610E">
            <w:pPr>
              <w:spacing w:before="0" w:after="0"/>
              <w:contextualSpacing/>
              <w:rPr>
                <w:sz w:val="18"/>
              </w:rPr>
            </w:pPr>
          </w:p>
        </w:tc>
        <w:tc>
          <w:tcPr>
            <w:tcW w:w="2835" w:type="dxa"/>
            <w:vMerge/>
            <w:shd w:val="clear" w:color="auto" w:fill="auto"/>
            <w:noWrap/>
            <w:vAlign w:val="center"/>
          </w:tcPr>
          <w:p w14:paraId="23886221" w14:textId="77777777" w:rsidR="00B6610E" w:rsidRPr="0066331F" w:rsidRDefault="00B6610E" w:rsidP="00B6610E">
            <w:pPr>
              <w:spacing w:before="0" w:after="0"/>
              <w:contextualSpacing/>
              <w:rPr>
                <w:sz w:val="18"/>
              </w:rPr>
            </w:pPr>
          </w:p>
        </w:tc>
        <w:tc>
          <w:tcPr>
            <w:tcW w:w="1842" w:type="dxa"/>
            <w:tcBorders>
              <w:bottom w:val="single" w:sz="4" w:space="0" w:color="auto"/>
            </w:tcBorders>
            <w:shd w:val="clear" w:color="auto" w:fill="auto"/>
            <w:noWrap/>
            <w:vAlign w:val="center"/>
          </w:tcPr>
          <w:p w14:paraId="42294B4E" w14:textId="16FDC275" w:rsidR="00B6610E" w:rsidRPr="00531E06" w:rsidRDefault="00B6610E" w:rsidP="00B6610E">
            <w:pPr>
              <w:spacing w:before="0" w:after="0"/>
              <w:contextualSpacing/>
              <w:rPr>
                <w:rFonts w:eastAsia="Times New Roman"/>
                <w:sz w:val="18"/>
                <w:szCs w:val="18"/>
              </w:rPr>
            </w:pPr>
            <w:r w:rsidRPr="00531E06">
              <w:rPr>
                <w:rFonts w:eastAsia="Times New Roman"/>
                <w:sz w:val="18"/>
                <w:szCs w:val="18"/>
              </w:rPr>
              <w:t>14 days</w:t>
            </w:r>
          </w:p>
        </w:tc>
        <w:tc>
          <w:tcPr>
            <w:tcW w:w="1418" w:type="dxa"/>
            <w:tcBorders>
              <w:bottom w:val="single" w:sz="4" w:space="0" w:color="auto"/>
            </w:tcBorders>
            <w:shd w:val="clear" w:color="auto" w:fill="auto"/>
            <w:noWrap/>
            <w:vAlign w:val="center"/>
          </w:tcPr>
          <w:p w14:paraId="453AB578" w14:textId="2019CDA9" w:rsidR="00B6610E" w:rsidRDefault="00B6610E" w:rsidP="00B6610E">
            <w:pPr>
              <w:spacing w:before="0" w:after="0"/>
              <w:contextualSpacing/>
              <w:rPr>
                <w:sz w:val="18"/>
              </w:rPr>
            </w:pPr>
            <w:r>
              <w:rPr>
                <w:sz w:val="18"/>
              </w:rPr>
              <w:t>0.</w:t>
            </w:r>
            <w:r w:rsidRPr="00531E06">
              <w:rPr>
                <w:sz w:val="18"/>
              </w:rPr>
              <w:t>7542</w:t>
            </w:r>
          </w:p>
        </w:tc>
        <w:tc>
          <w:tcPr>
            <w:tcW w:w="1984" w:type="dxa"/>
            <w:vMerge/>
            <w:shd w:val="clear" w:color="auto" w:fill="auto"/>
            <w:noWrap/>
            <w:vAlign w:val="center"/>
          </w:tcPr>
          <w:p w14:paraId="78509707" w14:textId="77777777" w:rsidR="00B6610E" w:rsidRPr="0066331F" w:rsidRDefault="00B6610E" w:rsidP="00B6610E">
            <w:pPr>
              <w:spacing w:before="0" w:after="0"/>
              <w:contextualSpacing/>
              <w:rPr>
                <w:sz w:val="18"/>
              </w:rPr>
            </w:pPr>
          </w:p>
        </w:tc>
        <w:tc>
          <w:tcPr>
            <w:tcW w:w="3687" w:type="dxa"/>
            <w:vAlign w:val="center"/>
          </w:tcPr>
          <w:p w14:paraId="46BEF0F6" w14:textId="18F386FE" w:rsidR="00B6610E" w:rsidRPr="00531E06" w:rsidRDefault="00B6610E" w:rsidP="00B6610E">
            <w:pPr>
              <w:spacing w:before="0" w:after="0"/>
              <w:contextualSpacing/>
              <w:rPr>
                <w:sz w:val="18"/>
              </w:rPr>
            </w:pPr>
            <w:r w:rsidRPr="00531E06">
              <w:rPr>
                <w:sz w:val="18"/>
              </w:rPr>
              <w:t>NA</w:t>
            </w:r>
          </w:p>
        </w:tc>
        <w:tc>
          <w:tcPr>
            <w:tcW w:w="1231" w:type="dxa"/>
            <w:shd w:val="clear" w:color="auto" w:fill="auto"/>
            <w:vAlign w:val="center"/>
          </w:tcPr>
          <w:p w14:paraId="262EEC4E" w14:textId="518E7366" w:rsidR="00B6610E" w:rsidRPr="00D83073" w:rsidRDefault="00B6610E" w:rsidP="00B6610E">
            <w:pPr>
              <w:spacing w:before="0" w:after="0"/>
              <w:contextualSpacing/>
              <w:rPr>
                <w:rFonts w:eastAsia="Times New Roman"/>
                <w:sz w:val="18"/>
                <w:szCs w:val="18"/>
                <w:lang w:eastAsia="en-GB"/>
              </w:rPr>
            </w:pPr>
            <w:r w:rsidRPr="00D83073">
              <w:rPr>
                <w:rFonts w:eastAsia="Times New Roman"/>
                <w:sz w:val="18"/>
                <w:szCs w:val="18"/>
                <w:lang w:eastAsia="en-GB"/>
              </w:rPr>
              <w:fldChar w:fldCharType="begin" w:fldLock="1"/>
            </w:r>
            <w:r w:rsidRPr="00D83073">
              <w:rPr>
                <w:rFonts w:eastAsia="Times New Roman"/>
                <w:sz w:val="18"/>
                <w:szCs w:val="18"/>
                <w:lang w:eastAsia="en-GB"/>
              </w:rPr>
              <w:instrText>ADDIN CSL_CITATION {"citationItems":[{"id":"ITEM-1","itemData":{"DOI":"10.1007/s00204-012-0968-2","author":[{"dropping-particle":"","family":"Messner","given":"S","non-dropping-particle":"","parse-names":false,"suffix":""},{"dropping-particle":"","family":"Agarkova","given":"A","non-dropping-particle":"","parse-names":false,"suffix":""},{"dropping-particle":"","family":"Moritz","given":"W","non-dropping-particle":"","parse-names":false,"suffix":""},{"dropping-particle":"","family":"Kelm","given":"J M","non-dropping-particle":"","parse-names":false,"suffix":""}],"container-title":"Archives of Toxicology","id":"ITEM-1","issued":{"date-parts":[["2013"]]},"page":"209-213","title":"Multi-cell type human liver microtissues for hepatotoxicity testing","type":"article-journal"},"uris":["http://www.mendeley.com/documents/?uuid=4b3ae0f6-fbbb-40a8-a156-9f94765f7ccc"]}],"mendeley":{"formattedCitation":"(Messner et al., 2013)","plainTextFormattedCitation":"(Messner et al., 2013)","previouslyFormattedCitation":"(Messner et al., 2013)"},"properties":{"noteIndex":0},"schema":"https://github.com/citation-style-language/schema/raw/master/csl-citation.json"}</w:instrText>
            </w:r>
            <w:r w:rsidRPr="00D83073">
              <w:rPr>
                <w:rFonts w:eastAsia="Times New Roman"/>
                <w:sz w:val="18"/>
                <w:szCs w:val="18"/>
                <w:lang w:eastAsia="en-GB"/>
              </w:rPr>
              <w:fldChar w:fldCharType="separate"/>
            </w:r>
            <w:r w:rsidRPr="00D83073">
              <w:rPr>
                <w:rFonts w:eastAsia="Times New Roman"/>
                <w:noProof/>
                <w:sz w:val="18"/>
                <w:szCs w:val="18"/>
                <w:lang w:eastAsia="en-GB"/>
              </w:rPr>
              <w:t>(Messner et al., 2013)</w:t>
            </w:r>
            <w:r w:rsidRPr="00D83073">
              <w:rPr>
                <w:rFonts w:eastAsia="Times New Roman"/>
                <w:sz w:val="18"/>
                <w:szCs w:val="18"/>
                <w:lang w:eastAsia="en-GB"/>
              </w:rPr>
              <w:fldChar w:fldCharType="end"/>
            </w:r>
          </w:p>
        </w:tc>
      </w:tr>
      <w:tr w:rsidR="00B6610E" w:rsidRPr="00E076C9" w14:paraId="2E32DF78" w14:textId="77777777" w:rsidTr="00007CB5">
        <w:trPr>
          <w:trHeight w:val="280"/>
          <w:jc w:val="center"/>
        </w:trPr>
        <w:tc>
          <w:tcPr>
            <w:tcW w:w="1560" w:type="dxa"/>
            <w:tcBorders>
              <w:top w:val="single" w:sz="4" w:space="0" w:color="auto"/>
              <w:bottom w:val="single" w:sz="4" w:space="0" w:color="auto"/>
            </w:tcBorders>
            <w:shd w:val="clear" w:color="auto" w:fill="auto"/>
            <w:noWrap/>
            <w:vAlign w:val="center"/>
          </w:tcPr>
          <w:p w14:paraId="28BDC8D0" w14:textId="77777777" w:rsidR="00B6610E" w:rsidRDefault="00B6610E" w:rsidP="00B6610E">
            <w:pPr>
              <w:spacing w:before="0" w:after="0"/>
              <w:contextualSpacing/>
              <w:rPr>
                <w:sz w:val="18"/>
              </w:rPr>
            </w:pPr>
            <w:r w:rsidRPr="0066331F">
              <w:rPr>
                <w:sz w:val="18"/>
              </w:rPr>
              <w:t xml:space="preserve">Co-culture of </w:t>
            </w:r>
            <w:proofErr w:type="spellStart"/>
            <w:r w:rsidRPr="0066331F">
              <w:rPr>
                <w:sz w:val="18"/>
              </w:rPr>
              <w:t>cryo</w:t>
            </w:r>
            <w:proofErr w:type="spellEnd"/>
            <w:r w:rsidRPr="0066331F">
              <w:rPr>
                <w:sz w:val="18"/>
              </w:rPr>
              <w:t xml:space="preserve"> </w:t>
            </w:r>
            <w:proofErr w:type="spellStart"/>
            <w:r w:rsidRPr="0066331F">
              <w:rPr>
                <w:sz w:val="18"/>
              </w:rPr>
              <w:t>hpHep</w:t>
            </w:r>
            <w:proofErr w:type="spellEnd"/>
            <w:r w:rsidRPr="0066331F">
              <w:rPr>
                <w:sz w:val="18"/>
              </w:rPr>
              <w:t xml:space="preserve"> and </w:t>
            </w:r>
            <w:r>
              <w:rPr>
                <w:sz w:val="18"/>
              </w:rPr>
              <w:t>KC</w:t>
            </w:r>
          </w:p>
        </w:tc>
        <w:tc>
          <w:tcPr>
            <w:tcW w:w="2835" w:type="dxa"/>
            <w:tcBorders>
              <w:top w:val="single" w:sz="4" w:space="0" w:color="auto"/>
              <w:bottom w:val="single" w:sz="4" w:space="0" w:color="auto"/>
            </w:tcBorders>
            <w:shd w:val="clear" w:color="auto" w:fill="auto"/>
            <w:noWrap/>
            <w:vAlign w:val="center"/>
          </w:tcPr>
          <w:p w14:paraId="13CD8C5D" w14:textId="77777777" w:rsidR="00B6610E" w:rsidRPr="00D43387" w:rsidRDefault="00B6610E" w:rsidP="00B6610E">
            <w:pPr>
              <w:spacing w:before="0" w:after="0"/>
              <w:contextualSpacing/>
              <w:rPr>
                <w:sz w:val="18"/>
              </w:rPr>
            </w:pPr>
            <w:r>
              <w:rPr>
                <w:sz w:val="18"/>
              </w:rPr>
              <w:t>3D Spheroids</w:t>
            </w:r>
          </w:p>
        </w:tc>
        <w:tc>
          <w:tcPr>
            <w:tcW w:w="1842" w:type="dxa"/>
            <w:tcBorders>
              <w:top w:val="single" w:sz="4" w:space="0" w:color="auto"/>
              <w:bottom w:val="single" w:sz="4" w:space="0" w:color="auto"/>
            </w:tcBorders>
            <w:shd w:val="clear" w:color="auto" w:fill="auto"/>
            <w:vAlign w:val="center"/>
          </w:tcPr>
          <w:p w14:paraId="4F8E8A20" w14:textId="77777777" w:rsidR="00B6610E" w:rsidRPr="00D06107" w:rsidRDefault="00B6610E" w:rsidP="00B6610E">
            <w:pPr>
              <w:spacing w:before="0" w:after="0"/>
              <w:contextualSpacing/>
              <w:rPr>
                <w:sz w:val="18"/>
              </w:rPr>
            </w:pPr>
            <w:r w:rsidRPr="00D06107">
              <w:rPr>
                <w:sz w:val="18"/>
              </w:rPr>
              <w:t>5 days</w:t>
            </w:r>
          </w:p>
        </w:tc>
        <w:tc>
          <w:tcPr>
            <w:tcW w:w="1418" w:type="dxa"/>
            <w:tcBorders>
              <w:top w:val="single" w:sz="4" w:space="0" w:color="auto"/>
              <w:bottom w:val="single" w:sz="4" w:space="0" w:color="auto"/>
            </w:tcBorders>
            <w:shd w:val="clear" w:color="auto" w:fill="auto"/>
            <w:noWrap/>
            <w:vAlign w:val="center"/>
          </w:tcPr>
          <w:p w14:paraId="2A55CC43" w14:textId="77777777" w:rsidR="00B6610E" w:rsidRPr="00D06107" w:rsidRDefault="00B6610E" w:rsidP="00B6610E">
            <w:pPr>
              <w:spacing w:before="0" w:after="0"/>
              <w:contextualSpacing/>
              <w:rPr>
                <w:sz w:val="18"/>
              </w:rPr>
            </w:pPr>
            <w:r w:rsidRPr="00D06107">
              <w:rPr>
                <w:sz w:val="18"/>
              </w:rPr>
              <w:t>2.247</w:t>
            </w:r>
          </w:p>
        </w:tc>
        <w:tc>
          <w:tcPr>
            <w:tcW w:w="1984" w:type="dxa"/>
            <w:tcBorders>
              <w:top w:val="single" w:sz="4" w:space="0" w:color="auto"/>
              <w:bottom w:val="single" w:sz="4" w:space="0" w:color="auto"/>
            </w:tcBorders>
            <w:shd w:val="clear" w:color="auto" w:fill="auto"/>
            <w:noWrap/>
            <w:vAlign w:val="center"/>
          </w:tcPr>
          <w:p w14:paraId="3889E9A0" w14:textId="77777777" w:rsidR="00B6610E" w:rsidRPr="00D43387" w:rsidRDefault="00B6610E" w:rsidP="00B6610E">
            <w:pPr>
              <w:spacing w:before="0" w:after="0"/>
              <w:contextualSpacing/>
              <w:rPr>
                <w:sz w:val="18"/>
              </w:rPr>
            </w:pPr>
            <w:r w:rsidRPr="0066331F">
              <w:rPr>
                <w:sz w:val="18"/>
              </w:rPr>
              <w:t>ATP Quantification</w:t>
            </w:r>
          </w:p>
        </w:tc>
        <w:tc>
          <w:tcPr>
            <w:tcW w:w="3687" w:type="dxa"/>
            <w:tcBorders>
              <w:top w:val="single" w:sz="4" w:space="0" w:color="auto"/>
              <w:bottom w:val="single" w:sz="4" w:space="0" w:color="auto"/>
            </w:tcBorders>
            <w:shd w:val="clear" w:color="auto" w:fill="auto"/>
            <w:vAlign w:val="center"/>
          </w:tcPr>
          <w:p w14:paraId="1DD47D50" w14:textId="1F402023" w:rsidR="00B6610E" w:rsidRPr="005D0A72" w:rsidRDefault="00B6610E" w:rsidP="00B6610E">
            <w:pPr>
              <w:spacing w:before="0" w:after="0"/>
              <w:contextualSpacing/>
              <w:rPr>
                <w:sz w:val="18"/>
              </w:rPr>
            </w:pPr>
            <w:r>
              <w:rPr>
                <w:sz w:val="18"/>
              </w:rPr>
              <w:t xml:space="preserve">NA | </w:t>
            </w:r>
            <w:r w:rsidRPr="00A1131E">
              <w:rPr>
                <w:sz w:val="18"/>
              </w:rPr>
              <w:t>inflammatory response</w:t>
            </w:r>
          </w:p>
        </w:tc>
        <w:tc>
          <w:tcPr>
            <w:tcW w:w="1231" w:type="dxa"/>
            <w:tcBorders>
              <w:top w:val="single" w:sz="4" w:space="0" w:color="auto"/>
              <w:bottom w:val="single" w:sz="4" w:space="0" w:color="auto"/>
            </w:tcBorders>
            <w:shd w:val="clear" w:color="auto" w:fill="auto"/>
            <w:noWrap/>
            <w:vAlign w:val="center"/>
          </w:tcPr>
          <w:p w14:paraId="7BD825E6" w14:textId="77777777" w:rsidR="00B6610E" w:rsidRPr="00D83073" w:rsidRDefault="00B6610E" w:rsidP="00B6610E">
            <w:pPr>
              <w:spacing w:before="0" w:after="0"/>
              <w:contextualSpacing/>
              <w:rPr>
                <w:sz w:val="18"/>
              </w:rPr>
            </w:pPr>
            <w:r w:rsidRPr="00D83073">
              <w:rPr>
                <w:sz w:val="18"/>
              </w:rPr>
              <w:fldChar w:fldCharType="begin" w:fldLock="1"/>
            </w:r>
            <w:r w:rsidRPr="00D83073">
              <w:rPr>
                <w:sz w:val="18"/>
              </w:rPr>
              <w:instrText>ADDIN CSL_CITATION {"citationItems":[{"id":"ITEM-1","itemData":{"DOI":"10.1016/j.xphs.2020.02.021","ISSN":"15206017","PMID":"32145211","abstract":"Drug-induced liver injury (DILI) remains a challenge and a leading risk for drug discovery. Three-dimensional liver spheroids made from primary human hepatocytes (PHHs) with, or without, other liver cell types can provide more physiological relevance. In comparison to conventional 2-dimensional monolayer culture, our tests with 100 drugs of known DILI status indicate that PHH spheroids are significantly more sensitive in detecting drug-induced hepatotoxicity. To evaluate the role of Kupffer cells (KCs) in drug-induced liver toxicity, we have established conditions for generating co-culture spheroids with PHH and KCs. Inflammatory responses as shown by interleukin 6 secretion can be recapitulated in co-culture spheroids when treated with endotoxin lipopolysaccharides. KCs potentiated the cytotoxicity induced by trovafloxacin in co-culture spheroids at 48 h, but the differences between PHH spheroids and co-culture spheroids became less obvious after a 5-day treatment. Interestingly, a protective role of KCs was shown in co-culture spheroids treated with both acetaminophen and lipopolysaccharides. Additional tests with 14 DILI compounds comparing PHH spheroids and co-culture spheroids showed differential roles of KCs that were compound dependent. In summary, these 3-dimensional liver spheroid models are useful tools to understand the complex mechanisms underlying DILI.","author":[{"dropping-particle":"","family":"Li","given":"Feng","non-dropping-particle":"","parse-names":false,"suffix":""},{"dropping-particle":"","family":"Cao","given":"Li","non-dropping-particle":"","parse-names":false,"suffix":""},{"dropping-particle":"","family":"Parikh","given":"Sweta","non-dropping-particle":"","parse-names":false,"suffix":""},{"dropping-particle":"","family":"Zuo","given":"Rongjun","non-dropping-particle":"","parse-names":false,"suffix":""}],"container-title":"Journal of Pharmaceutical Sciences","id":"ITEM-1","issue":"6","issued":{"date-parts":[["2020"]]},"page":"1912-1923","title":"Three-Dimensional Spheroids With Primary Human Liver Cells and Differential Roles of Kupffer Cells in Drug-Induced Liver Injury","type":"article-journal","volume":"109"},"uris":["http://www.mendeley.com/documents/?uuid=868b523a-eed5-433a-96ba-7bde49530d8b","http://www.mendeley.com/documents/?uuid=d1e8af79-812c-4f04-91ea-2ac72a611a8c"]}],"mendeley":{"formattedCitation":"(Li et al., 2020)","plainTextFormattedCitation":"(Li et al., 2020)","previouslyFormattedCitation":"(Li et al., 2020)"},"properties":{"noteIndex":0},"schema":"https://github.com/citation-style-language/schema/raw/master/csl-citation.json"}</w:instrText>
            </w:r>
            <w:r w:rsidRPr="00D83073">
              <w:rPr>
                <w:sz w:val="18"/>
              </w:rPr>
              <w:fldChar w:fldCharType="separate"/>
            </w:r>
            <w:r w:rsidRPr="00D83073">
              <w:rPr>
                <w:noProof/>
                <w:sz w:val="18"/>
              </w:rPr>
              <w:t>(Li et al., 2020)</w:t>
            </w:r>
            <w:r w:rsidRPr="00D83073">
              <w:rPr>
                <w:sz w:val="18"/>
              </w:rPr>
              <w:fldChar w:fldCharType="end"/>
            </w:r>
          </w:p>
        </w:tc>
      </w:tr>
      <w:tr w:rsidR="00B6610E" w:rsidRPr="00E076C9" w14:paraId="68C1BA3C" w14:textId="77777777" w:rsidTr="00007CB5">
        <w:trPr>
          <w:trHeight w:val="280"/>
          <w:jc w:val="center"/>
        </w:trPr>
        <w:tc>
          <w:tcPr>
            <w:tcW w:w="1560" w:type="dxa"/>
            <w:tcBorders>
              <w:top w:val="single" w:sz="4" w:space="0" w:color="auto"/>
              <w:bottom w:val="single" w:sz="4" w:space="0" w:color="auto"/>
            </w:tcBorders>
            <w:shd w:val="clear" w:color="auto" w:fill="auto"/>
            <w:noWrap/>
            <w:vAlign w:val="center"/>
          </w:tcPr>
          <w:p w14:paraId="70B3BC42" w14:textId="77777777" w:rsidR="00B6610E" w:rsidRPr="0066331F" w:rsidRDefault="00B6610E" w:rsidP="00B6610E">
            <w:pPr>
              <w:spacing w:before="0" w:after="0"/>
              <w:contextualSpacing/>
              <w:rPr>
                <w:sz w:val="18"/>
              </w:rPr>
            </w:pPr>
            <w:r>
              <w:rPr>
                <w:sz w:val="18"/>
              </w:rPr>
              <w:t xml:space="preserve">Co-culture of </w:t>
            </w:r>
            <w:proofErr w:type="spellStart"/>
            <w:r>
              <w:rPr>
                <w:sz w:val="18"/>
              </w:rPr>
              <w:t>c</w:t>
            </w:r>
            <w:r w:rsidRPr="00D43387">
              <w:rPr>
                <w:sz w:val="18"/>
              </w:rPr>
              <w:t>ryo</w:t>
            </w:r>
            <w:proofErr w:type="spellEnd"/>
            <w:r w:rsidRPr="00D43387">
              <w:rPr>
                <w:sz w:val="18"/>
              </w:rPr>
              <w:t xml:space="preserve"> </w:t>
            </w:r>
            <w:proofErr w:type="spellStart"/>
            <w:r w:rsidRPr="00D43387">
              <w:rPr>
                <w:sz w:val="18"/>
              </w:rPr>
              <w:t>hpHep</w:t>
            </w:r>
            <w:proofErr w:type="spellEnd"/>
            <w:r w:rsidRPr="00D43387">
              <w:rPr>
                <w:sz w:val="18"/>
              </w:rPr>
              <w:t xml:space="preserve"> and LSEC</w:t>
            </w:r>
          </w:p>
        </w:tc>
        <w:tc>
          <w:tcPr>
            <w:tcW w:w="2835" w:type="dxa"/>
            <w:tcBorders>
              <w:top w:val="single" w:sz="4" w:space="0" w:color="auto"/>
              <w:bottom w:val="single" w:sz="4" w:space="0" w:color="auto"/>
            </w:tcBorders>
            <w:shd w:val="clear" w:color="auto" w:fill="auto"/>
            <w:noWrap/>
            <w:vAlign w:val="center"/>
          </w:tcPr>
          <w:p w14:paraId="3A4A1CA0" w14:textId="77777777" w:rsidR="00B6610E" w:rsidRDefault="00B6610E" w:rsidP="00B6610E">
            <w:pPr>
              <w:spacing w:before="0" w:after="0"/>
              <w:contextualSpacing/>
              <w:rPr>
                <w:sz w:val="18"/>
              </w:rPr>
            </w:pPr>
            <w:r w:rsidRPr="00D43387">
              <w:rPr>
                <w:sz w:val="18"/>
              </w:rPr>
              <w:t xml:space="preserve">3D </w:t>
            </w:r>
            <w:r>
              <w:rPr>
                <w:sz w:val="18"/>
              </w:rPr>
              <w:t>H</w:t>
            </w:r>
            <w:r w:rsidRPr="00D43387">
              <w:rPr>
                <w:sz w:val="18"/>
              </w:rPr>
              <w:t xml:space="preserve">uman </w:t>
            </w:r>
            <w:r>
              <w:rPr>
                <w:sz w:val="18"/>
              </w:rPr>
              <w:t>Liver</w:t>
            </w:r>
            <w:r w:rsidRPr="00D43387">
              <w:rPr>
                <w:sz w:val="18"/>
              </w:rPr>
              <w:t>-Chip model</w:t>
            </w:r>
          </w:p>
        </w:tc>
        <w:tc>
          <w:tcPr>
            <w:tcW w:w="1842" w:type="dxa"/>
            <w:tcBorders>
              <w:top w:val="single" w:sz="4" w:space="0" w:color="auto"/>
              <w:bottom w:val="single" w:sz="4" w:space="0" w:color="auto"/>
            </w:tcBorders>
            <w:shd w:val="clear" w:color="auto" w:fill="auto"/>
            <w:vAlign w:val="center"/>
          </w:tcPr>
          <w:p w14:paraId="4838E849" w14:textId="77777777" w:rsidR="00B6610E" w:rsidRDefault="00B6610E" w:rsidP="00B6610E">
            <w:pPr>
              <w:spacing w:before="0" w:after="0"/>
              <w:contextualSpacing/>
              <w:rPr>
                <w:sz w:val="18"/>
              </w:rPr>
            </w:pPr>
            <w:r w:rsidRPr="00D43387">
              <w:rPr>
                <w:sz w:val="18"/>
              </w:rPr>
              <w:t>10 days</w:t>
            </w:r>
          </w:p>
        </w:tc>
        <w:tc>
          <w:tcPr>
            <w:tcW w:w="1418" w:type="dxa"/>
            <w:tcBorders>
              <w:top w:val="single" w:sz="4" w:space="0" w:color="auto"/>
              <w:bottom w:val="single" w:sz="4" w:space="0" w:color="auto"/>
            </w:tcBorders>
            <w:shd w:val="clear" w:color="auto" w:fill="auto"/>
            <w:noWrap/>
            <w:vAlign w:val="center"/>
          </w:tcPr>
          <w:p w14:paraId="4A342145" w14:textId="77777777" w:rsidR="00B6610E" w:rsidRPr="009976E9" w:rsidRDefault="00B6610E" w:rsidP="00B6610E">
            <w:pPr>
              <w:spacing w:before="0" w:after="0"/>
              <w:contextualSpacing/>
              <w:rPr>
                <w:sz w:val="18"/>
              </w:rPr>
            </w:pPr>
            <w:r w:rsidRPr="00D43387">
              <w:rPr>
                <w:sz w:val="18"/>
              </w:rPr>
              <w:t>2.4</w:t>
            </w:r>
          </w:p>
        </w:tc>
        <w:tc>
          <w:tcPr>
            <w:tcW w:w="1984" w:type="dxa"/>
            <w:tcBorders>
              <w:top w:val="single" w:sz="4" w:space="0" w:color="auto"/>
              <w:bottom w:val="single" w:sz="4" w:space="0" w:color="auto"/>
            </w:tcBorders>
            <w:shd w:val="clear" w:color="auto" w:fill="auto"/>
            <w:noWrap/>
            <w:vAlign w:val="center"/>
          </w:tcPr>
          <w:p w14:paraId="4CED2B5B" w14:textId="77777777" w:rsidR="00B6610E" w:rsidRPr="0066331F" w:rsidRDefault="00B6610E" w:rsidP="00B6610E">
            <w:pPr>
              <w:spacing w:before="0" w:after="0"/>
              <w:contextualSpacing/>
              <w:rPr>
                <w:sz w:val="18"/>
              </w:rPr>
            </w:pPr>
            <w:r w:rsidRPr="00D43387">
              <w:rPr>
                <w:sz w:val="18"/>
              </w:rPr>
              <w:t>ATP Quantification</w:t>
            </w:r>
          </w:p>
        </w:tc>
        <w:tc>
          <w:tcPr>
            <w:tcW w:w="3687" w:type="dxa"/>
            <w:tcBorders>
              <w:top w:val="single" w:sz="4" w:space="0" w:color="auto"/>
              <w:bottom w:val="single" w:sz="4" w:space="0" w:color="auto"/>
            </w:tcBorders>
            <w:shd w:val="clear" w:color="auto" w:fill="auto"/>
            <w:vAlign w:val="center"/>
          </w:tcPr>
          <w:p w14:paraId="41A5335A" w14:textId="3C4C8012" w:rsidR="00B6610E" w:rsidRPr="007171D7" w:rsidRDefault="00B6610E" w:rsidP="00B6610E">
            <w:pPr>
              <w:spacing w:before="0" w:after="0"/>
              <w:contextualSpacing/>
              <w:rPr>
                <w:sz w:val="18"/>
                <w:lang w:val="pt-PT"/>
              </w:rPr>
            </w:pPr>
            <w:proofErr w:type="spellStart"/>
            <w:r w:rsidRPr="007171D7">
              <w:rPr>
                <w:sz w:val="18"/>
                <w:lang w:val="pt-PT"/>
              </w:rPr>
              <w:t>Metabolite</w:t>
            </w:r>
            <w:proofErr w:type="spellEnd"/>
            <w:r w:rsidRPr="007171D7">
              <w:rPr>
                <w:sz w:val="18"/>
                <w:lang w:val="pt-PT"/>
              </w:rPr>
              <w:t xml:space="preserve"> </w:t>
            </w:r>
            <w:proofErr w:type="spellStart"/>
            <w:r w:rsidRPr="007171D7">
              <w:rPr>
                <w:sz w:val="18"/>
                <w:lang w:val="pt-PT"/>
              </w:rPr>
              <w:t>quantification</w:t>
            </w:r>
            <w:proofErr w:type="spellEnd"/>
            <w:r w:rsidRPr="007171D7">
              <w:rPr>
                <w:sz w:val="18"/>
                <w:lang w:val="pt-PT"/>
              </w:rPr>
              <w:t xml:space="preserve"> | miR-122, </w:t>
            </w:r>
            <w:r w:rsidRPr="00D43387">
              <w:rPr>
                <w:sz w:val="18"/>
              </w:rPr>
              <w:t>α</w:t>
            </w:r>
            <w:r w:rsidRPr="007171D7">
              <w:rPr>
                <w:sz w:val="18"/>
                <w:lang w:val="pt-PT"/>
              </w:rPr>
              <w:t>-GST</w:t>
            </w:r>
          </w:p>
        </w:tc>
        <w:tc>
          <w:tcPr>
            <w:tcW w:w="1231" w:type="dxa"/>
            <w:tcBorders>
              <w:top w:val="single" w:sz="4" w:space="0" w:color="auto"/>
              <w:bottom w:val="single" w:sz="4" w:space="0" w:color="auto"/>
            </w:tcBorders>
            <w:shd w:val="clear" w:color="auto" w:fill="auto"/>
            <w:noWrap/>
            <w:vAlign w:val="center"/>
          </w:tcPr>
          <w:p w14:paraId="79AFCFBF" w14:textId="77777777" w:rsidR="00B6610E" w:rsidRPr="00D83073" w:rsidRDefault="00B6610E" w:rsidP="00B6610E">
            <w:pPr>
              <w:spacing w:before="0" w:after="0"/>
              <w:contextualSpacing/>
              <w:rPr>
                <w:sz w:val="18"/>
              </w:rPr>
            </w:pPr>
            <w:r w:rsidRPr="00D83073">
              <w:rPr>
                <w:sz w:val="18"/>
              </w:rPr>
              <w:fldChar w:fldCharType="begin" w:fldLock="1"/>
            </w:r>
            <w:r w:rsidRPr="00D83073">
              <w:rPr>
                <w:sz w:val="18"/>
              </w:rPr>
              <w:instrText>ADDIN CSL_CITATION {"citationItems":[{"id":"ITEM-1","itemData":{"DOI":"10.1007/s00204-019-02427-4","ISSN":"14320738","abstract":"Drug-induced liver injury remains a frequent reason for drug withdrawal. Accordingly, more predictive and translational models are required to assess human hepatotoxicity risk. This study presents a comprehensive evaluation of two promising models to assess mechanistic hepatotoxicity, microengineered Organ-Chips and 3D hepatic spheroids, which have enhanced liver phenotype, metabolic activity and stability in culture not attainable with conventional 2D models. Sensitivity of the models to two hepatotoxins, acetaminophen (APAP) and fialuridine (FIAU), was assessed across a range of cytotoxicity biomarkers (ATP, albumin, miR-122, α-GST) as well as their metabolic functionality by quantifying APAP, FIAU and CYP probe substrate metabolites. APAP and FIAU produced dose- and time-dependent increases in miR-122 and α-GST release as well as decreases in albumin secretion in both Liver-Chips and hepatic spheroids. Metabolic turnover of CYP probe substrates, APAP and FIAU, was maintained over the 10-day exposure period at concentrations where no cytotoxicity was detected and APAP turnover decreased at concentrations where cytotoxicity was detected. With APAP, the most sensitive biomarkers were albumin in the Liver-Chips (EC 50 5.6 mM, day 1) and miR-122 and ATP in the liver spheroids (14-fold and EC 50 2.9 mM, respectively, day 3). With FIAU, the most sensitive biomarkers were albumin in the Liver-Chip (EC 50 126 µM) and miR-122 (15-fold) in the liver spheroids, both on day 7. In conclusion, both models exhibited integrated toxicity and metabolism, and broadly similar sensitivity to the hepatotoxicants at relevant clinical concentrations, demonstrating the utility of these models for improved hepatotoxicity risk assessment.","author":[{"dropping-particle":"","family":"Foster","given":"Alison J.","non-dropping-particle":"","parse-names":false,"suffix":""},{"dropping-particle":"","family":"Chouhan","given":"Bhavik","non-dropping-particle":"","parse-names":false,"suffix":""},{"dropping-particle":"","family":"Regan","given":"Sophie L.","non-dropping-particle":"","parse-names":false,"suffix":""},{"dropping-particle":"","family":"Rollison","given":"Helen","non-dropping-particle":"","parse-names":false,"suffix":""},{"dropping-particle":"","family":"Amberntsson","given":"Sara","non-dropping-particle":"","parse-names":false,"suffix":""},{"dropping-particle":"","family":"Andersson","given":"Linda C.","non-dropping-particle":"","parse-names":false,"suffix":""},{"dropping-particle":"","family":"Srivastava","given":"Abhishek","non-dropping-particle":"","parse-names":false,"suffix":""},{"dropping-particle":"","family":"Darnell","given":"Malin","non-dropping-particle":"","parse-names":false,"suffix":""},{"dropping-particle":"","family":"Cairns","given":"Jonathan","non-dropping-particle":"","parse-names":false,"suffix":""},{"dropping-particle":"","family":"Lazic","given":"Stanley E.","non-dropping-particle":"","parse-names":false,"suffix":""},{"dropping-particle":"","family":"Jang","given":"Kyung Jin","non-dropping-particle":"","parse-names":false,"suffix":""},{"dropping-particle":"","family":"Petropolis","given":"Debora B.","non-dropping-particle":"","parse-names":false,"suffix":""},{"dropping-particle":"","family":"Kodella","given":"Konstantia","non-dropping-particle":"","parse-names":false,"suffix":""},{"dropping-particle":"","family":"Rubins","given":"Jonathan E.","non-dropping-particle":"","parse-names":false,"suffix":""},{"dropping-particle":"","family":"Williams","given":"Dominic","non-dropping-particle":"","parse-names":false,"suffix":""},{"dropping-particle":"","family":"Hamilton","given":"Geraldine A.","non-dropping-particle":"","parse-names":false,"suffix":""},{"dropping-particle":"","family":"Ewart","given":"Lorna","non-dropping-particle":"","parse-names":false,"suffix":""},{"dropping-particle":"","family":"Morgan","given":"Paul","non-dropping-particle":"","parse-names":false,"suffix":""}],"container-title":"Archives of Toxicology","id":"ITEM-1","issued":{"date-parts":[["2019"]]},"page":"1021-1037","title":"Integrated in vitro models for hepatic safety and metabolism: evaluation of a human Liver-Chip and liver spheroid","type":"article-journal","volume":"93"},"uris":["http://www.mendeley.com/documents/?uuid=b54243b6-44dc-48b8-95aa-cc15b306c240","http://www.mendeley.com/documents/?uuid=bb95f1b9-0ee1-4ff1-bc0f-67bceef709b2"]}],"mendeley":{"formattedCitation":"(Foster et al., 2019)","plainTextFormattedCitation":"(Foster et al., 2019)","previouslyFormattedCitation":"(Foster et al., 2019)"},"properties":{"noteIndex":0},"schema":"https://github.com/citation-style-language/schema/raw/master/csl-citation.json"}</w:instrText>
            </w:r>
            <w:r w:rsidRPr="00D83073">
              <w:rPr>
                <w:sz w:val="18"/>
              </w:rPr>
              <w:fldChar w:fldCharType="separate"/>
            </w:r>
            <w:r w:rsidRPr="00D83073">
              <w:rPr>
                <w:noProof/>
                <w:sz w:val="18"/>
              </w:rPr>
              <w:t>(Foster et al., 2019)</w:t>
            </w:r>
            <w:r w:rsidRPr="00D83073">
              <w:rPr>
                <w:sz w:val="18"/>
              </w:rPr>
              <w:fldChar w:fldCharType="end"/>
            </w:r>
          </w:p>
        </w:tc>
      </w:tr>
    </w:tbl>
    <w:p w14:paraId="210FB078" w14:textId="6E0A5345" w:rsidR="00D05DBA" w:rsidRDefault="00D05DBA" w:rsidP="00D11EE4">
      <w:pPr>
        <w:pStyle w:val="Footnotes"/>
        <w:spacing w:line="240" w:lineRule="auto"/>
        <w:ind w:left="-709" w:firstLine="0"/>
        <w:jc w:val="both"/>
        <w:rPr>
          <w:sz w:val="18"/>
        </w:rPr>
      </w:pPr>
      <w:r>
        <w:rPr>
          <w:sz w:val="18"/>
          <w:szCs w:val="18"/>
        </w:rPr>
        <w:t>A</w:t>
      </w:r>
      <w:r w:rsidRPr="00D05DBA">
        <w:rPr>
          <w:sz w:val="18"/>
          <w:szCs w:val="18"/>
        </w:rPr>
        <w:t>BC</w:t>
      </w:r>
      <w:r>
        <w:rPr>
          <w:sz w:val="18"/>
          <w:szCs w:val="18"/>
        </w:rPr>
        <w:t xml:space="preserve">, </w:t>
      </w:r>
      <w:r w:rsidR="008B1962" w:rsidRPr="008B1962">
        <w:rPr>
          <w:sz w:val="18"/>
          <w:szCs w:val="18"/>
        </w:rPr>
        <w:t>ATP Binding Cassette</w:t>
      </w:r>
      <w:r>
        <w:rPr>
          <w:sz w:val="18"/>
          <w:szCs w:val="18"/>
        </w:rPr>
        <w:t>; Ca</w:t>
      </w:r>
      <w:r w:rsidRPr="00093B64">
        <w:rPr>
          <w:sz w:val="18"/>
          <w:szCs w:val="18"/>
          <w:vertAlign w:val="superscript"/>
        </w:rPr>
        <w:t>2+</w:t>
      </w:r>
      <w:r>
        <w:rPr>
          <w:sz w:val="18"/>
          <w:szCs w:val="18"/>
        </w:rPr>
        <w:t xml:space="preserve">, calcium; </w:t>
      </w:r>
      <w:proofErr w:type="spellStart"/>
      <w:r>
        <w:rPr>
          <w:sz w:val="18"/>
          <w:szCs w:val="18"/>
        </w:rPr>
        <w:t>c</w:t>
      </w:r>
      <w:r w:rsidRPr="003C6553">
        <w:rPr>
          <w:sz w:val="18"/>
          <w:szCs w:val="18"/>
        </w:rPr>
        <w:t>ryo</w:t>
      </w:r>
      <w:proofErr w:type="spellEnd"/>
      <w:r>
        <w:rPr>
          <w:sz w:val="18"/>
          <w:szCs w:val="18"/>
        </w:rPr>
        <w:t>,</w:t>
      </w:r>
      <w:r w:rsidRPr="003C6553">
        <w:rPr>
          <w:sz w:val="18"/>
          <w:szCs w:val="18"/>
        </w:rPr>
        <w:t xml:space="preserve"> cryopreserved;</w:t>
      </w:r>
      <w:r>
        <w:rPr>
          <w:sz w:val="18"/>
          <w:szCs w:val="18"/>
        </w:rPr>
        <w:t xml:space="preserve"> </w:t>
      </w:r>
      <w:r w:rsidRPr="00751D0D">
        <w:rPr>
          <w:sz w:val="18"/>
          <w:szCs w:val="18"/>
        </w:rPr>
        <w:t xml:space="preserve">CYP, </w:t>
      </w:r>
      <w:r>
        <w:rPr>
          <w:sz w:val="18"/>
          <w:szCs w:val="18"/>
        </w:rPr>
        <w:t>c</w:t>
      </w:r>
      <w:r w:rsidRPr="00751D0D">
        <w:rPr>
          <w:sz w:val="18"/>
          <w:szCs w:val="18"/>
        </w:rPr>
        <w:t>ytochrome P450;</w:t>
      </w:r>
      <w:r>
        <w:rPr>
          <w:sz w:val="18"/>
          <w:szCs w:val="18"/>
        </w:rPr>
        <w:t xml:space="preserve"> </w:t>
      </w:r>
      <w:r w:rsidR="008B1962" w:rsidRPr="008B1962">
        <w:rPr>
          <w:sz w:val="18"/>
          <w:szCs w:val="18"/>
        </w:rPr>
        <w:t>ECAR, extracellular acidification rates</w:t>
      </w:r>
      <w:r w:rsidR="008B1962">
        <w:rPr>
          <w:sz w:val="18"/>
          <w:szCs w:val="18"/>
        </w:rPr>
        <w:t xml:space="preserve">; </w:t>
      </w:r>
      <w:r>
        <w:rPr>
          <w:sz w:val="18"/>
          <w:szCs w:val="18"/>
        </w:rPr>
        <w:t xml:space="preserve">GSH, </w:t>
      </w:r>
      <w:r w:rsidRPr="00093B64">
        <w:rPr>
          <w:sz w:val="18"/>
          <w:szCs w:val="18"/>
        </w:rPr>
        <w:t>glutathione</w:t>
      </w:r>
      <w:r>
        <w:rPr>
          <w:sz w:val="18"/>
          <w:szCs w:val="18"/>
        </w:rPr>
        <w:t>;</w:t>
      </w:r>
      <w:r w:rsidRPr="003C6553">
        <w:rPr>
          <w:sz w:val="18"/>
          <w:szCs w:val="18"/>
        </w:rPr>
        <w:t xml:space="preserve"> </w:t>
      </w:r>
      <w:r w:rsidRPr="00D05DBA">
        <w:rPr>
          <w:sz w:val="18"/>
          <w:szCs w:val="18"/>
        </w:rPr>
        <w:t>GST</w:t>
      </w:r>
      <w:r>
        <w:rPr>
          <w:sz w:val="18"/>
          <w:szCs w:val="18"/>
        </w:rPr>
        <w:t xml:space="preserve">, </w:t>
      </w:r>
      <w:r w:rsidR="00FC6290">
        <w:rPr>
          <w:sz w:val="18"/>
          <w:szCs w:val="18"/>
        </w:rPr>
        <w:t>g</w:t>
      </w:r>
      <w:r w:rsidR="00FC6290" w:rsidRPr="00FC6290">
        <w:rPr>
          <w:sz w:val="18"/>
          <w:szCs w:val="18"/>
        </w:rPr>
        <w:t>lutathione S-</w:t>
      </w:r>
      <w:r w:rsidR="00FC6290">
        <w:rPr>
          <w:sz w:val="18"/>
          <w:szCs w:val="18"/>
        </w:rPr>
        <w:t>t</w:t>
      </w:r>
      <w:r w:rsidR="00FC6290" w:rsidRPr="00FC6290">
        <w:rPr>
          <w:sz w:val="18"/>
          <w:szCs w:val="18"/>
        </w:rPr>
        <w:t>ransferase</w:t>
      </w:r>
      <w:r>
        <w:rPr>
          <w:sz w:val="18"/>
          <w:szCs w:val="18"/>
        </w:rPr>
        <w:t xml:space="preserve">; </w:t>
      </w:r>
      <w:r w:rsidRPr="003C6553">
        <w:rPr>
          <w:sz w:val="18"/>
          <w:szCs w:val="18"/>
        </w:rPr>
        <w:t>HepG2, HepG2</w:t>
      </w:r>
      <w:r>
        <w:rPr>
          <w:sz w:val="18"/>
          <w:szCs w:val="18"/>
        </w:rPr>
        <w:t>/</w:t>
      </w:r>
      <w:r w:rsidRPr="003C6553">
        <w:rPr>
          <w:sz w:val="18"/>
          <w:szCs w:val="18"/>
        </w:rPr>
        <w:t xml:space="preserve">C3A, </w:t>
      </w:r>
      <w:proofErr w:type="spellStart"/>
      <w:r w:rsidR="00CA7D54">
        <w:rPr>
          <w:sz w:val="18"/>
          <w:szCs w:val="18"/>
        </w:rPr>
        <w:t>F</w:t>
      </w:r>
      <w:r w:rsidRPr="003C6553">
        <w:rPr>
          <w:sz w:val="18"/>
          <w:szCs w:val="18"/>
        </w:rPr>
        <w:t>aO</w:t>
      </w:r>
      <w:proofErr w:type="spellEnd"/>
      <w:r w:rsidRPr="003C6553">
        <w:rPr>
          <w:sz w:val="18"/>
          <w:szCs w:val="18"/>
        </w:rPr>
        <w:t>, Huh7, HCCT-T</w:t>
      </w:r>
      <w:r>
        <w:rPr>
          <w:sz w:val="18"/>
          <w:szCs w:val="18"/>
        </w:rPr>
        <w:t>,</w:t>
      </w:r>
      <w:r w:rsidRPr="003C6553">
        <w:rPr>
          <w:sz w:val="18"/>
          <w:szCs w:val="18"/>
        </w:rPr>
        <w:t xml:space="preserve"> hepatic cell lines; </w:t>
      </w:r>
      <w:proofErr w:type="spellStart"/>
      <w:r w:rsidRPr="003C6553">
        <w:rPr>
          <w:sz w:val="18"/>
          <w:szCs w:val="18"/>
        </w:rPr>
        <w:t>hESC</w:t>
      </w:r>
      <w:proofErr w:type="spellEnd"/>
      <w:r>
        <w:rPr>
          <w:sz w:val="18"/>
          <w:szCs w:val="18"/>
        </w:rPr>
        <w:t>,</w:t>
      </w:r>
      <w:r w:rsidRPr="003C6553">
        <w:rPr>
          <w:sz w:val="18"/>
          <w:szCs w:val="18"/>
        </w:rPr>
        <w:t xml:space="preserve"> human embryonic stem cells</w:t>
      </w:r>
      <w:r>
        <w:rPr>
          <w:sz w:val="18"/>
          <w:szCs w:val="18"/>
        </w:rPr>
        <w:t xml:space="preserve">; </w:t>
      </w:r>
      <w:r w:rsidRPr="003C6553">
        <w:rPr>
          <w:sz w:val="18"/>
          <w:szCs w:val="18"/>
        </w:rPr>
        <w:t>HLC</w:t>
      </w:r>
      <w:r>
        <w:rPr>
          <w:sz w:val="18"/>
          <w:szCs w:val="18"/>
        </w:rPr>
        <w:t>,</w:t>
      </w:r>
      <w:r w:rsidRPr="003C6553">
        <w:rPr>
          <w:sz w:val="18"/>
          <w:szCs w:val="18"/>
        </w:rPr>
        <w:t xml:space="preserve"> </w:t>
      </w:r>
      <w:r>
        <w:rPr>
          <w:sz w:val="18"/>
          <w:szCs w:val="18"/>
        </w:rPr>
        <w:t>h</w:t>
      </w:r>
      <w:r w:rsidRPr="003C6553">
        <w:rPr>
          <w:sz w:val="18"/>
          <w:szCs w:val="18"/>
        </w:rPr>
        <w:t xml:space="preserve">epatocyte-like cells (stem cell derived); </w:t>
      </w:r>
      <w:r w:rsidRPr="00D05DBA">
        <w:rPr>
          <w:sz w:val="18"/>
          <w:szCs w:val="18"/>
        </w:rPr>
        <w:t>HMGB</w:t>
      </w:r>
      <w:r>
        <w:rPr>
          <w:sz w:val="18"/>
          <w:szCs w:val="18"/>
        </w:rPr>
        <w:t xml:space="preserve">, </w:t>
      </w:r>
      <w:r w:rsidR="008B1962">
        <w:rPr>
          <w:sz w:val="18"/>
          <w:szCs w:val="18"/>
        </w:rPr>
        <w:t>h</w:t>
      </w:r>
      <w:r w:rsidR="008B1962" w:rsidRPr="008B1962">
        <w:rPr>
          <w:sz w:val="18"/>
          <w:szCs w:val="18"/>
        </w:rPr>
        <w:t>igh mobility group box</w:t>
      </w:r>
      <w:r>
        <w:rPr>
          <w:sz w:val="18"/>
          <w:szCs w:val="18"/>
        </w:rPr>
        <w:t xml:space="preserve">; </w:t>
      </w:r>
      <w:proofErr w:type="spellStart"/>
      <w:r w:rsidRPr="003C6553">
        <w:rPr>
          <w:sz w:val="18"/>
          <w:szCs w:val="18"/>
        </w:rPr>
        <w:t>hnMSC</w:t>
      </w:r>
      <w:proofErr w:type="spellEnd"/>
      <w:r>
        <w:rPr>
          <w:sz w:val="18"/>
          <w:szCs w:val="18"/>
        </w:rPr>
        <w:t>,</w:t>
      </w:r>
      <w:r w:rsidRPr="003C6553">
        <w:rPr>
          <w:sz w:val="18"/>
          <w:szCs w:val="18"/>
        </w:rPr>
        <w:t xml:space="preserve"> human neonatal mesenchymal stem cells; </w:t>
      </w:r>
      <w:proofErr w:type="spellStart"/>
      <w:r w:rsidRPr="003C6553">
        <w:rPr>
          <w:sz w:val="18"/>
          <w:szCs w:val="18"/>
        </w:rPr>
        <w:t>hpHep</w:t>
      </w:r>
      <w:proofErr w:type="spellEnd"/>
      <w:r>
        <w:rPr>
          <w:sz w:val="18"/>
          <w:szCs w:val="18"/>
        </w:rPr>
        <w:t>,</w:t>
      </w:r>
      <w:r w:rsidRPr="003C6553">
        <w:rPr>
          <w:sz w:val="18"/>
          <w:szCs w:val="18"/>
        </w:rPr>
        <w:t xml:space="preserve"> human primary hepatocytes; </w:t>
      </w:r>
      <w:r>
        <w:rPr>
          <w:sz w:val="18"/>
          <w:szCs w:val="18"/>
        </w:rPr>
        <w:t xml:space="preserve">KC, Kupffer cells; MDA, </w:t>
      </w:r>
      <w:r w:rsidR="008B1962">
        <w:rPr>
          <w:sz w:val="18"/>
          <w:szCs w:val="18"/>
        </w:rPr>
        <w:t>m</w:t>
      </w:r>
      <w:r w:rsidR="008B1962" w:rsidRPr="008B1962">
        <w:rPr>
          <w:sz w:val="18"/>
          <w:szCs w:val="18"/>
        </w:rPr>
        <w:t>alondialdehyde</w:t>
      </w:r>
      <w:r>
        <w:rPr>
          <w:sz w:val="18"/>
          <w:szCs w:val="18"/>
        </w:rPr>
        <w:t xml:space="preserve">; </w:t>
      </w:r>
      <w:proofErr w:type="spellStart"/>
      <w:r>
        <w:rPr>
          <w:sz w:val="18"/>
          <w:szCs w:val="18"/>
        </w:rPr>
        <w:t>miR</w:t>
      </w:r>
      <w:proofErr w:type="spellEnd"/>
      <w:r>
        <w:rPr>
          <w:sz w:val="18"/>
          <w:szCs w:val="18"/>
        </w:rPr>
        <w:t xml:space="preserve">, </w:t>
      </w:r>
      <w:r w:rsidR="008B1962" w:rsidRPr="008B1962">
        <w:rPr>
          <w:sz w:val="18"/>
          <w:szCs w:val="18"/>
        </w:rPr>
        <w:t>microRNA</w:t>
      </w:r>
      <w:r>
        <w:rPr>
          <w:sz w:val="18"/>
          <w:szCs w:val="18"/>
        </w:rPr>
        <w:t>;</w:t>
      </w:r>
      <w:r w:rsidRPr="00D05DBA">
        <w:t xml:space="preserve"> </w:t>
      </w:r>
      <w:r w:rsidRPr="00D05DBA">
        <w:rPr>
          <w:sz w:val="18"/>
          <w:szCs w:val="18"/>
        </w:rPr>
        <w:t>MMP</w:t>
      </w:r>
      <w:r>
        <w:rPr>
          <w:sz w:val="18"/>
          <w:szCs w:val="18"/>
        </w:rPr>
        <w:t xml:space="preserve">, </w:t>
      </w:r>
      <w:r w:rsidR="008B1962" w:rsidRPr="008B1962">
        <w:rPr>
          <w:sz w:val="18"/>
          <w:szCs w:val="18"/>
        </w:rPr>
        <w:t>mitochondrial membrane potential</w:t>
      </w:r>
      <w:r w:rsidR="008B1962">
        <w:rPr>
          <w:sz w:val="18"/>
          <w:szCs w:val="18"/>
        </w:rPr>
        <w:t>;</w:t>
      </w:r>
      <w:r w:rsidR="008B1962" w:rsidRPr="008B1962">
        <w:rPr>
          <w:sz w:val="18"/>
          <w:szCs w:val="18"/>
        </w:rPr>
        <w:t xml:space="preserve"> </w:t>
      </w:r>
      <w:r w:rsidRPr="00D05DBA">
        <w:rPr>
          <w:sz w:val="18"/>
          <w:szCs w:val="18"/>
        </w:rPr>
        <w:t>MRP</w:t>
      </w:r>
      <w:r>
        <w:rPr>
          <w:sz w:val="18"/>
          <w:szCs w:val="18"/>
        </w:rPr>
        <w:t xml:space="preserve">, </w:t>
      </w:r>
      <w:r w:rsidR="008B1962">
        <w:rPr>
          <w:sz w:val="18"/>
          <w:szCs w:val="18"/>
        </w:rPr>
        <w:t>m</w:t>
      </w:r>
      <w:r w:rsidR="008B1962" w:rsidRPr="008B1962">
        <w:rPr>
          <w:sz w:val="18"/>
          <w:szCs w:val="18"/>
        </w:rPr>
        <w:t xml:space="preserve">ultidrug resistance-associated </w:t>
      </w:r>
      <w:r w:rsidR="008B1962">
        <w:rPr>
          <w:sz w:val="18"/>
          <w:szCs w:val="18"/>
        </w:rPr>
        <w:t xml:space="preserve">protein; </w:t>
      </w:r>
      <w:r>
        <w:rPr>
          <w:sz w:val="18"/>
        </w:rPr>
        <w:t xml:space="preserve">NA, </w:t>
      </w:r>
      <w:r w:rsidRPr="005D0A72">
        <w:rPr>
          <w:sz w:val="18"/>
        </w:rPr>
        <w:t>not applicable</w:t>
      </w:r>
      <w:r>
        <w:rPr>
          <w:sz w:val="18"/>
        </w:rPr>
        <w:t>;</w:t>
      </w:r>
      <w:r w:rsidRPr="00496FC3">
        <w:rPr>
          <w:sz w:val="18"/>
        </w:rPr>
        <w:t xml:space="preserve"> </w:t>
      </w:r>
      <w:r>
        <w:rPr>
          <w:sz w:val="18"/>
        </w:rPr>
        <w:t xml:space="preserve">NAPQI, </w:t>
      </w:r>
      <w:r w:rsidR="008B1962" w:rsidRPr="008B1962">
        <w:rPr>
          <w:i/>
          <w:iCs/>
          <w:sz w:val="18"/>
        </w:rPr>
        <w:t>N</w:t>
      </w:r>
      <w:r w:rsidR="008B1962" w:rsidRPr="008B1962">
        <w:rPr>
          <w:sz w:val="18"/>
        </w:rPr>
        <w:t>-acetyl-</w:t>
      </w:r>
      <w:r w:rsidR="008B1962" w:rsidRPr="008B1962">
        <w:rPr>
          <w:i/>
          <w:iCs/>
          <w:sz w:val="18"/>
        </w:rPr>
        <w:t>p</w:t>
      </w:r>
      <w:r w:rsidR="008B1962" w:rsidRPr="008B1962">
        <w:rPr>
          <w:sz w:val="18"/>
        </w:rPr>
        <w:t>-benzoquinone imine</w:t>
      </w:r>
      <w:r>
        <w:rPr>
          <w:sz w:val="18"/>
        </w:rPr>
        <w:t xml:space="preserve">; NPC, </w:t>
      </w:r>
      <w:r w:rsidRPr="00C02A0B">
        <w:rPr>
          <w:sz w:val="18"/>
        </w:rPr>
        <w:t>primary human non-parenchymal cells</w:t>
      </w:r>
      <w:r>
        <w:rPr>
          <w:sz w:val="18"/>
        </w:rPr>
        <w:t>;</w:t>
      </w:r>
      <w:r w:rsidR="002C11DB">
        <w:rPr>
          <w:sz w:val="18"/>
        </w:rPr>
        <w:t xml:space="preserve"> OATP,</w:t>
      </w:r>
      <w:r>
        <w:rPr>
          <w:sz w:val="18"/>
        </w:rPr>
        <w:t xml:space="preserve"> </w:t>
      </w:r>
      <w:r w:rsidR="002C11DB" w:rsidRPr="002C11DB">
        <w:rPr>
          <w:sz w:val="18"/>
        </w:rPr>
        <w:t>organic-anion-transporting polypeptides</w:t>
      </w:r>
      <w:r w:rsidR="002C11DB">
        <w:rPr>
          <w:sz w:val="18"/>
        </w:rPr>
        <w:t>;</w:t>
      </w:r>
      <w:r w:rsidR="002C11DB" w:rsidRPr="002C11DB">
        <w:rPr>
          <w:sz w:val="18"/>
        </w:rPr>
        <w:t xml:space="preserve"> </w:t>
      </w:r>
      <w:r>
        <w:rPr>
          <w:sz w:val="18"/>
        </w:rPr>
        <w:t xml:space="preserve">OCR, </w:t>
      </w:r>
      <w:r w:rsidRPr="00B36A23">
        <w:rPr>
          <w:sz w:val="18"/>
        </w:rPr>
        <w:t>oxygen consumption rate</w:t>
      </w:r>
      <w:r>
        <w:rPr>
          <w:sz w:val="18"/>
        </w:rPr>
        <w:t xml:space="preserve">; </w:t>
      </w:r>
      <w:r w:rsidRPr="00D05DBA">
        <w:rPr>
          <w:sz w:val="18"/>
        </w:rPr>
        <w:t>ROS</w:t>
      </w:r>
      <w:r>
        <w:rPr>
          <w:sz w:val="18"/>
        </w:rPr>
        <w:t xml:space="preserve">, </w:t>
      </w:r>
      <w:r w:rsidR="008B1962">
        <w:rPr>
          <w:sz w:val="18"/>
        </w:rPr>
        <w:t>r</w:t>
      </w:r>
      <w:r w:rsidR="008B1962" w:rsidRPr="008B1962">
        <w:rPr>
          <w:sz w:val="18"/>
        </w:rPr>
        <w:t>eactive oxygen species</w:t>
      </w:r>
      <w:r>
        <w:rPr>
          <w:sz w:val="18"/>
        </w:rPr>
        <w:t xml:space="preserve">; </w:t>
      </w:r>
      <w:proofErr w:type="spellStart"/>
      <w:r w:rsidRPr="003C6553">
        <w:rPr>
          <w:sz w:val="18"/>
          <w:szCs w:val="18"/>
        </w:rPr>
        <w:t>rpHep</w:t>
      </w:r>
      <w:proofErr w:type="spellEnd"/>
      <w:r>
        <w:rPr>
          <w:sz w:val="18"/>
          <w:szCs w:val="18"/>
        </w:rPr>
        <w:t>,</w:t>
      </w:r>
      <w:r w:rsidRPr="003C6553">
        <w:rPr>
          <w:sz w:val="18"/>
          <w:szCs w:val="18"/>
        </w:rPr>
        <w:t xml:space="preserve"> rat primary hepatocytes; </w:t>
      </w:r>
      <w:r w:rsidRPr="006E420C">
        <w:rPr>
          <w:sz w:val="18"/>
        </w:rPr>
        <w:t>SCSIT</w:t>
      </w:r>
      <w:r>
        <w:rPr>
          <w:sz w:val="18"/>
        </w:rPr>
        <w:t>, c</w:t>
      </w:r>
      <w:r w:rsidRPr="006E420C">
        <w:rPr>
          <w:sz w:val="18"/>
        </w:rPr>
        <w:t>ell</w:t>
      </w:r>
      <w:r>
        <w:rPr>
          <w:sz w:val="18"/>
        </w:rPr>
        <w:t xml:space="preserve"> </w:t>
      </w:r>
      <w:r w:rsidRPr="006E420C">
        <w:rPr>
          <w:sz w:val="18"/>
        </w:rPr>
        <w:t>spreading inhibition test</w:t>
      </w:r>
      <w:r>
        <w:rPr>
          <w:sz w:val="18"/>
        </w:rPr>
        <w:t>; UGT,</w:t>
      </w:r>
      <w:r w:rsidR="002C11DB">
        <w:rPr>
          <w:sz w:val="18"/>
        </w:rPr>
        <w:t xml:space="preserve"> </w:t>
      </w:r>
      <w:r w:rsidR="002C11DB" w:rsidRPr="002C11DB">
        <w:rPr>
          <w:sz w:val="18"/>
        </w:rPr>
        <w:t>UDP-glucuronosyltransferase</w:t>
      </w:r>
      <w:r>
        <w:rPr>
          <w:sz w:val="18"/>
        </w:rPr>
        <w:t>.</w:t>
      </w:r>
    </w:p>
    <w:p w14:paraId="2890124B" w14:textId="1300CEF1" w:rsidR="000456AD" w:rsidRDefault="001017A1" w:rsidP="00D11EE4">
      <w:pPr>
        <w:pStyle w:val="Footnotes"/>
        <w:spacing w:line="240" w:lineRule="auto"/>
        <w:ind w:left="-709" w:firstLine="0"/>
        <w:jc w:val="both"/>
        <w:rPr>
          <w:sz w:val="18"/>
        </w:rPr>
      </w:pPr>
      <w:r w:rsidRPr="00496FC3">
        <w:rPr>
          <w:sz w:val="18"/>
        </w:rPr>
        <w:t>* in these reports, no IC</w:t>
      </w:r>
      <w:r w:rsidRPr="00496FC3">
        <w:rPr>
          <w:sz w:val="18"/>
          <w:vertAlign w:val="subscript"/>
        </w:rPr>
        <w:t xml:space="preserve">50 </w:t>
      </w:r>
      <w:r w:rsidRPr="00496FC3">
        <w:rPr>
          <w:sz w:val="18"/>
        </w:rPr>
        <w:t>was calculated and the values presented correspond to the concentration levels (</w:t>
      </w:r>
      <w:r>
        <w:rPr>
          <w:sz w:val="18"/>
        </w:rPr>
        <w:t>m</w:t>
      </w:r>
      <w:r w:rsidRPr="00496FC3">
        <w:rPr>
          <w:sz w:val="18"/>
        </w:rPr>
        <w:t>M) in which toxicity was observed.</w:t>
      </w:r>
    </w:p>
    <w:p w14:paraId="2AC5191D" w14:textId="77777777" w:rsidR="000456AD" w:rsidRPr="00496FC3" w:rsidRDefault="000456AD" w:rsidP="001017A1">
      <w:pPr>
        <w:pStyle w:val="Footnotes"/>
        <w:spacing w:line="240" w:lineRule="auto"/>
        <w:ind w:left="0" w:firstLine="0"/>
        <w:jc w:val="both"/>
        <w:rPr>
          <w:sz w:val="18"/>
        </w:rPr>
      </w:pPr>
    </w:p>
    <w:p w14:paraId="75A8383A" w14:textId="5E0120B1" w:rsidR="00CA7D54" w:rsidRPr="00CA7D54" w:rsidRDefault="00CA7D54" w:rsidP="00885CC0">
      <w:pPr>
        <w:spacing w:before="0" w:after="200" w:line="276" w:lineRule="auto"/>
        <w:rPr>
          <w:sz w:val="18"/>
          <w:szCs w:val="18"/>
        </w:rPr>
      </w:pPr>
    </w:p>
    <w:sectPr w:rsidR="00CA7D54" w:rsidRPr="00CA7D54" w:rsidSect="003C0CCD">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E6DF" w14:textId="77777777" w:rsidR="004464DC" w:rsidRDefault="004464DC" w:rsidP="00117666">
      <w:pPr>
        <w:spacing w:after="0"/>
      </w:pPr>
      <w:r>
        <w:separator/>
      </w:r>
    </w:p>
  </w:endnote>
  <w:endnote w:type="continuationSeparator" w:id="0">
    <w:p w14:paraId="25CA14C4" w14:textId="77777777" w:rsidR="004464DC" w:rsidRDefault="004464D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050F87" w:rsidRPr="00577C4C" w:rsidRDefault="00050F87">
    <w:pPr>
      <w:rPr>
        <w:color w:val="C00000"/>
        <w:szCs w:val="24"/>
      </w:rPr>
    </w:pPr>
    <w:r>
      <w:rPr>
        <w:noProof/>
        <w:lang w:val="pt-PT" w:eastAsia="pt-PT"/>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2335BA7" w:rsidR="00050F87" w:rsidRPr="00577C4C" w:rsidRDefault="00050F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2335BA7" w:rsidR="00050F87" w:rsidRPr="00577C4C" w:rsidRDefault="00050F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050F87" w:rsidRPr="00577C4C" w:rsidRDefault="00050F87">
    <w:pPr>
      <w:rPr>
        <w:b/>
        <w:sz w:val="20"/>
        <w:szCs w:val="24"/>
      </w:rPr>
    </w:pPr>
    <w:r>
      <w:rPr>
        <w:noProof/>
        <w:lang w:val="pt-PT" w:eastAsia="pt-PT"/>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590C0DE" w:rsidR="00050F87" w:rsidRPr="00577C4C" w:rsidRDefault="00050F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5590C0DE" w:rsidR="00050F87" w:rsidRPr="00577C4C" w:rsidRDefault="00050F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C121" w14:textId="77777777" w:rsidR="004464DC" w:rsidRDefault="004464DC" w:rsidP="00117666">
      <w:pPr>
        <w:spacing w:after="0"/>
      </w:pPr>
      <w:r>
        <w:separator/>
      </w:r>
    </w:p>
  </w:footnote>
  <w:footnote w:type="continuationSeparator" w:id="0">
    <w:p w14:paraId="65F11DDA" w14:textId="77777777" w:rsidR="004464DC" w:rsidRDefault="004464D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050F87" w:rsidRPr="009151AA" w:rsidRDefault="00050F8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050F87" w:rsidRDefault="00050F87" w:rsidP="0093429D">
    <w:r w:rsidRPr="005A1D84">
      <w:rPr>
        <w:b/>
        <w:noProof/>
        <w:color w:val="A6A6A6" w:themeColor="background1" w:themeShade="A6"/>
        <w:lang w:val="pt-PT" w:eastAsia="pt-PT"/>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531"/>
    <w:multiLevelType w:val="hybridMultilevel"/>
    <w:tmpl w:val="216EF45A"/>
    <w:lvl w:ilvl="0" w:tplc="2DB00EE0">
      <w:start w:val="34"/>
      <w:numFmt w:val="bullet"/>
      <w:lvlText w:val=""/>
      <w:lvlJc w:val="left"/>
      <w:pPr>
        <w:ind w:left="720" w:hanging="360"/>
      </w:pPr>
      <w:rPr>
        <w:rFonts w:ascii="Wingdings" w:eastAsia="Times New Roman" w:hAnsi="Wingding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5"/>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0735C"/>
    <w:rsid w:val="00007CB5"/>
    <w:rsid w:val="0001436A"/>
    <w:rsid w:val="00020976"/>
    <w:rsid w:val="000268A6"/>
    <w:rsid w:val="00034304"/>
    <w:rsid w:val="00035434"/>
    <w:rsid w:val="000456AD"/>
    <w:rsid w:val="00050F87"/>
    <w:rsid w:val="00052A14"/>
    <w:rsid w:val="000620AB"/>
    <w:rsid w:val="00064E01"/>
    <w:rsid w:val="0006576F"/>
    <w:rsid w:val="00077884"/>
    <w:rsid w:val="00077D53"/>
    <w:rsid w:val="000B11CC"/>
    <w:rsid w:val="000C140A"/>
    <w:rsid w:val="000C18AA"/>
    <w:rsid w:val="000D642C"/>
    <w:rsid w:val="000D7487"/>
    <w:rsid w:val="001017A1"/>
    <w:rsid w:val="00105FD9"/>
    <w:rsid w:val="00117666"/>
    <w:rsid w:val="001209C6"/>
    <w:rsid w:val="001549D3"/>
    <w:rsid w:val="00160065"/>
    <w:rsid w:val="00177D84"/>
    <w:rsid w:val="00182587"/>
    <w:rsid w:val="00182D03"/>
    <w:rsid w:val="00186CBD"/>
    <w:rsid w:val="001B6F54"/>
    <w:rsid w:val="001E698C"/>
    <w:rsid w:val="00205D2E"/>
    <w:rsid w:val="002169F3"/>
    <w:rsid w:val="002610E7"/>
    <w:rsid w:val="00267D18"/>
    <w:rsid w:val="00274347"/>
    <w:rsid w:val="002868E2"/>
    <w:rsid w:val="002869C3"/>
    <w:rsid w:val="002936E4"/>
    <w:rsid w:val="002B3233"/>
    <w:rsid w:val="002B4A57"/>
    <w:rsid w:val="002C11DB"/>
    <w:rsid w:val="002C74CA"/>
    <w:rsid w:val="002E1C03"/>
    <w:rsid w:val="002E5958"/>
    <w:rsid w:val="0031214D"/>
    <w:rsid w:val="0031220E"/>
    <w:rsid w:val="003123F4"/>
    <w:rsid w:val="003406C1"/>
    <w:rsid w:val="003544FB"/>
    <w:rsid w:val="0038166B"/>
    <w:rsid w:val="003A18A4"/>
    <w:rsid w:val="003A6E8A"/>
    <w:rsid w:val="003A7658"/>
    <w:rsid w:val="003B507A"/>
    <w:rsid w:val="003C0CCD"/>
    <w:rsid w:val="003D2F2D"/>
    <w:rsid w:val="00401590"/>
    <w:rsid w:val="00406120"/>
    <w:rsid w:val="0041305F"/>
    <w:rsid w:val="0042711E"/>
    <w:rsid w:val="00432F13"/>
    <w:rsid w:val="004464DC"/>
    <w:rsid w:val="00447801"/>
    <w:rsid w:val="00452E9C"/>
    <w:rsid w:val="004735C8"/>
    <w:rsid w:val="00474A83"/>
    <w:rsid w:val="00475568"/>
    <w:rsid w:val="004856C2"/>
    <w:rsid w:val="00487992"/>
    <w:rsid w:val="004947A6"/>
    <w:rsid w:val="004961FF"/>
    <w:rsid w:val="004C1711"/>
    <w:rsid w:val="004C2E3E"/>
    <w:rsid w:val="004E1D0E"/>
    <w:rsid w:val="005030FE"/>
    <w:rsid w:val="00503C66"/>
    <w:rsid w:val="00507512"/>
    <w:rsid w:val="00517A89"/>
    <w:rsid w:val="00520BFB"/>
    <w:rsid w:val="005250F2"/>
    <w:rsid w:val="00526F43"/>
    <w:rsid w:val="00552A16"/>
    <w:rsid w:val="005566CF"/>
    <w:rsid w:val="0058350C"/>
    <w:rsid w:val="005939BE"/>
    <w:rsid w:val="00593EEA"/>
    <w:rsid w:val="005A5EEE"/>
    <w:rsid w:val="005A7CBD"/>
    <w:rsid w:val="005C2ACA"/>
    <w:rsid w:val="005C2CBE"/>
    <w:rsid w:val="005D0515"/>
    <w:rsid w:val="005D4EE6"/>
    <w:rsid w:val="00601DCD"/>
    <w:rsid w:val="0061215E"/>
    <w:rsid w:val="006375C7"/>
    <w:rsid w:val="00654E8F"/>
    <w:rsid w:val="00656217"/>
    <w:rsid w:val="00660D05"/>
    <w:rsid w:val="00676792"/>
    <w:rsid w:val="006820B1"/>
    <w:rsid w:val="006B7D14"/>
    <w:rsid w:val="006D1607"/>
    <w:rsid w:val="006F066F"/>
    <w:rsid w:val="006F129A"/>
    <w:rsid w:val="006F7139"/>
    <w:rsid w:val="00701727"/>
    <w:rsid w:val="0070566C"/>
    <w:rsid w:val="00714C50"/>
    <w:rsid w:val="007171D7"/>
    <w:rsid w:val="00723822"/>
    <w:rsid w:val="007248D3"/>
    <w:rsid w:val="00725A7D"/>
    <w:rsid w:val="00732913"/>
    <w:rsid w:val="007501BE"/>
    <w:rsid w:val="00751D0D"/>
    <w:rsid w:val="00766E6F"/>
    <w:rsid w:val="00790BB3"/>
    <w:rsid w:val="007A0377"/>
    <w:rsid w:val="007A0856"/>
    <w:rsid w:val="007A289A"/>
    <w:rsid w:val="007C206C"/>
    <w:rsid w:val="0080428A"/>
    <w:rsid w:val="00813858"/>
    <w:rsid w:val="00817DD6"/>
    <w:rsid w:val="00821183"/>
    <w:rsid w:val="008249D6"/>
    <w:rsid w:val="00830818"/>
    <w:rsid w:val="0083759F"/>
    <w:rsid w:val="00885156"/>
    <w:rsid w:val="00885CC0"/>
    <w:rsid w:val="008932D6"/>
    <w:rsid w:val="008A1DDD"/>
    <w:rsid w:val="008B1962"/>
    <w:rsid w:val="008B4346"/>
    <w:rsid w:val="00905C57"/>
    <w:rsid w:val="009151AA"/>
    <w:rsid w:val="0093429D"/>
    <w:rsid w:val="00940A3B"/>
    <w:rsid w:val="00942730"/>
    <w:rsid w:val="009427C4"/>
    <w:rsid w:val="00943573"/>
    <w:rsid w:val="00962FA7"/>
    <w:rsid w:val="00964134"/>
    <w:rsid w:val="00970F7D"/>
    <w:rsid w:val="00990D13"/>
    <w:rsid w:val="009944EE"/>
    <w:rsid w:val="00994A3D"/>
    <w:rsid w:val="009A63E6"/>
    <w:rsid w:val="009C2B12"/>
    <w:rsid w:val="009E50FA"/>
    <w:rsid w:val="00A174D9"/>
    <w:rsid w:val="00A310B2"/>
    <w:rsid w:val="00A56892"/>
    <w:rsid w:val="00AA4D24"/>
    <w:rsid w:val="00AB1AA8"/>
    <w:rsid w:val="00AB6715"/>
    <w:rsid w:val="00AB7883"/>
    <w:rsid w:val="00AE480A"/>
    <w:rsid w:val="00AF7B39"/>
    <w:rsid w:val="00B1671E"/>
    <w:rsid w:val="00B25EB8"/>
    <w:rsid w:val="00B37F4D"/>
    <w:rsid w:val="00B420CE"/>
    <w:rsid w:val="00B6610E"/>
    <w:rsid w:val="00BC0E01"/>
    <w:rsid w:val="00BD0FA1"/>
    <w:rsid w:val="00BF4904"/>
    <w:rsid w:val="00C05913"/>
    <w:rsid w:val="00C1402E"/>
    <w:rsid w:val="00C52A7B"/>
    <w:rsid w:val="00C56BAF"/>
    <w:rsid w:val="00C679AA"/>
    <w:rsid w:val="00C75972"/>
    <w:rsid w:val="00CA172F"/>
    <w:rsid w:val="00CA7D54"/>
    <w:rsid w:val="00CC16AB"/>
    <w:rsid w:val="00CC581B"/>
    <w:rsid w:val="00CD066B"/>
    <w:rsid w:val="00CE1D4F"/>
    <w:rsid w:val="00CE4FEE"/>
    <w:rsid w:val="00D03135"/>
    <w:rsid w:val="00D05DBA"/>
    <w:rsid w:val="00D060CF"/>
    <w:rsid w:val="00D06107"/>
    <w:rsid w:val="00D10C38"/>
    <w:rsid w:val="00D11EE4"/>
    <w:rsid w:val="00D1448E"/>
    <w:rsid w:val="00D315B4"/>
    <w:rsid w:val="00D501F2"/>
    <w:rsid w:val="00D53222"/>
    <w:rsid w:val="00D665B7"/>
    <w:rsid w:val="00D83073"/>
    <w:rsid w:val="00DB59C3"/>
    <w:rsid w:val="00DC259A"/>
    <w:rsid w:val="00DE184F"/>
    <w:rsid w:val="00DE23E8"/>
    <w:rsid w:val="00DF136C"/>
    <w:rsid w:val="00E21CF0"/>
    <w:rsid w:val="00E51351"/>
    <w:rsid w:val="00E52377"/>
    <w:rsid w:val="00E537AD"/>
    <w:rsid w:val="00E64E17"/>
    <w:rsid w:val="00E666DC"/>
    <w:rsid w:val="00E72002"/>
    <w:rsid w:val="00E866C9"/>
    <w:rsid w:val="00EA3D3C"/>
    <w:rsid w:val="00EB4C4F"/>
    <w:rsid w:val="00EC090A"/>
    <w:rsid w:val="00EC1220"/>
    <w:rsid w:val="00ED20B5"/>
    <w:rsid w:val="00EF0AB5"/>
    <w:rsid w:val="00F05BA8"/>
    <w:rsid w:val="00F12696"/>
    <w:rsid w:val="00F15B4C"/>
    <w:rsid w:val="00F34586"/>
    <w:rsid w:val="00F351BB"/>
    <w:rsid w:val="00F46900"/>
    <w:rsid w:val="00F61D89"/>
    <w:rsid w:val="00F63D40"/>
    <w:rsid w:val="00F85DD3"/>
    <w:rsid w:val="00FB0E8A"/>
    <w:rsid w:val="00FC23A0"/>
    <w:rsid w:val="00FC6290"/>
    <w:rsid w:val="00FE746A"/>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arte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arter"/>
    <w:uiPriority w:val="2"/>
    <w:qFormat/>
    <w:rsid w:val="00AB6715"/>
    <w:pPr>
      <w:numPr>
        <w:ilvl w:val="1"/>
      </w:numPr>
      <w:spacing w:after="200"/>
      <w:outlineLvl w:val="1"/>
    </w:pPr>
  </w:style>
  <w:style w:type="paragraph" w:styleId="Ttulo3">
    <w:name w:val="heading 3"/>
    <w:basedOn w:val="Normal"/>
    <w:next w:val="Normal"/>
    <w:link w:val="Ttulo3Carte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arter"/>
    <w:uiPriority w:val="2"/>
    <w:qFormat/>
    <w:rsid w:val="00AB6715"/>
    <w:pPr>
      <w:numPr>
        <w:ilvl w:val="3"/>
      </w:numPr>
      <w:outlineLvl w:val="3"/>
    </w:pPr>
    <w:rPr>
      <w:iCs/>
    </w:rPr>
  </w:style>
  <w:style w:type="paragraph" w:styleId="Ttulo5">
    <w:name w:val="heading 5"/>
    <w:basedOn w:val="Ttulo4"/>
    <w:next w:val="Normal"/>
    <w:link w:val="Ttulo5Carter"/>
    <w:uiPriority w:val="2"/>
    <w:qFormat/>
    <w:rsid w:val="00AB6715"/>
    <w:pPr>
      <w:numPr>
        <w:ilvl w:val="4"/>
      </w:numPr>
      <w:outlineLvl w:val="4"/>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2"/>
    <w:rsid w:val="00AB6715"/>
    <w:rPr>
      <w:rFonts w:ascii="Times New Roman" w:eastAsia="Cambria" w:hAnsi="Times New Roman" w:cs="Times New Roman"/>
      <w:b/>
      <w:sz w:val="24"/>
      <w:szCs w:val="24"/>
    </w:rPr>
  </w:style>
  <w:style w:type="character" w:customStyle="1" w:styleId="Ttulo2Carter">
    <w:name w:val="Título 2 Caráter"/>
    <w:basedOn w:val="Tipodeletrapredefinidodopargraf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arter"/>
    <w:uiPriority w:val="99"/>
    <w:unhideWhenUsed/>
    <w:qFormat/>
    <w:rsid w:val="00AB6715"/>
    <w:pPr>
      <w:spacing w:before="240"/>
    </w:pPr>
    <w:rPr>
      <w:rFonts w:cs="Times New Roman"/>
      <w:b/>
      <w:szCs w:val="24"/>
    </w:rPr>
  </w:style>
  <w:style w:type="character" w:customStyle="1" w:styleId="SubttuloCarter">
    <w:name w:val="Subtítulo Caráter"/>
    <w:basedOn w:val="Tipodeletrapredefinidodopargraf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arter"/>
    <w:uiPriority w:val="99"/>
    <w:semiHidden/>
    <w:unhideWhenUsed/>
    <w:rsid w:val="00AB6715"/>
    <w:pPr>
      <w:spacing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6715"/>
    <w:rPr>
      <w:rFonts w:ascii="Tahoma" w:hAnsi="Tahoma" w:cs="Tahoma"/>
      <w:sz w:val="16"/>
      <w:szCs w:val="16"/>
    </w:rPr>
  </w:style>
  <w:style w:type="character" w:styleId="TtulodoLivro">
    <w:name w:val="Book Title"/>
    <w:basedOn w:val="Tipodeletrapredefinidodopargraf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1"/>
    <w:unhideWhenUsed/>
    <w:qFormat/>
    <w:rsid w:val="00AB6715"/>
    <w:pPr>
      <w:spacing w:after="0" w:line="240" w:lineRule="auto"/>
    </w:pPr>
    <w:rPr>
      <w:rFonts w:ascii="Times New Roman" w:hAnsi="Times New Roman"/>
      <w:sz w:val="24"/>
    </w:rPr>
  </w:style>
  <w:style w:type="character" w:styleId="Refdecomentrio">
    <w:name w:val="annotation reference"/>
    <w:basedOn w:val="Tipodeletrapredefinidodopargrafo"/>
    <w:uiPriority w:val="99"/>
    <w:unhideWhenUsed/>
    <w:rsid w:val="00AB6715"/>
    <w:rPr>
      <w:sz w:val="16"/>
      <w:szCs w:val="16"/>
    </w:rPr>
  </w:style>
  <w:style w:type="paragraph" w:styleId="Textodecomentrio">
    <w:name w:val="annotation text"/>
    <w:basedOn w:val="Normal"/>
    <w:link w:val="TextodecomentrioCarter"/>
    <w:uiPriority w:val="99"/>
    <w:unhideWhenUsed/>
    <w:rsid w:val="00AB6715"/>
    <w:rPr>
      <w:sz w:val="20"/>
      <w:szCs w:val="20"/>
    </w:rPr>
  </w:style>
  <w:style w:type="character" w:customStyle="1" w:styleId="TextodecomentrioCarter">
    <w:name w:val="Texto de comentário Caráter"/>
    <w:basedOn w:val="Tipodeletrapredefinidodopargrafo"/>
    <w:link w:val="Textodecomentrio"/>
    <w:uiPriority w:val="99"/>
    <w:rsid w:val="00AB6715"/>
    <w:rPr>
      <w:rFonts w:ascii="Times New Roman" w:hAnsi="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AB6715"/>
    <w:rPr>
      <w:b/>
      <w:bCs/>
    </w:rPr>
  </w:style>
  <w:style w:type="character" w:customStyle="1" w:styleId="AssuntodecomentrioCarter">
    <w:name w:val="Assunto de comentário Caráter"/>
    <w:basedOn w:val="TextodecomentrioCarter"/>
    <w:link w:val="Assuntodecomentrio"/>
    <w:uiPriority w:val="99"/>
    <w:semiHidden/>
    <w:rsid w:val="00AB6715"/>
    <w:rPr>
      <w:rFonts w:ascii="Times New Roman" w:hAnsi="Times New Roman"/>
      <w:b/>
      <w:bCs/>
      <w:sz w:val="20"/>
      <w:szCs w:val="20"/>
    </w:rPr>
  </w:style>
  <w:style w:type="character" w:styleId="nfase">
    <w:name w:val="Emphasis"/>
    <w:basedOn w:val="Tipodeletrapredefinidodopargrafo"/>
    <w:uiPriority w:val="20"/>
    <w:qFormat/>
    <w:rsid w:val="00AB6715"/>
    <w:rPr>
      <w:rFonts w:ascii="Times New Roman" w:hAnsi="Times New Roman"/>
      <w:i/>
      <w:iCs/>
    </w:rPr>
  </w:style>
  <w:style w:type="character" w:styleId="Refdenotadefim">
    <w:name w:val="endnote reference"/>
    <w:basedOn w:val="Tipodeletrapredefinidodopargrafo"/>
    <w:uiPriority w:val="99"/>
    <w:semiHidden/>
    <w:unhideWhenUsed/>
    <w:rsid w:val="00AB6715"/>
    <w:rPr>
      <w:vertAlign w:val="superscript"/>
    </w:rPr>
  </w:style>
  <w:style w:type="paragraph" w:styleId="Textodenotadefim">
    <w:name w:val="endnote text"/>
    <w:basedOn w:val="Normal"/>
    <w:link w:val="TextodenotadefimCarter"/>
    <w:uiPriority w:val="99"/>
    <w:semiHidden/>
    <w:unhideWhenUsed/>
    <w:rsid w:val="00AB6715"/>
    <w:pPr>
      <w:spacing w:after="0"/>
    </w:pPr>
    <w:rPr>
      <w:sz w:val="20"/>
      <w:szCs w:val="20"/>
    </w:rPr>
  </w:style>
  <w:style w:type="character" w:customStyle="1" w:styleId="TextodenotadefimCarter">
    <w:name w:val="Texto de nota de fim Caráter"/>
    <w:basedOn w:val="Tipodeletrapredefinidodopargrafo"/>
    <w:link w:val="Textodenotadefim"/>
    <w:uiPriority w:val="99"/>
    <w:semiHidden/>
    <w:rsid w:val="00AB6715"/>
    <w:rPr>
      <w:rFonts w:ascii="Times New Roman" w:hAnsi="Times New Roman"/>
      <w:sz w:val="20"/>
      <w:szCs w:val="20"/>
    </w:rPr>
  </w:style>
  <w:style w:type="character" w:styleId="Hiperligaovisitada">
    <w:name w:val="FollowedHyperlink"/>
    <w:basedOn w:val="Tipodeletrapredefinidodopargrafo"/>
    <w:uiPriority w:val="99"/>
    <w:semiHidden/>
    <w:unhideWhenUsed/>
    <w:rsid w:val="00AB6715"/>
    <w:rPr>
      <w:color w:val="800080" w:themeColor="followedHyperlink"/>
      <w:u w:val="single"/>
    </w:rPr>
  </w:style>
  <w:style w:type="paragraph" w:styleId="Rodap">
    <w:name w:val="footer"/>
    <w:basedOn w:val="Normal"/>
    <w:link w:val="RodapCarter"/>
    <w:uiPriority w:val="99"/>
    <w:unhideWhenUsed/>
    <w:rsid w:val="00AB6715"/>
    <w:pPr>
      <w:tabs>
        <w:tab w:val="center" w:pos="4844"/>
        <w:tab w:val="right" w:pos="9689"/>
      </w:tabs>
      <w:spacing w:after="0"/>
    </w:pPr>
  </w:style>
  <w:style w:type="character" w:customStyle="1" w:styleId="RodapCarter">
    <w:name w:val="Rodapé Caráter"/>
    <w:basedOn w:val="Tipodeletrapredefinidodopargrafo"/>
    <w:link w:val="Rodap"/>
    <w:uiPriority w:val="99"/>
    <w:rsid w:val="00AB6715"/>
    <w:rPr>
      <w:rFonts w:ascii="Times New Roman" w:hAnsi="Times New Roman"/>
      <w:sz w:val="24"/>
    </w:rPr>
  </w:style>
  <w:style w:type="character" w:styleId="Refdenotaderodap">
    <w:name w:val="footnote reference"/>
    <w:basedOn w:val="Tipodeletrapredefinidodopargrafo"/>
    <w:uiPriority w:val="99"/>
    <w:semiHidden/>
    <w:unhideWhenUsed/>
    <w:rsid w:val="00AB6715"/>
    <w:rPr>
      <w:vertAlign w:val="superscript"/>
    </w:rPr>
  </w:style>
  <w:style w:type="paragraph" w:styleId="Textodenotaderodap">
    <w:name w:val="footnote text"/>
    <w:basedOn w:val="Normal"/>
    <w:link w:val="TextodenotaderodapCarter"/>
    <w:uiPriority w:val="99"/>
    <w:semiHidden/>
    <w:unhideWhenUsed/>
    <w:rsid w:val="00AB6715"/>
    <w:pPr>
      <w:spacing w:after="0"/>
    </w:pPr>
    <w:rPr>
      <w:sz w:val="20"/>
      <w:szCs w:val="20"/>
    </w:rPr>
  </w:style>
  <w:style w:type="character" w:customStyle="1" w:styleId="TextodenotaderodapCarter">
    <w:name w:val="Texto de nota de rodapé Caráter"/>
    <w:basedOn w:val="Tipodeletrapredefinidodopargrafo"/>
    <w:link w:val="Textodenotaderodap"/>
    <w:uiPriority w:val="99"/>
    <w:semiHidden/>
    <w:rsid w:val="00AB6715"/>
    <w:rPr>
      <w:rFonts w:ascii="Times New Roman" w:hAnsi="Times New Roman"/>
      <w:sz w:val="20"/>
      <w:szCs w:val="20"/>
    </w:rPr>
  </w:style>
  <w:style w:type="paragraph" w:styleId="Cabealho">
    <w:name w:val="header"/>
    <w:basedOn w:val="Normal"/>
    <w:link w:val="CabealhoCarter"/>
    <w:uiPriority w:val="99"/>
    <w:unhideWhenUsed/>
    <w:rsid w:val="00AB6715"/>
    <w:pPr>
      <w:tabs>
        <w:tab w:val="center" w:pos="4844"/>
        <w:tab w:val="right" w:pos="9689"/>
      </w:tabs>
    </w:pPr>
    <w:rPr>
      <w:b/>
    </w:rPr>
  </w:style>
  <w:style w:type="character" w:customStyle="1" w:styleId="CabealhoCarter">
    <w:name w:val="Cabeçalho Caráter"/>
    <w:basedOn w:val="Tipodeletrapredefinidodopargrafo"/>
    <w:link w:val="Cabealho"/>
    <w:uiPriority w:val="99"/>
    <w:rsid w:val="00AB6715"/>
    <w:rPr>
      <w:rFonts w:ascii="Times New Roman" w:hAnsi="Times New Roman"/>
      <w:b/>
      <w:sz w:val="24"/>
    </w:rPr>
  </w:style>
  <w:style w:type="paragraph" w:styleId="Pargrafoda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ligao">
    <w:name w:val="Hyperlink"/>
    <w:basedOn w:val="Tipodeletrapredefinidodopargrafo"/>
    <w:uiPriority w:val="99"/>
    <w:unhideWhenUsed/>
    <w:rsid w:val="00AB6715"/>
    <w:rPr>
      <w:color w:val="0000FF"/>
      <w:u w:val="single"/>
    </w:rPr>
  </w:style>
  <w:style w:type="character" w:styleId="nfaseIntensa">
    <w:name w:val="Intense Emphasis"/>
    <w:basedOn w:val="Tipodeletrapredefinidodopargrafo"/>
    <w:uiPriority w:val="21"/>
    <w:unhideWhenUsed/>
    <w:rsid w:val="00AB6715"/>
    <w:rPr>
      <w:rFonts w:ascii="Times New Roman" w:hAnsi="Times New Roman"/>
      <w:i/>
      <w:iCs/>
      <w:color w:val="auto"/>
    </w:rPr>
  </w:style>
  <w:style w:type="character" w:styleId="RefernciaIntensa">
    <w:name w:val="Intense Reference"/>
    <w:basedOn w:val="Tipodeletrapredefinidodopargrafo"/>
    <w:uiPriority w:val="32"/>
    <w:qFormat/>
    <w:rsid w:val="00AB6715"/>
    <w:rPr>
      <w:b/>
      <w:bCs/>
      <w:smallCaps/>
      <w:color w:val="auto"/>
      <w:spacing w:val="5"/>
    </w:rPr>
  </w:style>
  <w:style w:type="character" w:styleId="Nmerodelinha">
    <w:name w:val="line number"/>
    <w:basedOn w:val="Tipodeletrapredefinidodopargrafo"/>
    <w:uiPriority w:val="99"/>
    <w:semiHidden/>
    <w:unhideWhenUsed/>
    <w:rsid w:val="00AB6715"/>
  </w:style>
  <w:style w:type="character" w:customStyle="1" w:styleId="Ttulo3Carter">
    <w:name w:val="Título 3 Caráter"/>
    <w:basedOn w:val="Tipodeletrapredefinidodopargrafo"/>
    <w:link w:val="Ttulo3"/>
    <w:uiPriority w:val="2"/>
    <w:rsid w:val="00AB6715"/>
    <w:rPr>
      <w:rFonts w:ascii="Times New Roman" w:eastAsiaTheme="majorEastAsia" w:hAnsi="Times New Roman" w:cstheme="majorBidi"/>
      <w:b/>
      <w:sz w:val="24"/>
      <w:szCs w:val="24"/>
    </w:rPr>
  </w:style>
  <w:style w:type="character" w:customStyle="1" w:styleId="Ttulo4Carter">
    <w:name w:val="Título 4 Caráter"/>
    <w:basedOn w:val="Tipodeletrapredefinidodopargrafo"/>
    <w:link w:val="Ttulo4"/>
    <w:uiPriority w:val="2"/>
    <w:rsid w:val="00AB6715"/>
    <w:rPr>
      <w:rFonts w:ascii="Times New Roman" w:eastAsiaTheme="majorEastAsia" w:hAnsi="Times New Roman" w:cstheme="majorBidi"/>
      <w:b/>
      <w:iCs/>
      <w:sz w:val="24"/>
      <w:szCs w:val="24"/>
    </w:rPr>
  </w:style>
  <w:style w:type="character" w:customStyle="1" w:styleId="Ttulo5Carter">
    <w:name w:val="Título 5 Caráter"/>
    <w:basedOn w:val="Tipodeletrapredefinidodopargraf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arter"/>
    <w:uiPriority w:val="29"/>
    <w:qFormat/>
    <w:rsid w:val="00AB6715"/>
    <w:pPr>
      <w:spacing w:before="200" w:after="16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AB6715"/>
    <w:rPr>
      <w:rFonts w:ascii="Times New Roman" w:hAnsi="Times New Roman"/>
      <w:i/>
      <w:iCs/>
      <w:color w:val="404040" w:themeColor="text1" w:themeTint="BF"/>
      <w:sz w:val="24"/>
    </w:rPr>
  </w:style>
  <w:style w:type="character" w:styleId="Forte">
    <w:name w:val="Strong"/>
    <w:basedOn w:val="Tipodeletrapredefinidodopargrafo"/>
    <w:uiPriority w:val="22"/>
    <w:qFormat/>
    <w:rsid w:val="00AB6715"/>
    <w:rPr>
      <w:rFonts w:ascii="Times New Roman" w:hAnsi="Times New Roman"/>
      <w:b/>
      <w:bCs/>
    </w:rPr>
  </w:style>
  <w:style w:type="character" w:styleId="nfaseDiscreta">
    <w:name w:val="Subtle Emphasis"/>
    <w:basedOn w:val="Tipodeletrapredefinidodopargrafo"/>
    <w:uiPriority w:val="19"/>
    <w:qFormat/>
    <w:rsid w:val="00AB6715"/>
    <w:rPr>
      <w:rFonts w:ascii="Times New Roman" w:hAnsi="Times New Roman"/>
      <w:i/>
      <w:iCs/>
      <w:color w:val="404040" w:themeColor="text1" w:themeTint="BF"/>
    </w:rPr>
  </w:style>
  <w:style w:type="table" w:styleId="TabelacomGrelha">
    <w:name w:val="Table Grid"/>
    <w:basedOn w:val="Tabe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ter"/>
    <w:qFormat/>
    <w:rsid w:val="00AB6715"/>
    <w:pPr>
      <w:suppressLineNumbers/>
      <w:spacing w:before="240" w:after="360"/>
      <w:jc w:val="center"/>
    </w:pPr>
    <w:rPr>
      <w:rFonts w:cs="Times New Roman"/>
      <w:b/>
      <w:sz w:val="32"/>
      <w:szCs w:val="32"/>
    </w:rPr>
  </w:style>
  <w:style w:type="character" w:customStyle="1" w:styleId="TtuloCarter">
    <w:name w:val="Título Caráter"/>
    <w:basedOn w:val="Tipodeletrapredefinidodopargraf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 w:type="paragraph" w:customStyle="1" w:styleId="Footnotes">
    <w:name w:val="Footnotes"/>
    <w:basedOn w:val="Normal"/>
    <w:qFormat/>
    <w:rsid w:val="001017A1"/>
    <w:pPr>
      <w:spacing w:after="0" w:line="360" w:lineRule="auto"/>
      <w:ind w:left="482" w:hanging="482"/>
      <w:contextualSpacing/>
    </w:pPr>
    <w:rPr>
      <w:rFonts w:eastAsia="Times New Roman" w:cs="Times New Roman"/>
      <w:sz w:val="22"/>
      <w:szCs w:val="24"/>
      <w:lang w:val="en-GB" w:eastAsia="en-GB"/>
    </w:rPr>
  </w:style>
  <w:style w:type="character" w:customStyle="1" w:styleId="MenoNoResolvida1">
    <w:name w:val="Menção Não Resolvida1"/>
    <w:basedOn w:val="Tipodeletrapredefinidodopargrafo"/>
    <w:uiPriority w:val="99"/>
    <w:semiHidden/>
    <w:unhideWhenUsed/>
    <w:rsid w:val="00CC16AB"/>
    <w:rPr>
      <w:color w:val="605E5C"/>
      <w:shd w:val="clear" w:color="auto" w:fill="E1DFDD"/>
    </w:rPr>
  </w:style>
  <w:style w:type="paragraph" w:customStyle="1" w:styleId="Default">
    <w:name w:val="Default"/>
    <w:rsid w:val="00E21CF0"/>
    <w:pPr>
      <w:autoSpaceDE w:val="0"/>
      <w:autoSpaceDN w:val="0"/>
      <w:adjustRightInd w:val="0"/>
      <w:spacing w:after="0" w:line="240" w:lineRule="auto"/>
    </w:pPr>
    <w:rPr>
      <w:rFonts w:ascii="Segoe UI" w:hAnsi="Segoe UI" w:cs="Segoe UI"/>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FC64C1-1E85-4011-939A-75AFEC6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36</TotalTime>
  <Pages>4</Pages>
  <Words>24628</Words>
  <Characters>132994</Characters>
  <Application>Microsoft Office Word</Application>
  <DocSecurity>0</DocSecurity>
  <Lines>1108</Lines>
  <Paragraphs>314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Ana Serras</cp:lastModifiedBy>
  <cp:revision>10</cp:revision>
  <cp:lastPrinted>2020-11-04T17:19:00Z</cp:lastPrinted>
  <dcterms:created xsi:type="dcterms:W3CDTF">2021-01-28T14:14:00Z</dcterms:created>
  <dcterms:modified xsi:type="dcterms:W3CDTF">2021-02-03T23:33:00Z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http://www.zotero.org/styles/cellular-and-molecular-life-sciences</vt:lpwstr>
  </property>
  <property fmtid="{D5CDD505-2E9C-101B-9397-08002B2CF9AE}" pid="9" name="Mendeley Recent Style Name 3_1">
    <vt:lpwstr>Cellular and Molecular Life Sciences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http://www.zotero.org/styles/frontiers-in-cell-and-developmental-biology</vt:lpwstr>
  </property>
  <property fmtid="{D5CDD505-2E9C-101B-9397-08002B2CF9AE}" pid="15" name="Mendeley Recent Style Name 6_1">
    <vt:lpwstr>Frontiers in Cell and Developmental Biology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de1713b1-3196-34d6-93da-76ca5735291a</vt:lpwstr>
  </property>
  <property fmtid="{D5CDD505-2E9C-101B-9397-08002B2CF9AE}" pid="24" name="Mendeley Citation Style_1">
    <vt:lpwstr>http://www.zotero.org/styles/frontiers-in-cell-and-developmental-biology</vt:lpwstr>
  </property>
</Properties>
</file>