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5499" w:rsidRPr="003B7BAD" w:rsidRDefault="009D5499" w:rsidP="009D5499">
      <w:pPr>
        <w:jc w:val="left"/>
        <w:rPr>
          <w:rFonts w:ascii="Arial" w:hAnsi="Arial" w:cs="Arial"/>
          <w:w w:val="90"/>
          <w:sz w:val="20"/>
          <w:szCs w:val="20"/>
        </w:rPr>
      </w:pPr>
      <w:r w:rsidRPr="003B7BAD">
        <w:rPr>
          <w:rFonts w:ascii="Arial" w:hAnsi="Arial" w:cs="Arial"/>
          <w:b/>
          <w:sz w:val="20"/>
          <w:szCs w:val="20"/>
        </w:rPr>
        <w:t>Supplementary Table 1</w:t>
      </w:r>
      <w:r w:rsidR="00544516" w:rsidRPr="003B7BAD">
        <w:rPr>
          <w:rFonts w:ascii="Arial" w:hAnsi="Arial" w:cs="Arial"/>
          <w:sz w:val="20"/>
          <w:szCs w:val="20"/>
        </w:rPr>
        <w:t xml:space="preserve"> </w:t>
      </w:r>
      <w:r w:rsidR="00544516" w:rsidRPr="003B7BAD">
        <w:rPr>
          <w:rFonts w:ascii="Arial" w:hAnsi="Arial" w:cs="Arial"/>
          <w:w w:val="90"/>
          <w:sz w:val="20"/>
          <w:szCs w:val="20"/>
        </w:rPr>
        <w:t>The basic information of samples</w:t>
      </w:r>
    </w:p>
    <w:tbl>
      <w:tblPr>
        <w:tblW w:w="8364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8"/>
        <w:gridCol w:w="2971"/>
        <w:gridCol w:w="1053"/>
        <w:gridCol w:w="1646"/>
        <w:gridCol w:w="1276"/>
      </w:tblGrid>
      <w:tr w:rsidR="00544516" w:rsidRPr="003B7BAD" w:rsidTr="003B7BAD">
        <w:trPr>
          <w:trHeight w:val="272"/>
        </w:trPr>
        <w:tc>
          <w:tcPr>
            <w:tcW w:w="1418" w:type="dxa"/>
            <w:tcBorders>
              <w:top w:val="single" w:sz="12" w:space="0" w:color="000000" w:themeColor="text1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:rsidR="00544516" w:rsidRPr="003B7BAD" w:rsidRDefault="00544516" w:rsidP="00E33D0F">
            <w:pPr>
              <w:pStyle w:val="1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bCs/>
                <w:w w:val="90"/>
                <w:sz w:val="18"/>
                <w:szCs w:val="18"/>
              </w:rPr>
            </w:pPr>
            <w:r w:rsidRPr="003B7BAD">
              <w:rPr>
                <w:rFonts w:ascii="Arial" w:hAnsi="Arial" w:cs="Arial"/>
                <w:b/>
                <w:bCs/>
                <w:w w:val="90"/>
                <w:sz w:val="18"/>
                <w:szCs w:val="18"/>
              </w:rPr>
              <w:t>Series accession numbers</w:t>
            </w:r>
          </w:p>
        </w:tc>
        <w:tc>
          <w:tcPr>
            <w:tcW w:w="2971" w:type="dxa"/>
            <w:tcBorders>
              <w:top w:val="single" w:sz="12" w:space="0" w:color="000000" w:themeColor="text1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:rsidR="00544516" w:rsidRPr="003B7BAD" w:rsidRDefault="00544516" w:rsidP="00E33D0F">
            <w:pPr>
              <w:pStyle w:val="1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bCs/>
                <w:w w:val="90"/>
                <w:sz w:val="18"/>
                <w:szCs w:val="18"/>
              </w:rPr>
            </w:pPr>
            <w:r w:rsidRPr="003B7BAD">
              <w:rPr>
                <w:rFonts w:ascii="Arial" w:hAnsi="Arial" w:cs="Arial"/>
                <w:b/>
                <w:bCs/>
                <w:w w:val="90"/>
                <w:sz w:val="18"/>
                <w:szCs w:val="18"/>
              </w:rPr>
              <w:t>Platform used</w:t>
            </w:r>
          </w:p>
        </w:tc>
        <w:tc>
          <w:tcPr>
            <w:tcW w:w="1053" w:type="dxa"/>
            <w:tcBorders>
              <w:top w:val="single" w:sz="12" w:space="0" w:color="000000" w:themeColor="text1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:rsidR="00544516" w:rsidRPr="003B7BAD" w:rsidRDefault="00544516" w:rsidP="00E33D0F">
            <w:pPr>
              <w:pStyle w:val="1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bCs/>
                <w:w w:val="90"/>
                <w:sz w:val="18"/>
                <w:szCs w:val="18"/>
              </w:rPr>
            </w:pPr>
            <w:r w:rsidRPr="003B7BAD">
              <w:rPr>
                <w:rFonts w:ascii="Arial" w:hAnsi="Arial" w:cs="Arial"/>
                <w:b/>
                <w:bCs/>
                <w:w w:val="90"/>
                <w:sz w:val="18"/>
                <w:szCs w:val="18"/>
              </w:rPr>
              <w:t>No. of input patients</w:t>
            </w:r>
          </w:p>
        </w:tc>
        <w:tc>
          <w:tcPr>
            <w:tcW w:w="1646" w:type="dxa"/>
            <w:tcBorders>
              <w:top w:val="single" w:sz="12" w:space="0" w:color="000000" w:themeColor="text1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:rsidR="00544516" w:rsidRPr="003B7BAD" w:rsidRDefault="00544516" w:rsidP="00E33D0F">
            <w:pPr>
              <w:pStyle w:val="1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bCs/>
                <w:w w:val="90"/>
                <w:sz w:val="18"/>
                <w:szCs w:val="18"/>
              </w:rPr>
            </w:pPr>
            <w:r w:rsidRPr="003B7BAD">
              <w:rPr>
                <w:rFonts w:ascii="Arial" w:hAnsi="Arial" w:cs="Arial"/>
                <w:b/>
                <w:bCs/>
                <w:w w:val="90"/>
                <w:sz w:val="18"/>
                <w:szCs w:val="18"/>
              </w:rPr>
              <w:t>AJCC_Stage</w:t>
            </w:r>
          </w:p>
        </w:tc>
        <w:tc>
          <w:tcPr>
            <w:tcW w:w="1276" w:type="dxa"/>
            <w:tcBorders>
              <w:top w:val="single" w:sz="12" w:space="0" w:color="000000" w:themeColor="text1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:rsidR="00544516" w:rsidRPr="003B7BAD" w:rsidRDefault="00544516" w:rsidP="00E33D0F">
            <w:pPr>
              <w:pStyle w:val="1"/>
              <w:spacing w:line="360" w:lineRule="auto"/>
              <w:ind w:firstLineChars="0" w:firstLine="0"/>
              <w:jc w:val="center"/>
              <w:rPr>
                <w:rFonts w:ascii="Arial" w:hAnsi="Arial" w:cs="Arial"/>
                <w:b/>
                <w:bCs/>
                <w:w w:val="90"/>
                <w:sz w:val="18"/>
                <w:szCs w:val="18"/>
              </w:rPr>
            </w:pPr>
            <w:r w:rsidRPr="003B7BAD">
              <w:rPr>
                <w:rFonts w:ascii="Arial" w:hAnsi="Arial" w:cs="Arial"/>
                <w:b/>
                <w:bCs/>
                <w:w w:val="90"/>
                <w:sz w:val="18"/>
                <w:szCs w:val="18"/>
              </w:rPr>
              <w:t>Survival overcome</w:t>
            </w:r>
          </w:p>
        </w:tc>
      </w:tr>
      <w:tr w:rsidR="00544516" w:rsidRPr="003B7BAD" w:rsidTr="003B7BAD">
        <w:trPr>
          <w:trHeight w:val="272"/>
        </w:trPr>
        <w:tc>
          <w:tcPr>
            <w:tcW w:w="141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:rsidR="00544516" w:rsidRPr="003B7BAD" w:rsidRDefault="00544516" w:rsidP="00E33D0F">
            <w:pPr>
              <w:pStyle w:val="1"/>
              <w:spacing w:line="360" w:lineRule="auto"/>
              <w:ind w:firstLineChars="0" w:firstLine="0"/>
              <w:jc w:val="center"/>
              <w:rPr>
                <w:rFonts w:ascii="Arial" w:hAnsi="Arial" w:cs="Arial"/>
                <w:w w:val="90"/>
                <w:sz w:val="18"/>
                <w:szCs w:val="18"/>
              </w:rPr>
            </w:pP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TCGA-BLCA</w:t>
            </w:r>
          </w:p>
        </w:tc>
        <w:tc>
          <w:tcPr>
            <w:tcW w:w="297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:rsidR="00544516" w:rsidRPr="003B7BAD" w:rsidRDefault="00544516" w:rsidP="003B7BAD">
            <w:pPr>
              <w:pStyle w:val="1"/>
              <w:spacing w:line="360" w:lineRule="auto"/>
              <w:ind w:leftChars="-146" w:left="-307" w:firstLineChars="0" w:firstLine="0"/>
              <w:jc w:val="center"/>
              <w:rPr>
                <w:rFonts w:ascii="Arial" w:hAnsi="Arial" w:cs="Arial"/>
                <w:w w:val="90"/>
                <w:sz w:val="18"/>
                <w:szCs w:val="18"/>
              </w:rPr>
            </w:pP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Illumina RNAseq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:rsidR="00544516" w:rsidRPr="003B7BAD" w:rsidRDefault="00544516" w:rsidP="00E33D0F">
            <w:pPr>
              <w:pStyle w:val="1"/>
              <w:spacing w:line="360" w:lineRule="auto"/>
              <w:ind w:firstLineChars="0" w:firstLine="0"/>
              <w:jc w:val="center"/>
              <w:rPr>
                <w:rFonts w:ascii="Arial" w:hAnsi="Arial" w:cs="Arial"/>
                <w:w w:val="90"/>
                <w:sz w:val="18"/>
                <w:szCs w:val="18"/>
              </w:rPr>
            </w:pP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400</w:t>
            </w:r>
          </w:p>
        </w:tc>
        <w:tc>
          <w:tcPr>
            <w:tcW w:w="164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:rsidR="003B7BAD" w:rsidRPr="003B7BAD" w:rsidRDefault="00544516" w:rsidP="00E33D0F">
            <w:pPr>
              <w:pStyle w:val="1"/>
              <w:spacing w:line="360" w:lineRule="auto"/>
              <w:ind w:firstLineChars="0" w:firstLine="0"/>
              <w:jc w:val="center"/>
              <w:rPr>
                <w:rFonts w:ascii="Arial" w:hAnsi="Arial" w:cs="Arial"/>
                <w:w w:val="90"/>
                <w:sz w:val="18"/>
                <w:szCs w:val="18"/>
              </w:rPr>
            </w:pP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I</w:t>
            </w:r>
            <w:r w:rsidR="003B7BAD" w:rsidRPr="003B7BAD">
              <w:rPr>
                <w:rFonts w:ascii="Arial" w:hAnsi="Arial" w:cs="Arial"/>
                <w:w w:val="90"/>
                <w:sz w:val="18"/>
                <w:szCs w:val="18"/>
              </w:rPr>
              <w:t xml:space="preserve">: </w:t>
            </w: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2</w:t>
            </w:r>
            <w:r w:rsidR="003B7BAD" w:rsidRPr="003B7BAD">
              <w:rPr>
                <w:rFonts w:ascii="Arial" w:hAnsi="Arial" w:cs="Arial"/>
                <w:w w:val="90"/>
                <w:sz w:val="18"/>
                <w:szCs w:val="18"/>
              </w:rPr>
              <w:t xml:space="preserve">, </w:t>
            </w: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II</w:t>
            </w:r>
            <w:r w:rsidR="003B7BAD" w:rsidRPr="003B7BAD">
              <w:rPr>
                <w:rFonts w:ascii="Arial" w:hAnsi="Arial" w:cs="Arial"/>
                <w:w w:val="90"/>
                <w:sz w:val="18"/>
                <w:szCs w:val="18"/>
              </w:rPr>
              <w:t xml:space="preserve">: </w:t>
            </w: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128</w:t>
            </w:r>
            <w:r w:rsidR="003B7BAD" w:rsidRPr="003B7BAD">
              <w:rPr>
                <w:rFonts w:ascii="Arial" w:hAnsi="Arial" w:cs="Arial"/>
                <w:w w:val="90"/>
                <w:sz w:val="18"/>
                <w:szCs w:val="18"/>
              </w:rPr>
              <w:t>,</w:t>
            </w:r>
          </w:p>
          <w:p w:rsidR="00544516" w:rsidRPr="003B7BAD" w:rsidRDefault="00544516" w:rsidP="003B7BAD">
            <w:pPr>
              <w:pStyle w:val="1"/>
              <w:spacing w:line="360" w:lineRule="auto"/>
              <w:ind w:firstLineChars="0" w:firstLine="0"/>
              <w:jc w:val="center"/>
              <w:rPr>
                <w:rFonts w:ascii="Arial" w:hAnsi="Arial" w:cs="Arial"/>
                <w:w w:val="90"/>
                <w:sz w:val="18"/>
                <w:szCs w:val="18"/>
              </w:rPr>
            </w:pP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III</w:t>
            </w:r>
            <w:r w:rsidR="003B7BAD" w:rsidRPr="003B7BAD">
              <w:rPr>
                <w:rFonts w:ascii="Arial" w:hAnsi="Arial" w:cs="Arial"/>
                <w:w w:val="90"/>
                <w:sz w:val="18"/>
                <w:szCs w:val="18"/>
              </w:rPr>
              <w:t xml:space="preserve">: </w:t>
            </w: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138</w:t>
            </w:r>
            <w:r w:rsidR="003B7BAD" w:rsidRPr="003B7BAD">
              <w:rPr>
                <w:rFonts w:ascii="Arial" w:hAnsi="Arial" w:cs="Arial"/>
                <w:w w:val="90"/>
                <w:sz w:val="18"/>
                <w:szCs w:val="18"/>
              </w:rPr>
              <w:t xml:space="preserve">, </w:t>
            </w: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IV</w:t>
            </w:r>
            <w:r w:rsidR="003B7BAD" w:rsidRPr="003B7BAD">
              <w:rPr>
                <w:rFonts w:ascii="Arial" w:hAnsi="Arial" w:cs="Arial"/>
                <w:w w:val="90"/>
                <w:sz w:val="18"/>
                <w:szCs w:val="18"/>
              </w:rPr>
              <w:t xml:space="preserve">: </w:t>
            </w: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130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:rsidR="00544516" w:rsidRPr="003B7BAD" w:rsidRDefault="00544516" w:rsidP="00E33D0F">
            <w:pPr>
              <w:pStyle w:val="1"/>
              <w:spacing w:line="360" w:lineRule="auto"/>
              <w:ind w:firstLineChars="0" w:firstLine="0"/>
              <w:jc w:val="center"/>
              <w:rPr>
                <w:rFonts w:ascii="Arial" w:hAnsi="Arial" w:cs="Arial"/>
                <w:w w:val="90"/>
                <w:sz w:val="18"/>
                <w:szCs w:val="18"/>
              </w:rPr>
            </w:pP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OS</w:t>
            </w:r>
          </w:p>
        </w:tc>
      </w:tr>
      <w:tr w:rsidR="00544516" w:rsidRPr="003B7BAD" w:rsidTr="003B7BAD">
        <w:trPr>
          <w:trHeight w:val="272"/>
        </w:trPr>
        <w:tc>
          <w:tcPr>
            <w:tcW w:w="1418" w:type="dxa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:rsidR="00544516" w:rsidRPr="003B7BAD" w:rsidRDefault="00544516" w:rsidP="00E33D0F">
            <w:pPr>
              <w:pStyle w:val="1"/>
              <w:spacing w:line="360" w:lineRule="auto"/>
              <w:ind w:firstLineChars="0" w:firstLine="0"/>
              <w:jc w:val="center"/>
              <w:rPr>
                <w:rFonts w:ascii="Arial" w:hAnsi="Arial" w:cs="Arial"/>
                <w:w w:val="90"/>
                <w:sz w:val="18"/>
                <w:szCs w:val="18"/>
              </w:rPr>
            </w:pP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GSE48276</w:t>
            </w:r>
          </w:p>
        </w:tc>
        <w:tc>
          <w:tcPr>
            <w:tcW w:w="2971" w:type="dxa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:rsidR="00544516" w:rsidRPr="003B7BAD" w:rsidRDefault="00544516" w:rsidP="003B7BAD">
            <w:pPr>
              <w:pStyle w:val="1"/>
              <w:spacing w:line="360" w:lineRule="auto"/>
              <w:ind w:firstLineChars="0" w:firstLine="0"/>
              <w:jc w:val="center"/>
              <w:rPr>
                <w:rFonts w:ascii="Arial" w:hAnsi="Arial" w:cs="Arial"/>
                <w:w w:val="90"/>
                <w:sz w:val="18"/>
                <w:szCs w:val="18"/>
              </w:rPr>
            </w:pP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Illumina HumanHT-12 WG-DASL V4.0 R2 expression beadchip</w:t>
            </w:r>
          </w:p>
        </w:tc>
        <w:tc>
          <w:tcPr>
            <w:tcW w:w="1053" w:type="dxa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:rsidR="00544516" w:rsidRPr="003B7BAD" w:rsidRDefault="00544516" w:rsidP="00E33D0F">
            <w:pPr>
              <w:pStyle w:val="1"/>
              <w:spacing w:line="360" w:lineRule="auto"/>
              <w:ind w:firstLineChars="0" w:firstLine="0"/>
              <w:jc w:val="center"/>
              <w:rPr>
                <w:rFonts w:ascii="Arial" w:hAnsi="Arial" w:cs="Arial"/>
                <w:w w:val="90"/>
                <w:sz w:val="18"/>
                <w:szCs w:val="18"/>
              </w:rPr>
            </w:pP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73</w:t>
            </w:r>
          </w:p>
        </w:tc>
        <w:tc>
          <w:tcPr>
            <w:tcW w:w="1646" w:type="dxa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:rsidR="00544516" w:rsidRPr="003B7BAD" w:rsidRDefault="00544516" w:rsidP="00E33D0F">
            <w:pPr>
              <w:pStyle w:val="1"/>
              <w:spacing w:line="360" w:lineRule="auto"/>
              <w:ind w:firstLineChars="0" w:firstLine="0"/>
              <w:jc w:val="center"/>
              <w:rPr>
                <w:rFonts w:ascii="Arial" w:hAnsi="Arial" w:cs="Arial"/>
                <w:w w:val="90"/>
                <w:sz w:val="18"/>
                <w:szCs w:val="18"/>
              </w:rPr>
            </w:pP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NA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:rsidR="00544516" w:rsidRPr="003B7BAD" w:rsidRDefault="00544516" w:rsidP="00E33D0F">
            <w:pPr>
              <w:pStyle w:val="1"/>
              <w:spacing w:line="360" w:lineRule="auto"/>
              <w:ind w:firstLineChars="0" w:firstLine="0"/>
              <w:jc w:val="center"/>
              <w:rPr>
                <w:rFonts w:ascii="Arial" w:hAnsi="Arial" w:cs="Arial"/>
                <w:w w:val="90"/>
                <w:sz w:val="18"/>
                <w:szCs w:val="18"/>
              </w:rPr>
            </w:pP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OS</w:t>
            </w:r>
          </w:p>
        </w:tc>
      </w:tr>
      <w:tr w:rsidR="00544516" w:rsidRPr="003B7BAD" w:rsidTr="003B7BAD">
        <w:trPr>
          <w:trHeight w:val="272"/>
        </w:trPr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:rsidR="00544516" w:rsidRPr="003B7BAD" w:rsidRDefault="00544516" w:rsidP="00E33D0F">
            <w:pPr>
              <w:pStyle w:val="1"/>
              <w:spacing w:line="360" w:lineRule="auto"/>
              <w:ind w:firstLineChars="0" w:firstLine="0"/>
              <w:jc w:val="center"/>
              <w:rPr>
                <w:rFonts w:ascii="Arial" w:hAnsi="Arial" w:cs="Arial"/>
                <w:w w:val="90"/>
                <w:sz w:val="18"/>
                <w:szCs w:val="18"/>
              </w:rPr>
            </w:pP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GSE31684</w:t>
            </w:r>
          </w:p>
        </w:tc>
        <w:tc>
          <w:tcPr>
            <w:tcW w:w="297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:rsidR="00544516" w:rsidRPr="003B7BAD" w:rsidRDefault="00544516" w:rsidP="00E33D0F">
            <w:pPr>
              <w:pStyle w:val="1"/>
              <w:spacing w:line="360" w:lineRule="auto"/>
              <w:ind w:firstLine="324"/>
              <w:jc w:val="center"/>
              <w:rPr>
                <w:rFonts w:ascii="Arial" w:hAnsi="Arial" w:cs="Arial"/>
                <w:w w:val="90"/>
                <w:sz w:val="18"/>
                <w:szCs w:val="18"/>
              </w:rPr>
            </w:pP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[HG-U133_Plus_2] Affymetrix Human Genome U133 Plus 2.0 Array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:rsidR="00544516" w:rsidRPr="003B7BAD" w:rsidRDefault="00544516" w:rsidP="00E33D0F">
            <w:pPr>
              <w:pStyle w:val="1"/>
              <w:spacing w:line="360" w:lineRule="auto"/>
              <w:ind w:firstLineChars="0" w:firstLine="0"/>
              <w:jc w:val="center"/>
              <w:rPr>
                <w:rFonts w:ascii="Arial" w:hAnsi="Arial" w:cs="Arial"/>
                <w:w w:val="90"/>
                <w:sz w:val="18"/>
                <w:szCs w:val="18"/>
              </w:rPr>
            </w:pP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93</w:t>
            </w:r>
          </w:p>
        </w:tc>
        <w:tc>
          <w:tcPr>
            <w:tcW w:w="16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:rsidR="00544516" w:rsidRPr="003B7BAD" w:rsidRDefault="00544516" w:rsidP="00E33D0F">
            <w:pPr>
              <w:pStyle w:val="1"/>
              <w:spacing w:line="360" w:lineRule="auto"/>
              <w:ind w:firstLineChars="0" w:firstLine="0"/>
              <w:jc w:val="center"/>
              <w:rPr>
                <w:rFonts w:ascii="Arial" w:hAnsi="Arial" w:cs="Arial"/>
                <w:w w:val="90"/>
                <w:sz w:val="18"/>
                <w:szCs w:val="18"/>
              </w:rPr>
            </w:pP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NA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tcMar>
              <w:top w:w="15" w:type="dxa"/>
              <w:left w:w="15" w:type="dxa"/>
              <w:right w:w="15" w:type="dxa"/>
            </w:tcMar>
            <w:vAlign w:val="center"/>
          </w:tcPr>
          <w:p w:rsidR="00544516" w:rsidRPr="003B7BAD" w:rsidRDefault="00544516" w:rsidP="00E33D0F">
            <w:pPr>
              <w:pStyle w:val="1"/>
              <w:spacing w:line="360" w:lineRule="auto"/>
              <w:ind w:firstLineChars="0" w:firstLine="0"/>
              <w:jc w:val="center"/>
              <w:rPr>
                <w:rFonts w:ascii="Arial" w:hAnsi="Arial" w:cs="Arial"/>
                <w:w w:val="90"/>
                <w:sz w:val="18"/>
                <w:szCs w:val="18"/>
              </w:rPr>
            </w:pPr>
            <w:r w:rsidRPr="003B7BAD">
              <w:rPr>
                <w:rFonts w:ascii="Arial" w:hAnsi="Arial" w:cs="Arial"/>
                <w:w w:val="90"/>
                <w:sz w:val="18"/>
                <w:szCs w:val="18"/>
              </w:rPr>
              <w:t>OS</w:t>
            </w:r>
          </w:p>
        </w:tc>
      </w:tr>
    </w:tbl>
    <w:p w:rsidR="009D5499" w:rsidRDefault="009D5499" w:rsidP="009D5499">
      <w:pPr>
        <w:jc w:val="left"/>
      </w:pPr>
    </w:p>
    <w:p w:rsidR="008E6830" w:rsidRPr="008E6830" w:rsidRDefault="008E6830" w:rsidP="008E6830">
      <w:pPr>
        <w:rPr>
          <w:rFonts w:ascii="Arial" w:hAnsi="Arial" w:cs="Arial"/>
          <w:sz w:val="18"/>
          <w:szCs w:val="18"/>
        </w:rPr>
      </w:pPr>
      <w:r w:rsidRPr="008E6830">
        <w:rPr>
          <w:rFonts w:ascii="Arial" w:hAnsi="Arial" w:cs="Arial"/>
          <w:b/>
          <w:sz w:val="18"/>
          <w:szCs w:val="18"/>
        </w:rPr>
        <w:t>Supplementary Table 2</w:t>
      </w:r>
      <w:r w:rsidRPr="008E6830">
        <w:rPr>
          <w:rFonts w:ascii="Arial" w:hAnsi="Arial" w:cs="Arial"/>
          <w:sz w:val="18"/>
          <w:szCs w:val="18"/>
        </w:rPr>
        <w:t xml:space="preserve"> Results of K-means</w:t>
      </w:r>
      <w:r w:rsidRPr="008E6830" w:rsidDel="00EA7B4F">
        <w:rPr>
          <w:rFonts w:ascii="Arial" w:hAnsi="Arial" w:cs="Arial"/>
          <w:sz w:val="18"/>
          <w:szCs w:val="18"/>
        </w:rPr>
        <w:t xml:space="preserve"> </w:t>
      </w:r>
      <w:r w:rsidRPr="008E6830">
        <w:rPr>
          <w:rFonts w:ascii="Arial" w:hAnsi="Arial" w:cs="Arial"/>
          <w:sz w:val="18"/>
          <w:szCs w:val="18"/>
        </w:rPr>
        <w:t>clustering to classify TME patterns.</w:t>
      </w:r>
    </w:p>
    <w:tbl>
      <w:tblPr>
        <w:tblW w:w="382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40"/>
        <w:gridCol w:w="1127"/>
      </w:tblGrid>
      <w:tr w:rsidR="008E6830" w:rsidRPr="008E6830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</w:tcPr>
          <w:p w:rsidR="008E6830" w:rsidRPr="008E6830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8E6830">
              <w:rPr>
                <w:rFonts w:ascii="Arial" w:hAnsi="Arial" w:cs="Arial"/>
                <w:color w:val="000000" w:themeColor="text1"/>
                <w:sz w:val="18"/>
                <w:szCs w:val="18"/>
              </w:rPr>
              <w:t>BLCA sample</w:t>
            </w:r>
          </w:p>
        </w:tc>
        <w:tc>
          <w:tcPr>
            <w:tcW w:w="1080" w:type="dxa"/>
            <w:shd w:val="clear" w:color="auto" w:fill="auto"/>
            <w:noWrap/>
            <w:vAlign w:val="center"/>
          </w:tcPr>
          <w:p w:rsidR="008E6830" w:rsidRPr="008E6830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8E6830">
              <w:rPr>
                <w:rFonts w:ascii="Arial" w:hAnsi="Arial" w:cs="Arial"/>
                <w:sz w:val="18"/>
                <w:szCs w:val="18"/>
              </w:rPr>
              <w:t>TMEcluster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TCGA-FD-A3SS-01A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TCGA-E7-A97P-01A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TCGA-GC-A3WC-01A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TCGA-DK-A1A3-01A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TCGA-XF-AAMJ-01A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TCGA-ZF-A9RL-01A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TCGA-DK-A3IL-01A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TCGA-E7-A6MF-01A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TCGA-BT-A20R-01A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TCGA-H4-A2HQ-01A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TCGA-GV-A3QH-01A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TCGA-E7-A4XJ-01A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TCGA-XF-A8HE-01A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TCGA-FD-A5BT-01A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TCGA-G2-AA3C-01A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TCGA-BL-A3JM-01A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TCGA-XF-AAN3-01A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TCGA-FD-A3SR-01A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TCGA-4Z-AA89-01A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TCGA-G2-A2EO-01A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TCGA-KQ-A41R-01A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TCGA-BT-A20V-01A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TCGA-DK-A2HX-01A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TCGA-YF-AA3M-01A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TCGA-GV-A3QF-01A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TCGA-XF-A9T3-01A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TCGA-BT-A20T-01A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lastRenderedPageBreak/>
              <w:t>TCGA-XF-AAN0-01A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TCGA-E7-A7DV-01A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TCGA-GV-A40E-01A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TCGA-GC-A3OO-01A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TCGA-XF-A9ST-01A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TCGA-GV-A3JX-01A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TCGA-FJ-A3ZF-01A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TCGA-YC-A89H-01A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TCGA-CF-A9FM-01A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TCGA-DK-A1AD-01A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TCGA-G2-A2EK-01A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TCGA-E5-A2PC-01A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TCGA-C4-A0F1-01A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TCGA-FD-A43N-01A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TCGA-BL-A13J-01A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TCGA-DK-A1AE-01A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TCGA-FD-A3SO-01A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TCGA-DK-A3IK-01A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TCGA-BT-A20X-01A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TCGA-ZF-AA52-01A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TCGA-SY-A9G0-01A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TCGA-GV-A3JW-01A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TCGA-FD-A3N6-01A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TCGA-CU-A5W6-01A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TCGA-DK-A2I4-01A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TCGA-DK-AA6M-01A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TCGA-4Z-AA7Y-01A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TCGA-DK-A3WY-01A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TCGA-E7-A3X6-01A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TCGA-2F-A9KP-01A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TCGA-DK-A3IQ-01A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TCGA-CF-A5U8-01A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TCGA-CU-A3QU-01A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TCGA-FD-A6TI-01A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TCGA-GU-A42P-01A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TCGA-FD-A3B3-01A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TCGA-YF-AA3L-01A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TCGA-DK-AA76-01A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TCGA-ZF-A9R2-01A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TCGA-GU-AATQ-01A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TCGA-FD-A5C1-01A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TCGA-DK-A2I1-01A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TCGA-UY-A9PB-01A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lastRenderedPageBreak/>
              <w:t>TCGA-DK-A3X1-01A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TCGA-DK-A1AC-01A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TCGA-FD-A62N-01A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TCGA-DK-AA75-01A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TCGA-BL-A5ZZ-01A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TCGA-4Z-AA86-01A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TCGA-XF-AAN2-01A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TCGA-BT-A2LD-01A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TCGA-ZF-A9R1-01A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TCGA-ZF-A9R9-01A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TCGA-DK-A6AV-01A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TCGA-XF-AAMY-01A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TCGA-GU-A763-01A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TCGA-FD-A3NA-01A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TCGA-CF-A47T-01A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TCGA-GC-A3BM-01A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TCGA-GD-A3OP-01A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TCGA-SY-A9G5-01A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TCGA-KQ-A41S-01A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TCGA-4Z-AA7M-01A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TCGA-FD-A3SJ-01A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TCGA-S5-A6DX-01A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TCGA-UY-A8OD-01A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TCGA-DK-A3IV-01A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TCGA-CF-A5UA-01A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TCGA-GD-A2C5-01A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TCGA-ZF-AA56-01A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TCGA-XF-AAMT-01A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TCGA-FD-A6TD-01A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TCGA-FD-A62O-01A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TCGA-BT-A2LB-01A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TCGA-FD-A3N5-01A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TCGA-G2-A3VY-01A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TCGA-DK-A1AA-01A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TCGA-XF-A9SY-01A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TCGA-DK-AA6Q-01A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TCGA-G2-A2EL-01A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TCGA-E7-A6ME-01A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TCGA-HQ-A2OF-01A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TCGA-BT-A20N-01A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TCGA-FD-A3SP-01A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TCGA-BT-A20P-01A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TCGA-GV-A40G-01A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lastRenderedPageBreak/>
              <w:t>TCGA-CF-A47S-01A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TCGA-XF-A9T2-01A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TCGA-ZF-AA4X-01A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TCGA-XF-AAMQ-01A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TCGA-DK-AA6W-01A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TCGA-KQ-A41O-01A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TCGA-S5-AA26-01A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TCGA-DK-A1A5-01A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TCGA-XF-A9SP-01A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TCGA-FD-A3SL-01A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TCGA-FD-A6TB-01A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TCGA-FD-A6TA-01A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TCGA-XF-A8HB-01A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TCGA-UY-A8OB-01A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TCGA-GU-A767-01A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TCGA-FD-A43U-01A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TCGA-ZF-AA5H-01A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TCGA-5N-A9KI-01A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TCGA-XF-A8HF-01A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TCGA-UY-A78L-01A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TCGA-FD-A5C0-01A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TCGA-UY-A9PE-01A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TCGA-K4-A6FZ-01A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TCGA-XF-A8HD-01A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TCGA-LC-A66R-01A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TCGA-GU-A762-01A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TCGA-XF-A9T5-01A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TCGA-4Z-AA7O-01A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TCGA-DK-A6B5-01A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TCGA-C4-A0F0-01A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TCGA-G2-A3IB-01A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TCGA-G2-AA3F-01A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TCGA-ZF-AA53-01A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TCGA-LT-A8JT-01A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TCGA-XF-A8HI-01A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TCGA-FJ-A3ZE-01A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TCGA-4Z-AA82-01A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TCGA-DK-AA6X-01A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TCGA-XF-A9SJ-01A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TCGA-CF-A7I0-01A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TCGA-GD-A3OQ-01A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TCGA-CU-A0YO-01A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TCGA-DK-AA71-01A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lastRenderedPageBreak/>
              <w:t>TCGA-CF-A9FL-01A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TCGA-ZF-AA5N-01A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TCGA-UY-A9PF-01A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TCGA-UY-A78P-01A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TCGA-CF-A1HR-01A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TCGA-DK-A3IN-01A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TCGA-XF-AAMG-01A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TCGA-GD-A76B-01A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TCGA-ZF-AA4U-01A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TCGA-ZF-AA4V-01A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TCGA-DK-AA6R-01A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TCGA-FT-A61P-01A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TCGA-2F-A9KQ-01A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TCGA-K4-A54R-01A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TCGA-BT-A20W-01A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TCGA-ZF-A9R3-01A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TCGA-BT-A42F-01A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TCGA-K4-A83P-01A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TCGA-4Z-AA80-01A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TCGA-XF-A9SX-01A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TCGA-KQ-A41N-01A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TCGA-FD-A3SM-01A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TCGA-DK-A3WX-01A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TCGA-DK-A3WW-01A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TCGA-XF-A9SK-01A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TCGA-FD-A3B7-01A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TCGA-CF-A3MG-01A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TCGA-CU-A0YR-01A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TCGA-UY-A78M-01A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TCGA-FD-A3SN-01A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TCGA-ZF-A9RN-01A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TCGA-4Z-AA81-01A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TCGA-E7-A8O8-01A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TCGA-GC-A3RB-01A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TCGA-BT-A20O-01A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TCGA-G2-A2ES-01A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TCGA-DK-AA6P-01A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TCGA-FD-A43P-01A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TCGA-E7-A678-01A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TCGA-2F-A9KT-01A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TCGA-CF-A9FF-01A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TCGA-UY-A9PA-01A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TCGA-ZF-AA58-01A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lastRenderedPageBreak/>
              <w:t>TCGA-2F-A9KW-01A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TCGA-4Z-AA87-01A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TCGA-GU-A42Q-01A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TCGA-HQ-A5ND-01A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TCGA-UY-A78K-01A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TCGA-UY-A9PH-01A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TCGA-BT-A3PH-01A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TCGA-ZF-AA4R-01A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TCGA-ZF-AA5P-01A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TCGA-DK-A3X2-01A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TCGA-YC-A8S6-01A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TCGA-FD-A3B5-01A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TCGA-GC-A3RC-01A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TCGA-BT-A0S7-01A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TCGA-GU-AATP-01A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TCGA-CF-A1HS-01A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TCGA-CF-A3MH-01A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TCGA-GC-A4ZW-01A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TCGA-ZF-A9RD-01A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TCGA-GU-A766-01A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TCGA-G2-A2EF-01A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TCGA-FD-A5BY-01A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TCGA-CF-A8HX-01A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TCGA-GV-A6ZA-01A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TCGA-FD-A3B4-01A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TCGA-4Z-AA7N-01A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TCGA-GC-A3RD-01A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TCGA-HQ-A2OE-01A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TCGA-FD-A5BZ-01A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TCGA-BT-A3PJ-01A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TCGA-DK-AA6L-01A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TCGA-CU-A72E-01A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TCGA-FD-A6TH-01A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TCGA-GD-A3OS-01A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TCGA-DK-A3IS-01A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TCGA-K4-A3WS-01A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TCGA-FD-A6TF-01A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TCGA-4Z-AA7R-01A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TCGA-DK-A6B1-01A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TCGA-E5-A4TZ-01A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TCGA-DK-A6AW-01A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TCGA-FD-A62S-01A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TCGA-DK-A3IU-01A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lastRenderedPageBreak/>
              <w:t>TCGA-ZF-AA4W-01A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TCGA-GC-A3YS-01A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TCGA-4Z-AA7Q-01A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TCGA-LT-A5Z6-01A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TCGA-GC-A3I6-01A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TCGA-E7-A5KF-01A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TCGA-DK-A3IM-01A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TCGA-FJ-A3Z9-01A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TCGA-CF-A47X-01A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TCGA-BT-A2LA-01A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TCGA-K4-A4AC-01A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TCGA-XF-AAMX-01A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TCGA-ZF-A9R5-01A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TCGA-XF-A8HC-01A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TCGA-ZF-A9RF-01A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TCGA-H4-A2HO-01A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TCGA-BT-A42E-01A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TCGA-FD-A5BU-01A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TCGA-XF-A9T6-01A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TCGA-ZF-AA4T-01A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TCGA-CF-A47W-01A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TCGA-K4-A5RJ-01A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TCGA-XF-A9SW-01A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TCGA-XF-AAMR-01A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TCGA-DK-AA6S-01A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TCGA-FD-A62P-01A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TCGA-FD-A6TC-01A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TCGA-XF-AAN1-01A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TCGA-GV-A3JV-01A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TCGA-FD-A43S-01A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TCGA-PQ-A6FN-01A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TCGA-K4-A5RI-01A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TCGA-ZF-A9R7-01A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TCGA-XF-A9SM-01A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TCGA-FD-A6TE-01A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TCGA-XF-AAME-01A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TCGA-BT-A42C-01A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TCGA-CF-A47Y-01A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TCGA-E7-A519-01A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TCGA-FD-A43Y-01A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TCGA-XF-A9SL-01A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TCGA-CF-A3MF-01A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TCGA-FD-A3B8-01A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lastRenderedPageBreak/>
              <w:t>TCGA-DK-A1A7-01A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TCGA-DK-A1A6-01A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TCGA-DK-A6B2-01A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TCGA-DK-AA74-01A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TCGA-ZF-AA4N-01A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TCGA-BT-A0YX-01A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TCGA-R3-A69X-01A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TCGA-XF-AAMW-01A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TCGA-C4-A0EZ-01A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TCGA-XF-A9T0-01A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TCGA-UY-A78N-01A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TCGA-E7-A7DU-01A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TCGA-DK-A3IT-01A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TCGA-MV-A51V-01A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TCGA-UY-A78O-01A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TCGA-FD-A6TK-01A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TCGA-4Z-AA83-01A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TCGA-BL-A0C8-01A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TCGA-DK-A2I6-01A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TCGA-XF-AAN4-01A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TCGA-CF-A27C-01A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TCGA-5N-A9KM-01A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TCGA-BT-A20U-01A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TCGA-YC-A9TC-01A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TCGA-E7-A6MD-01A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TCGA-K4-A5RH-01A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TCGA-XF-AAMH-01A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TCGA-DK-A1AB-01A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TCGA-GV-A3QI-01A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TCGA-FD-A43X-01A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TCGA-XF-A9SU-01A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TCGA-BT-A20J-01A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TCGA-E7-A4IJ-01A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TCGA-FD-A3B6-01A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TCGA-XF-A9SV-01A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TCGA-K4-AAQO-01A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TCGA-CU-A3YL-01A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TCGA-DK-A2I2-01A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TCGA-4Z-AA84-01A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TCGA-DK-A1AF-01A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TCGA-DK-AA6T-01A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TCGA-E5-A4U1-01A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TCGA-BT-A20Q-01A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lastRenderedPageBreak/>
              <w:t>TCGA-ZF-A9R4-01A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TCGA-KQ-A41Q-01A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TCGA-E7-A8O7-01A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TCGA-XF-AAN7-01A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TCGA-XF-A8HH-01A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TCGA-FD-A5BX-01A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TCGA-ZF-A9RE-01A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TCGA-FT-A3EE-01A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TCGA-XF-AAN8-01A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TCGA-XF-AAML-01A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TCGA-BT-A3PK-01A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TCGA-CF-A3MI-01A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TCGA-E7-A541-01A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TCGA-ZF-AA54-01A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TCGA-XF-AAMZ-01A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TCGA-CF-A8HY-01A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TCGA-DK-A6B6-01A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TCGA-DK-A6B0-01A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TCGA-E7-A97Q-01A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TCGA-K4-A3WV-01A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TCGA-E7-A85H-01A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TCGA-XF-A8HG-01A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TCGA-XF-A9T4-01A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TCGA-GD-A6C6-01A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TCGA-G2-A2EJ-01A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TCGA-UY-A9PD-01A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TCGA-E7-A677-01A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TCGA-FD-A3SQ-01A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TCGA-DK-AA77-01A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TCGA-K4-A6MB-01A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TCGA-ZF-AA51-01A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TCGA-E7-A7PW-01A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TCGA-KQ-A41P-01A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TCGA-G2-A3IE-01A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TCGA-E7-A5KE-01A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TCGA-FD-A6TG-01A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TCGA-2F-A9KO-01A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TCGA-CF-A47V-01A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TCGA-G2-AA3B-01A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TCGA-PQ-A6FI-01A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TCGA-C4-A0F7-01A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TCGA-FD-A5BS-01A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TCGA-ZF-A9RM-01A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lastRenderedPageBreak/>
              <w:t>TCGA-CU-A3KJ-01A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TCGA-XF-A9T8-01A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TCGA-FD-A5BR-01A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TCGA-4Z-AA7S-01A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TCGA-XF-A9SH-01A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TCGA-DK-A1AG-01A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TCGA-2F-A9KR-01A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TCGA-DK-AA6U-01A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TCGA-C4-A0F6-01A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TCGA-CU-A0YN-01A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TCGA-FJ-A871-01A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TCGA-G2-A2EC-01A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TCGA-FD-A5BV-01A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TCGA-E7-A7XN-01A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TCGA-GU-A764-01A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TCGA-FJ-A3Z7-01A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TCGA-XF-A9SZ-01A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TCGA-GU-AATO-01A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TCGA-ZF-A9RC-01A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TCGA-ZF-A9R0-01A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2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TCGA-BL-A13I-01A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TCGA-4Z-AA7W-01A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TCGA-HQ-A5NE-01A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TCGA-E7-A3Y1-01A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TCGA-XF-AAN5-01A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TCGA-G2-AA3D-01A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TCGA-GU-A42R-01A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TCGA-XF-A9SI-01A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  <w:tr w:rsidR="008E6830" w:rsidRPr="00F65EB2" w:rsidTr="00E33D0F">
        <w:trPr>
          <w:trHeight w:val="285"/>
          <w:jc w:val="center"/>
        </w:trPr>
        <w:tc>
          <w:tcPr>
            <w:tcW w:w="274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left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TCGA-GV-A3JZ-01A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:rsidR="008E6830" w:rsidRPr="00F65EB2" w:rsidRDefault="008E6830" w:rsidP="00E33D0F">
            <w:pPr>
              <w:widowControl/>
              <w:jc w:val="center"/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</w:pPr>
            <w:r w:rsidRPr="00F65EB2">
              <w:rPr>
                <w:rFonts w:ascii="Arial" w:eastAsia="等线" w:hAnsi="Arial" w:cs="Arial"/>
                <w:color w:val="000000"/>
                <w:kern w:val="0"/>
                <w:sz w:val="18"/>
                <w:szCs w:val="18"/>
              </w:rPr>
              <w:t>1</w:t>
            </w:r>
          </w:p>
        </w:tc>
      </w:tr>
    </w:tbl>
    <w:p w:rsidR="009D5499" w:rsidRDefault="009D5499" w:rsidP="009D5499">
      <w:pPr>
        <w:jc w:val="left"/>
      </w:pPr>
    </w:p>
    <w:p w:rsidR="008E6830" w:rsidRPr="00426A2C" w:rsidRDefault="003C39CB" w:rsidP="009D5499">
      <w:pPr>
        <w:jc w:val="left"/>
        <w:rPr>
          <w:rFonts w:ascii="Arial" w:hAnsi="Arial" w:cs="Arial"/>
          <w:color w:val="000000" w:themeColor="text1"/>
          <w:sz w:val="20"/>
          <w:szCs w:val="20"/>
        </w:rPr>
      </w:pPr>
      <w:r w:rsidRPr="00426A2C">
        <w:rPr>
          <w:rFonts w:ascii="Arial" w:hAnsi="Arial" w:cs="Arial"/>
          <w:b/>
          <w:color w:val="000000" w:themeColor="text1"/>
          <w:sz w:val="20"/>
          <w:szCs w:val="20"/>
        </w:rPr>
        <w:t xml:space="preserve">Supplementary Table 3 </w:t>
      </w:r>
      <w:r w:rsidRPr="00426A2C">
        <w:rPr>
          <w:rFonts w:ascii="Arial" w:hAnsi="Arial" w:cs="Arial"/>
          <w:color w:val="000000" w:themeColor="text1"/>
          <w:sz w:val="20"/>
          <w:szCs w:val="20"/>
        </w:rPr>
        <w:t>The proportion of immune cells in TMEscore-high and TMEscore-low groups.</w:t>
      </w:r>
    </w:p>
    <w:tbl>
      <w:tblPr>
        <w:tblStyle w:val="a7"/>
        <w:tblW w:w="81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9"/>
        <w:gridCol w:w="1607"/>
        <w:gridCol w:w="1701"/>
        <w:gridCol w:w="1276"/>
      </w:tblGrid>
      <w:tr w:rsidR="00426A2C" w:rsidRPr="00426A2C" w:rsidTr="00FC3FD6">
        <w:tc>
          <w:tcPr>
            <w:tcW w:w="3539" w:type="dxa"/>
            <w:tcBorders>
              <w:top w:val="single" w:sz="4" w:space="0" w:color="auto"/>
            </w:tcBorders>
          </w:tcPr>
          <w:p w:rsidR="003C39CB" w:rsidRPr="00426A2C" w:rsidRDefault="003C39CB" w:rsidP="00FC3FD6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3308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3C39CB" w:rsidRPr="00426A2C" w:rsidRDefault="003C39CB" w:rsidP="00FC3FD6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hAnsi="Arial" w:cs="Arial"/>
                <w:color w:val="000000" w:themeColor="text1"/>
                <w:sz w:val="20"/>
                <w:szCs w:val="20"/>
              </w:rPr>
              <w:t>Proportion (%)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</w:tcBorders>
            <w:vAlign w:val="center"/>
          </w:tcPr>
          <w:p w:rsidR="003C39CB" w:rsidRPr="00426A2C" w:rsidRDefault="003C39CB" w:rsidP="00FC3FD6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hAnsi="Arial" w:cs="Arial"/>
                <w:color w:val="000000" w:themeColor="text1"/>
                <w:sz w:val="20"/>
                <w:szCs w:val="20"/>
              </w:rPr>
              <w:t>P value</w:t>
            </w:r>
          </w:p>
        </w:tc>
      </w:tr>
      <w:tr w:rsidR="00426A2C" w:rsidRPr="00426A2C" w:rsidTr="00FC3FD6">
        <w:tc>
          <w:tcPr>
            <w:tcW w:w="3539" w:type="dxa"/>
            <w:tcBorders>
              <w:bottom w:val="single" w:sz="4" w:space="0" w:color="auto"/>
            </w:tcBorders>
          </w:tcPr>
          <w:p w:rsidR="003C39CB" w:rsidRPr="00426A2C" w:rsidRDefault="003C39CB" w:rsidP="00FC3FD6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  <w:tc>
          <w:tcPr>
            <w:tcW w:w="1607" w:type="dxa"/>
            <w:tcBorders>
              <w:top w:val="single" w:sz="4" w:space="0" w:color="auto"/>
              <w:bottom w:val="single" w:sz="4" w:space="0" w:color="auto"/>
            </w:tcBorders>
          </w:tcPr>
          <w:p w:rsidR="003C39CB" w:rsidRPr="00426A2C" w:rsidRDefault="003C39CB" w:rsidP="00FC3FD6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hAnsi="Arial" w:cs="Arial"/>
                <w:color w:val="000000" w:themeColor="text1"/>
                <w:sz w:val="20"/>
                <w:szCs w:val="20"/>
              </w:rPr>
              <w:t>TMEscore-high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:rsidR="003C39CB" w:rsidRPr="00426A2C" w:rsidRDefault="003C39CB" w:rsidP="00FC3FD6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hAnsi="Arial" w:cs="Arial"/>
                <w:color w:val="000000" w:themeColor="text1"/>
                <w:sz w:val="20"/>
                <w:szCs w:val="20"/>
              </w:rPr>
              <w:t>TMEscore-low</w:t>
            </w:r>
          </w:p>
        </w:tc>
        <w:tc>
          <w:tcPr>
            <w:tcW w:w="1276" w:type="dxa"/>
            <w:vMerge/>
            <w:tcBorders>
              <w:bottom w:val="single" w:sz="4" w:space="0" w:color="auto"/>
            </w:tcBorders>
          </w:tcPr>
          <w:p w:rsidR="003C39CB" w:rsidRPr="00426A2C" w:rsidRDefault="003C39CB" w:rsidP="00FC3FD6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</w:p>
        </w:tc>
      </w:tr>
      <w:tr w:rsidR="00426A2C" w:rsidRPr="00426A2C" w:rsidTr="00FC3FD6">
        <w:tc>
          <w:tcPr>
            <w:tcW w:w="3539" w:type="dxa"/>
            <w:tcBorders>
              <w:top w:val="single" w:sz="4" w:space="0" w:color="auto"/>
            </w:tcBorders>
            <w:vAlign w:val="bottom"/>
          </w:tcPr>
          <w:p w:rsidR="003C39CB" w:rsidRPr="00426A2C" w:rsidRDefault="003C39CB" w:rsidP="00FC3FD6">
            <w:pPr>
              <w:jc w:val="left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Dendritic cells activated</w:t>
            </w:r>
          </w:p>
        </w:tc>
        <w:tc>
          <w:tcPr>
            <w:tcW w:w="1607" w:type="dxa"/>
            <w:tcBorders>
              <w:top w:val="single" w:sz="4" w:space="0" w:color="auto"/>
            </w:tcBorders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7.48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2.28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&lt;0.001</w:t>
            </w:r>
          </w:p>
        </w:tc>
      </w:tr>
      <w:tr w:rsidR="00426A2C" w:rsidRPr="00426A2C" w:rsidTr="00FC3FD6">
        <w:tc>
          <w:tcPr>
            <w:tcW w:w="3539" w:type="dxa"/>
            <w:vAlign w:val="bottom"/>
          </w:tcPr>
          <w:p w:rsidR="003C39CB" w:rsidRPr="00426A2C" w:rsidRDefault="003C39CB" w:rsidP="00FC3FD6">
            <w:pPr>
              <w:jc w:val="left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Monocytes</w:t>
            </w:r>
          </w:p>
        </w:tc>
        <w:tc>
          <w:tcPr>
            <w:tcW w:w="1607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3.34</w:t>
            </w:r>
          </w:p>
        </w:tc>
        <w:tc>
          <w:tcPr>
            <w:tcW w:w="1701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1.63</w:t>
            </w:r>
          </w:p>
        </w:tc>
        <w:tc>
          <w:tcPr>
            <w:tcW w:w="1276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&lt;0.001</w:t>
            </w:r>
          </w:p>
        </w:tc>
      </w:tr>
      <w:tr w:rsidR="00426A2C" w:rsidRPr="00426A2C" w:rsidTr="00FC3FD6">
        <w:tc>
          <w:tcPr>
            <w:tcW w:w="3539" w:type="dxa"/>
            <w:vAlign w:val="bottom"/>
          </w:tcPr>
          <w:p w:rsidR="003C39CB" w:rsidRPr="00426A2C" w:rsidRDefault="003C39CB" w:rsidP="00FC3FD6">
            <w:pPr>
              <w:jc w:val="left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T cells follicular helper</w:t>
            </w:r>
          </w:p>
        </w:tc>
        <w:tc>
          <w:tcPr>
            <w:tcW w:w="1607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3.10</w:t>
            </w:r>
          </w:p>
        </w:tc>
        <w:tc>
          <w:tcPr>
            <w:tcW w:w="1701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1.79</w:t>
            </w:r>
          </w:p>
        </w:tc>
        <w:tc>
          <w:tcPr>
            <w:tcW w:w="1276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0.011</w:t>
            </w:r>
          </w:p>
        </w:tc>
      </w:tr>
      <w:tr w:rsidR="00426A2C" w:rsidRPr="00426A2C" w:rsidTr="00FC3FD6">
        <w:tc>
          <w:tcPr>
            <w:tcW w:w="3539" w:type="dxa"/>
            <w:vAlign w:val="bottom"/>
          </w:tcPr>
          <w:p w:rsidR="003C39CB" w:rsidRPr="00426A2C" w:rsidRDefault="003C39CB" w:rsidP="00FC3FD6">
            <w:pPr>
              <w:jc w:val="left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T cells regulatory (Tregs)</w:t>
            </w:r>
          </w:p>
        </w:tc>
        <w:tc>
          <w:tcPr>
            <w:tcW w:w="1607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2.04</w:t>
            </w:r>
          </w:p>
        </w:tc>
        <w:tc>
          <w:tcPr>
            <w:tcW w:w="1701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0.36</w:t>
            </w:r>
          </w:p>
        </w:tc>
        <w:tc>
          <w:tcPr>
            <w:tcW w:w="1276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&lt;0.001</w:t>
            </w:r>
          </w:p>
        </w:tc>
      </w:tr>
      <w:tr w:rsidR="00426A2C" w:rsidRPr="00426A2C" w:rsidTr="00FC3FD6">
        <w:tc>
          <w:tcPr>
            <w:tcW w:w="3539" w:type="dxa"/>
            <w:vAlign w:val="bottom"/>
          </w:tcPr>
          <w:p w:rsidR="003C39CB" w:rsidRPr="00426A2C" w:rsidRDefault="003C39CB" w:rsidP="00FC3FD6">
            <w:pPr>
              <w:widowControl/>
              <w:jc w:val="left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Macrophages M2</w:t>
            </w:r>
          </w:p>
        </w:tc>
        <w:tc>
          <w:tcPr>
            <w:tcW w:w="1607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11.72</w:t>
            </w:r>
          </w:p>
        </w:tc>
        <w:tc>
          <w:tcPr>
            <w:tcW w:w="1701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16.16</w:t>
            </w:r>
          </w:p>
        </w:tc>
        <w:tc>
          <w:tcPr>
            <w:tcW w:w="1276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&lt;0.001</w:t>
            </w:r>
          </w:p>
        </w:tc>
      </w:tr>
      <w:tr w:rsidR="00426A2C" w:rsidRPr="00426A2C" w:rsidTr="00FC3FD6">
        <w:tc>
          <w:tcPr>
            <w:tcW w:w="3539" w:type="dxa"/>
            <w:vAlign w:val="bottom"/>
          </w:tcPr>
          <w:p w:rsidR="003C39CB" w:rsidRPr="00426A2C" w:rsidRDefault="003C39CB" w:rsidP="00FC3FD6">
            <w:pPr>
              <w:jc w:val="left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T cells CD4 memory resting</w:t>
            </w:r>
          </w:p>
        </w:tc>
        <w:tc>
          <w:tcPr>
            <w:tcW w:w="1607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11.00</w:t>
            </w:r>
          </w:p>
        </w:tc>
        <w:tc>
          <w:tcPr>
            <w:tcW w:w="1701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13.17</w:t>
            </w:r>
          </w:p>
        </w:tc>
        <w:tc>
          <w:tcPr>
            <w:tcW w:w="1276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0.043</w:t>
            </w:r>
          </w:p>
        </w:tc>
      </w:tr>
      <w:tr w:rsidR="00426A2C" w:rsidRPr="00426A2C" w:rsidTr="00FC3FD6">
        <w:tc>
          <w:tcPr>
            <w:tcW w:w="3539" w:type="dxa"/>
            <w:vAlign w:val="bottom"/>
          </w:tcPr>
          <w:p w:rsidR="003C39CB" w:rsidRPr="00426A2C" w:rsidRDefault="003C39CB" w:rsidP="00FC3FD6">
            <w:pPr>
              <w:jc w:val="left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Macrophages M0</w:t>
            </w:r>
          </w:p>
        </w:tc>
        <w:tc>
          <w:tcPr>
            <w:tcW w:w="1607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6.31</w:t>
            </w:r>
          </w:p>
        </w:tc>
        <w:tc>
          <w:tcPr>
            <w:tcW w:w="1701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12.18</w:t>
            </w:r>
          </w:p>
        </w:tc>
        <w:tc>
          <w:tcPr>
            <w:tcW w:w="1276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&lt;0.001</w:t>
            </w:r>
          </w:p>
        </w:tc>
      </w:tr>
      <w:tr w:rsidR="00426A2C" w:rsidRPr="00426A2C" w:rsidTr="00FC3FD6">
        <w:tc>
          <w:tcPr>
            <w:tcW w:w="3539" w:type="dxa"/>
            <w:vAlign w:val="bottom"/>
          </w:tcPr>
          <w:p w:rsidR="003C39CB" w:rsidRPr="00426A2C" w:rsidRDefault="003C39CB" w:rsidP="00FC3FD6">
            <w:pPr>
              <w:jc w:val="left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Macrophages M1</w:t>
            </w:r>
          </w:p>
        </w:tc>
        <w:tc>
          <w:tcPr>
            <w:tcW w:w="1607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1.15</w:t>
            </w:r>
          </w:p>
        </w:tc>
        <w:tc>
          <w:tcPr>
            <w:tcW w:w="1701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6.47</w:t>
            </w:r>
          </w:p>
        </w:tc>
        <w:tc>
          <w:tcPr>
            <w:tcW w:w="1276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&lt;0.001</w:t>
            </w:r>
          </w:p>
        </w:tc>
      </w:tr>
      <w:tr w:rsidR="00426A2C" w:rsidRPr="00426A2C" w:rsidTr="00FC3FD6">
        <w:tc>
          <w:tcPr>
            <w:tcW w:w="3539" w:type="dxa"/>
            <w:vAlign w:val="bottom"/>
          </w:tcPr>
          <w:p w:rsidR="003C39CB" w:rsidRPr="00426A2C" w:rsidRDefault="003C39CB" w:rsidP="00FC3FD6">
            <w:pPr>
              <w:jc w:val="left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T cells CD8</w:t>
            </w:r>
          </w:p>
        </w:tc>
        <w:tc>
          <w:tcPr>
            <w:tcW w:w="1607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6.16</w:t>
            </w:r>
          </w:p>
        </w:tc>
        <w:tc>
          <w:tcPr>
            <w:tcW w:w="1701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5.68</w:t>
            </w:r>
          </w:p>
        </w:tc>
        <w:tc>
          <w:tcPr>
            <w:tcW w:w="1276" w:type="dxa"/>
            <w:vAlign w:val="bottom"/>
          </w:tcPr>
          <w:p w:rsidR="003C39CB" w:rsidRPr="00426A2C" w:rsidRDefault="003C39CB" w:rsidP="00FC3FD6">
            <w:pPr>
              <w:jc w:val="center"/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</w:pPr>
            <w:r w:rsidRPr="00426A2C">
              <w:rPr>
                <w:rFonts w:ascii="Arial" w:eastAsia="等线" w:hAnsi="Arial" w:cs="Arial"/>
                <w:color w:val="000000" w:themeColor="text1"/>
                <w:sz w:val="20"/>
                <w:szCs w:val="20"/>
              </w:rPr>
              <w:t>0.840</w:t>
            </w:r>
            <w:bookmarkStart w:id="0" w:name="_GoBack"/>
            <w:bookmarkEnd w:id="0"/>
          </w:p>
        </w:tc>
      </w:tr>
      <w:tr w:rsidR="003C39CB" w:rsidRPr="008A5EBF" w:rsidTr="00FC3FD6">
        <w:tc>
          <w:tcPr>
            <w:tcW w:w="3539" w:type="dxa"/>
            <w:vAlign w:val="bottom"/>
          </w:tcPr>
          <w:p w:rsidR="003C39CB" w:rsidRPr="008A5EBF" w:rsidRDefault="003C39CB" w:rsidP="00FC3FD6">
            <w:pPr>
              <w:jc w:val="left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lastRenderedPageBreak/>
              <w:t>Mast cells resting</w:t>
            </w:r>
          </w:p>
        </w:tc>
        <w:tc>
          <w:tcPr>
            <w:tcW w:w="1607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3.96</w:t>
            </w:r>
          </w:p>
        </w:tc>
        <w:tc>
          <w:tcPr>
            <w:tcW w:w="1701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3.18</w:t>
            </w:r>
          </w:p>
        </w:tc>
        <w:tc>
          <w:tcPr>
            <w:tcW w:w="1276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0.076</w:t>
            </w:r>
          </w:p>
        </w:tc>
      </w:tr>
      <w:tr w:rsidR="003C39CB" w:rsidRPr="008A5EBF" w:rsidTr="00FC3FD6">
        <w:tc>
          <w:tcPr>
            <w:tcW w:w="3539" w:type="dxa"/>
            <w:vAlign w:val="bottom"/>
          </w:tcPr>
          <w:p w:rsidR="003C39CB" w:rsidRPr="008A5EBF" w:rsidRDefault="003C39CB" w:rsidP="00FC3FD6">
            <w:pPr>
              <w:jc w:val="left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NK cells resting</w:t>
            </w:r>
          </w:p>
        </w:tc>
        <w:tc>
          <w:tcPr>
            <w:tcW w:w="1607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3.16</w:t>
            </w:r>
          </w:p>
        </w:tc>
        <w:tc>
          <w:tcPr>
            <w:tcW w:w="1701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3.75</w:t>
            </w:r>
          </w:p>
        </w:tc>
        <w:tc>
          <w:tcPr>
            <w:tcW w:w="1276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0.055</w:t>
            </w:r>
          </w:p>
        </w:tc>
      </w:tr>
      <w:tr w:rsidR="003C39CB" w:rsidRPr="008A5EBF" w:rsidTr="00FC3FD6">
        <w:tc>
          <w:tcPr>
            <w:tcW w:w="3539" w:type="dxa"/>
            <w:vAlign w:val="bottom"/>
          </w:tcPr>
          <w:p w:rsidR="003C39CB" w:rsidRPr="008A5EBF" w:rsidRDefault="003C39CB" w:rsidP="00FC3FD6">
            <w:pPr>
              <w:jc w:val="left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B cells naive</w:t>
            </w:r>
          </w:p>
        </w:tc>
        <w:tc>
          <w:tcPr>
            <w:tcW w:w="1607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1.31</w:t>
            </w:r>
          </w:p>
        </w:tc>
        <w:tc>
          <w:tcPr>
            <w:tcW w:w="1701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1.51</w:t>
            </w:r>
          </w:p>
        </w:tc>
        <w:tc>
          <w:tcPr>
            <w:tcW w:w="1276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0.610</w:t>
            </w:r>
          </w:p>
        </w:tc>
      </w:tr>
      <w:tr w:rsidR="003C39CB" w:rsidRPr="008A5EBF" w:rsidTr="00FC3FD6">
        <w:tc>
          <w:tcPr>
            <w:tcW w:w="3539" w:type="dxa"/>
            <w:vAlign w:val="bottom"/>
          </w:tcPr>
          <w:p w:rsidR="003C39CB" w:rsidRPr="008A5EBF" w:rsidRDefault="003C39CB" w:rsidP="00FC3FD6">
            <w:pPr>
              <w:jc w:val="left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Plasma cells</w:t>
            </w:r>
          </w:p>
        </w:tc>
        <w:tc>
          <w:tcPr>
            <w:tcW w:w="1607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0.68</w:t>
            </w:r>
          </w:p>
        </w:tc>
        <w:tc>
          <w:tcPr>
            <w:tcW w:w="1701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0.25</w:t>
            </w:r>
          </w:p>
        </w:tc>
        <w:tc>
          <w:tcPr>
            <w:tcW w:w="1276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0.260</w:t>
            </w:r>
          </w:p>
        </w:tc>
      </w:tr>
      <w:tr w:rsidR="003C39CB" w:rsidRPr="008A5EBF" w:rsidTr="00FC3FD6">
        <w:tc>
          <w:tcPr>
            <w:tcW w:w="3539" w:type="dxa"/>
            <w:vAlign w:val="bottom"/>
          </w:tcPr>
          <w:p w:rsidR="003C39CB" w:rsidRPr="008A5EBF" w:rsidRDefault="003C39CB" w:rsidP="00FC3FD6">
            <w:pPr>
              <w:jc w:val="left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NK cells activated</w:t>
            </w:r>
          </w:p>
        </w:tc>
        <w:tc>
          <w:tcPr>
            <w:tcW w:w="1607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1701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0.38</w:t>
            </w:r>
          </w:p>
        </w:tc>
        <w:tc>
          <w:tcPr>
            <w:tcW w:w="1276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0.760</w:t>
            </w:r>
          </w:p>
        </w:tc>
      </w:tr>
      <w:tr w:rsidR="003C39CB" w:rsidRPr="008A5EBF" w:rsidTr="00FC3FD6">
        <w:tc>
          <w:tcPr>
            <w:tcW w:w="3539" w:type="dxa"/>
            <w:vAlign w:val="bottom"/>
          </w:tcPr>
          <w:p w:rsidR="003C39CB" w:rsidRPr="008A5EBF" w:rsidRDefault="003C39CB" w:rsidP="00FC3FD6">
            <w:pPr>
              <w:jc w:val="left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B cells memory</w:t>
            </w:r>
          </w:p>
        </w:tc>
        <w:tc>
          <w:tcPr>
            <w:tcW w:w="1607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701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276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&lt;0.001</w:t>
            </w:r>
          </w:p>
        </w:tc>
      </w:tr>
      <w:tr w:rsidR="003C39CB" w:rsidRPr="008A5EBF" w:rsidTr="00FC3FD6">
        <w:tc>
          <w:tcPr>
            <w:tcW w:w="3539" w:type="dxa"/>
            <w:vAlign w:val="bottom"/>
          </w:tcPr>
          <w:p w:rsidR="003C39CB" w:rsidRPr="008A5EBF" w:rsidRDefault="003C39CB" w:rsidP="00FC3FD6">
            <w:pPr>
              <w:jc w:val="left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T cells CD4 naive</w:t>
            </w:r>
          </w:p>
        </w:tc>
        <w:tc>
          <w:tcPr>
            <w:tcW w:w="1607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701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276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&lt;0.001</w:t>
            </w:r>
          </w:p>
        </w:tc>
      </w:tr>
      <w:tr w:rsidR="003C39CB" w:rsidRPr="008A5EBF" w:rsidTr="00FC3FD6">
        <w:tc>
          <w:tcPr>
            <w:tcW w:w="3539" w:type="dxa"/>
            <w:vAlign w:val="bottom"/>
          </w:tcPr>
          <w:p w:rsidR="003C39CB" w:rsidRPr="008A5EBF" w:rsidRDefault="003C39CB" w:rsidP="00FC3FD6">
            <w:pPr>
              <w:jc w:val="left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T cells CD4 memory activated</w:t>
            </w:r>
          </w:p>
        </w:tc>
        <w:tc>
          <w:tcPr>
            <w:tcW w:w="1607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701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0.20</w:t>
            </w:r>
          </w:p>
        </w:tc>
        <w:tc>
          <w:tcPr>
            <w:tcW w:w="1276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&lt;0.001</w:t>
            </w:r>
          </w:p>
        </w:tc>
      </w:tr>
      <w:tr w:rsidR="003C39CB" w:rsidRPr="008A5EBF" w:rsidTr="00FC3FD6">
        <w:tc>
          <w:tcPr>
            <w:tcW w:w="3539" w:type="dxa"/>
            <w:vAlign w:val="bottom"/>
          </w:tcPr>
          <w:p w:rsidR="003C39CB" w:rsidRPr="008A5EBF" w:rsidRDefault="003C39CB" w:rsidP="00FC3FD6">
            <w:pPr>
              <w:jc w:val="left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T cells gamma delta</w:t>
            </w:r>
          </w:p>
        </w:tc>
        <w:tc>
          <w:tcPr>
            <w:tcW w:w="1607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701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276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0.057</w:t>
            </w:r>
          </w:p>
        </w:tc>
      </w:tr>
      <w:tr w:rsidR="003C39CB" w:rsidRPr="008A5EBF" w:rsidTr="00FC3FD6">
        <w:tc>
          <w:tcPr>
            <w:tcW w:w="3539" w:type="dxa"/>
            <w:vAlign w:val="bottom"/>
          </w:tcPr>
          <w:p w:rsidR="003C39CB" w:rsidRPr="008A5EBF" w:rsidRDefault="003C39CB" w:rsidP="00FC3FD6">
            <w:pPr>
              <w:jc w:val="left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Dendritic cells resting</w:t>
            </w:r>
          </w:p>
        </w:tc>
        <w:tc>
          <w:tcPr>
            <w:tcW w:w="1607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701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276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0.024</w:t>
            </w:r>
          </w:p>
        </w:tc>
      </w:tr>
      <w:tr w:rsidR="003C39CB" w:rsidRPr="008A5EBF" w:rsidTr="00FC3FD6">
        <w:tc>
          <w:tcPr>
            <w:tcW w:w="3539" w:type="dxa"/>
            <w:vAlign w:val="bottom"/>
          </w:tcPr>
          <w:p w:rsidR="003C39CB" w:rsidRPr="008A5EBF" w:rsidRDefault="003C39CB" w:rsidP="00FC3FD6">
            <w:pPr>
              <w:jc w:val="left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Mast cells activated</w:t>
            </w:r>
          </w:p>
        </w:tc>
        <w:tc>
          <w:tcPr>
            <w:tcW w:w="1607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701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276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0.890</w:t>
            </w:r>
          </w:p>
        </w:tc>
      </w:tr>
      <w:tr w:rsidR="003C39CB" w:rsidRPr="008A5EBF" w:rsidTr="00FC3FD6">
        <w:tc>
          <w:tcPr>
            <w:tcW w:w="3539" w:type="dxa"/>
            <w:vAlign w:val="bottom"/>
          </w:tcPr>
          <w:p w:rsidR="003C39CB" w:rsidRPr="008A5EBF" w:rsidRDefault="003C39CB" w:rsidP="00FC3FD6">
            <w:pPr>
              <w:jc w:val="left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Eosinophils</w:t>
            </w:r>
          </w:p>
        </w:tc>
        <w:tc>
          <w:tcPr>
            <w:tcW w:w="1607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701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276" w:type="dxa"/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&lt;0.001</w:t>
            </w:r>
          </w:p>
        </w:tc>
      </w:tr>
      <w:tr w:rsidR="003C39CB" w:rsidRPr="008A5EBF" w:rsidTr="00FC3FD6">
        <w:tc>
          <w:tcPr>
            <w:tcW w:w="3539" w:type="dxa"/>
            <w:tcBorders>
              <w:bottom w:val="single" w:sz="4" w:space="0" w:color="auto"/>
            </w:tcBorders>
            <w:vAlign w:val="bottom"/>
          </w:tcPr>
          <w:p w:rsidR="003C39CB" w:rsidRPr="008A5EBF" w:rsidRDefault="003C39CB" w:rsidP="00FC3FD6">
            <w:pPr>
              <w:jc w:val="left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Neutrophils</w:t>
            </w:r>
          </w:p>
        </w:tc>
        <w:tc>
          <w:tcPr>
            <w:tcW w:w="1607" w:type="dxa"/>
            <w:tcBorders>
              <w:bottom w:val="single" w:sz="4" w:space="0" w:color="auto"/>
            </w:tcBorders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bottom"/>
          </w:tcPr>
          <w:p w:rsidR="003C39CB" w:rsidRPr="008A5EBF" w:rsidRDefault="003C39CB" w:rsidP="00FC3FD6">
            <w:pPr>
              <w:jc w:val="center"/>
              <w:rPr>
                <w:rFonts w:ascii="Arial" w:eastAsia="等线" w:hAnsi="Arial" w:cs="Arial"/>
                <w:color w:val="000000"/>
                <w:sz w:val="20"/>
                <w:szCs w:val="20"/>
              </w:rPr>
            </w:pPr>
            <w:r w:rsidRPr="008A5EBF">
              <w:rPr>
                <w:rFonts w:ascii="Arial" w:eastAsia="等线" w:hAnsi="Arial" w:cs="Arial"/>
                <w:color w:val="000000"/>
                <w:sz w:val="20"/>
                <w:szCs w:val="20"/>
              </w:rPr>
              <w:t>0.048</w:t>
            </w:r>
          </w:p>
        </w:tc>
      </w:tr>
    </w:tbl>
    <w:p w:rsidR="008E6830" w:rsidRDefault="008E6830" w:rsidP="009D5499">
      <w:pPr>
        <w:jc w:val="left"/>
      </w:pPr>
    </w:p>
    <w:p w:rsidR="008E6830" w:rsidRDefault="008E6830" w:rsidP="009D5499">
      <w:pPr>
        <w:jc w:val="left"/>
      </w:pPr>
    </w:p>
    <w:p w:rsidR="008E6830" w:rsidRDefault="008E6830" w:rsidP="009D5499">
      <w:pPr>
        <w:jc w:val="left"/>
      </w:pPr>
    </w:p>
    <w:p w:rsidR="008E6830" w:rsidRDefault="008E6830" w:rsidP="009D5499">
      <w:pPr>
        <w:jc w:val="left"/>
      </w:pPr>
    </w:p>
    <w:p w:rsidR="00005687" w:rsidRDefault="00005687" w:rsidP="00B91F25">
      <w:pPr>
        <w:jc w:val="center"/>
        <w:rPr>
          <w:noProof/>
        </w:rPr>
      </w:pPr>
    </w:p>
    <w:p w:rsidR="009D5499" w:rsidRDefault="009D5499" w:rsidP="00B91F25">
      <w:pPr>
        <w:jc w:val="center"/>
      </w:pPr>
    </w:p>
    <w:p w:rsidR="00005687" w:rsidRDefault="00005687" w:rsidP="00B91F25">
      <w:pPr>
        <w:jc w:val="center"/>
      </w:pPr>
    </w:p>
    <w:p w:rsidR="004805A9" w:rsidRDefault="003264C0" w:rsidP="004805A9">
      <w:pPr>
        <w:jc w:val="center"/>
        <w:rPr>
          <w:rFonts w:ascii="Arial" w:hAnsi="Arial" w:cs="Arial"/>
          <w:b/>
          <w:noProof/>
          <w:sz w:val="20"/>
          <w:szCs w:val="20"/>
        </w:rPr>
      </w:pPr>
      <w:r>
        <w:rPr>
          <w:rFonts w:ascii="Arial" w:hAnsi="Arial" w:cs="Arial"/>
          <w:b/>
          <w:noProof/>
          <w:sz w:val="20"/>
          <w:szCs w:val="20"/>
        </w:rPr>
        <w:lastRenderedPageBreak/>
        <w:drawing>
          <wp:inline distT="0" distB="0" distL="0" distR="0">
            <wp:extent cx="5274310" cy="729869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 S1-1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9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483C">
        <w:rPr>
          <w:rFonts w:ascii="Arial" w:hAnsi="Arial" w:cs="Arial"/>
          <w:b/>
          <w:noProof/>
          <w:sz w:val="20"/>
          <w:szCs w:val="20"/>
        </w:rPr>
        <w:lastRenderedPageBreak/>
        <w:drawing>
          <wp:inline distT="0" distB="0" distL="0" distR="0">
            <wp:extent cx="5274310" cy="4403725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ig S1-2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0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05A9">
        <w:rPr>
          <w:rFonts w:ascii="Arial" w:hAnsi="Arial" w:cs="Arial"/>
          <w:b/>
          <w:noProof/>
          <w:sz w:val="20"/>
          <w:szCs w:val="20"/>
        </w:rPr>
        <w:lastRenderedPageBreak/>
        <w:drawing>
          <wp:inline distT="0" distB="0" distL="0" distR="0">
            <wp:extent cx="5274310" cy="560451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 S1-3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0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5A9" w:rsidRDefault="004805A9" w:rsidP="004805A9">
      <w:pPr>
        <w:jc w:val="center"/>
        <w:rPr>
          <w:rFonts w:ascii="Arial" w:hAnsi="Arial" w:cs="Arial"/>
          <w:b/>
          <w:noProof/>
          <w:sz w:val="20"/>
          <w:szCs w:val="20"/>
        </w:rPr>
      </w:pPr>
    </w:p>
    <w:p w:rsidR="005D52EB" w:rsidRDefault="005D52EB" w:rsidP="004805A9">
      <w:pPr>
        <w:jc w:val="left"/>
        <w:rPr>
          <w:rFonts w:ascii="Arial" w:hAnsi="Arial" w:cs="Arial"/>
          <w:sz w:val="20"/>
          <w:szCs w:val="20"/>
        </w:rPr>
      </w:pPr>
      <w:r w:rsidRPr="00D418E3">
        <w:rPr>
          <w:rFonts w:ascii="Arial" w:hAnsi="Arial" w:cs="Arial"/>
          <w:b/>
          <w:sz w:val="20"/>
          <w:szCs w:val="20"/>
        </w:rPr>
        <w:t>Supplementary Figure 1.</w:t>
      </w:r>
      <w:r w:rsidRPr="003B7BAD">
        <w:rPr>
          <w:rFonts w:ascii="Arial" w:hAnsi="Arial" w:cs="Arial"/>
          <w:sz w:val="20"/>
          <w:szCs w:val="20"/>
        </w:rPr>
        <w:t xml:space="preserve"> </w:t>
      </w:r>
      <w:r w:rsidR="00D418E3" w:rsidRPr="00D418E3">
        <w:rPr>
          <w:rFonts w:ascii="Arial" w:hAnsi="Arial" w:cs="Arial"/>
          <w:sz w:val="20"/>
          <w:szCs w:val="20"/>
        </w:rPr>
        <w:t xml:space="preserve">The two TME clusters of BLCA based on the proportion of immune cells. (A) </w:t>
      </w:r>
      <w:r w:rsidR="00AF064B" w:rsidRPr="00AF064B">
        <w:rPr>
          <w:rFonts w:ascii="Arial" w:hAnsi="Arial" w:cs="Arial"/>
          <w:sz w:val="20"/>
          <w:szCs w:val="20"/>
        </w:rPr>
        <w:t>The hierarchical heatmap</w:t>
      </w:r>
      <w:r w:rsidR="00AF064B" w:rsidRPr="00D418E3">
        <w:rPr>
          <w:rFonts w:ascii="Arial" w:hAnsi="Arial" w:cs="Arial"/>
          <w:sz w:val="20"/>
          <w:szCs w:val="20"/>
        </w:rPr>
        <w:t xml:space="preserve"> </w:t>
      </w:r>
      <w:r w:rsidR="00AF064B">
        <w:rPr>
          <w:rFonts w:ascii="Arial" w:hAnsi="Arial" w:cs="Arial"/>
          <w:sz w:val="20"/>
          <w:szCs w:val="20"/>
        </w:rPr>
        <w:t>of</w:t>
      </w:r>
      <w:r w:rsidR="00AF064B" w:rsidRPr="00D418E3">
        <w:rPr>
          <w:rFonts w:ascii="Arial" w:hAnsi="Arial" w:cs="Arial"/>
          <w:sz w:val="20"/>
          <w:szCs w:val="20"/>
        </w:rPr>
        <w:t xml:space="preserve"> different immune cells</w:t>
      </w:r>
      <w:r w:rsidR="00AF064B">
        <w:rPr>
          <w:rFonts w:ascii="Arial" w:hAnsi="Arial" w:cs="Arial"/>
          <w:sz w:val="20"/>
          <w:szCs w:val="20"/>
        </w:rPr>
        <w:t>. (B)</w:t>
      </w:r>
      <w:r w:rsidR="00C20161">
        <w:rPr>
          <w:rFonts w:ascii="Arial" w:hAnsi="Arial" w:cs="Arial" w:hint="eastAsia"/>
          <w:sz w:val="20"/>
          <w:szCs w:val="20"/>
        </w:rPr>
        <w:t>-</w:t>
      </w:r>
      <w:r w:rsidR="00C20161">
        <w:rPr>
          <w:rFonts w:ascii="Arial" w:hAnsi="Arial" w:cs="Arial"/>
          <w:sz w:val="20"/>
          <w:szCs w:val="20"/>
        </w:rPr>
        <w:t>(G)</w:t>
      </w:r>
      <w:r w:rsidR="00C20161" w:rsidRPr="00C20161">
        <w:rPr>
          <w:rFonts w:ascii="Arial" w:hAnsi="Arial" w:cs="Arial"/>
          <w:sz w:val="20"/>
          <w:szCs w:val="20"/>
        </w:rPr>
        <w:t xml:space="preserve"> </w:t>
      </w:r>
      <w:r w:rsidR="00C20161" w:rsidRPr="00D418E3">
        <w:rPr>
          <w:rFonts w:ascii="Arial" w:hAnsi="Arial" w:cs="Arial"/>
          <w:sz w:val="20"/>
          <w:szCs w:val="20"/>
        </w:rPr>
        <w:t>The heatmap of the consensus matrix.</w:t>
      </w:r>
      <w:r w:rsidR="00C20161">
        <w:rPr>
          <w:rFonts w:ascii="Arial" w:hAnsi="Arial" w:cs="Arial"/>
          <w:sz w:val="20"/>
          <w:szCs w:val="20"/>
        </w:rPr>
        <w:t xml:space="preserve"> (H) </w:t>
      </w:r>
      <w:r w:rsidR="00C20161">
        <w:rPr>
          <w:rFonts w:ascii="Arial" w:hAnsi="Arial" w:cs="Arial" w:hint="eastAsia"/>
          <w:sz w:val="20"/>
          <w:szCs w:val="20"/>
        </w:rPr>
        <w:t>The</w:t>
      </w:r>
      <w:r w:rsidR="00C20161">
        <w:rPr>
          <w:rFonts w:ascii="Arial" w:hAnsi="Arial" w:cs="Arial"/>
          <w:sz w:val="20"/>
          <w:szCs w:val="20"/>
        </w:rPr>
        <w:t xml:space="preserve"> </w:t>
      </w:r>
      <w:r w:rsidR="00C20161" w:rsidRPr="00D418E3">
        <w:rPr>
          <w:rFonts w:ascii="Arial" w:hAnsi="Arial" w:cs="Arial"/>
          <w:sz w:val="20"/>
          <w:szCs w:val="20"/>
        </w:rPr>
        <w:t>consensus</w:t>
      </w:r>
      <w:r w:rsidR="00C20161">
        <w:rPr>
          <w:rFonts w:ascii="Arial" w:hAnsi="Arial" w:cs="Arial"/>
          <w:sz w:val="20"/>
          <w:szCs w:val="20"/>
        </w:rPr>
        <w:t xml:space="preserve"> CDF. </w:t>
      </w:r>
      <w:r w:rsidR="003264C0">
        <w:rPr>
          <w:rFonts w:ascii="Arial" w:hAnsi="Arial" w:cs="Arial"/>
          <w:sz w:val="20"/>
          <w:szCs w:val="20"/>
        </w:rPr>
        <w:t xml:space="preserve">(I) The delta area plot. </w:t>
      </w:r>
      <w:r w:rsidR="00C20161">
        <w:rPr>
          <w:rFonts w:ascii="Arial" w:hAnsi="Arial" w:cs="Arial"/>
          <w:sz w:val="20"/>
          <w:szCs w:val="20"/>
        </w:rPr>
        <w:t>(</w:t>
      </w:r>
      <w:r w:rsidR="003264C0">
        <w:rPr>
          <w:rFonts w:ascii="Arial" w:hAnsi="Arial" w:cs="Arial"/>
          <w:sz w:val="20"/>
          <w:szCs w:val="20"/>
        </w:rPr>
        <w:t>J</w:t>
      </w:r>
      <w:r w:rsidR="00C20161">
        <w:rPr>
          <w:rFonts w:ascii="Arial" w:hAnsi="Arial" w:cs="Arial"/>
          <w:sz w:val="20"/>
          <w:szCs w:val="20"/>
        </w:rPr>
        <w:t>) The PAC value. (</w:t>
      </w:r>
      <w:r w:rsidR="003264C0">
        <w:rPr>
          <w:rFonts w:ascii="Arial" w:hAnsi="Arial" w:cs="Arial"/>
          <w:sz w:val="20"/>
          <w:szCs w:val="20"/>
        </w:rPr>
        <w:t>K</w:t>
      </w:r>
      <w:r w:rsidR="00C20161">
        <w:rPr>
          <w:rFonts w:ascii="Arial" w:hAnsi="Arial" w:cs="Arial"/>
          <w:sz w:val="20"/>
          <w:szCs w:val="20"/>
        </w:rPr>
        <w:t>) The result of elbow method. (</w:t>
      </w:r>
      <w:r w:rsidR="003264C0">
        <w:rPr>
          <w:rFonts w:ascii="Arial" w:hAnsi="Arial" w:cs="Arial"/>
          <w:sz w:val="20"/>
          <w:szCs w:val="20"/>
        </w:rPr>
        <w:t>L</w:t>
      </w:r>
      <w:r w:rsidR="00C20161">
        <w:rPr>
          <w:rFonts w:ascii="Arial" w:hAnsi="Arial" w:cs="Arial"/>
          <w:sz w:val="20"/>
          <w:szCs w:val="20"/>
        </w:rPr>
        <w:t>)</w:t>
      </w:r>
      <w:r w:rsidR="00C20161" w:rsidRPr="00C20161">
        <w:rPr>
          <w:rFonts w:ascii="Arial" w:hAnsi="Arial" w:cs="Arial"/>
          <w:sz w:val="20"/>
          <w:szCs w:val="20"/>
        </w:rPr>
        <w:t xml:space="preserve"> </w:t>
      </w:r>
      <w:r w:rsidR="00C20161" w:rsidRPr="00D418E3">
        <w:rPr>
          <w:rFonts w:ascii="Arial" w:hAnsi="Arial" w:cs="Arial"/>
          <w:sz w:val="20"/>
          <w:szCs w:val="20"/>
        </w:rPr>
        <w:t>The proportion</w:t>
      </w:r>
      <w:r w:rsidR="00C20161">
        <w:rPr>
          <w:rFonts w:ascii="Arial" w:hAnsi="Arial" w:cs="Arial"/>
          <w:sz w:val="20"/>
          <w:szCs w:val="20"/>
        </w:rPr>
        <w:t>s</w:t>
      </w:r>
      <w:r w:rsidR="00C20161" w:rsidRPr="00D418E3">
        <w:rPr>
          <w:rFonts w:ascii="Arial" w:hAnsi="Arial" w:cs="Arial"/>
          <w:sz w:val="20"/>
          <w:szCs w:val="20"/>
        </w:rPr>
        <w:t xml:space="preserve"> of 22 types of immune cells in two TME clusters.</w:t>
      </w:r>
      <w:r w:rsidR="00C20161">
        <w:rPr>
          <w:rFonts w:ascii="Arial" w:hAnsi="Arial" w:cs="Arial"/>
          <w:sz w:val="20"/>
          <w:szCs w:val="20"/>
        </w:rPr>
        <w:t xml:space="preserve"> </w:t>
      </w:r>
      <w:r w:rsidR="00D418E3" w:rsidRPr="00D418E3">
        <w:rPr>
          <w:rFonts w:ascii="Arial" w:hAnsi="Arial" w:cs="Arial"/>
          <w:sz w:val="20"/>
          <w:szCs w:val="20"/>
        </w:rPr>
        <w:t>(</w:t>
      </w:r>
      <w:r w:rsidR="003264C0">
        <w:rPr>
          <w:rFonts w:ascii="Arial" w:hAnsi="Arial" w:cs="Arial"/>
          <w:sz w:val="20"/>
          <w:szCs w:val="20"/>
        </w:rPr>
        <w:t>M</w:t>
      </w:r>
      <w:r w:rsidR="00D418E3" w:rsidRPr="00D418E3">
        <w:rPr>
          <w:rFonts w:ascii="Arial" w:hAnsi="Arial" w:cs="Arial"/>
          <w:sz w:val="20"/>
          <w:szCs w:val="20"/>
        </w:rPr>
        <w:t>) The correlation of TME clusters with OS.</w:t>
      </w:r>
    </w:p>
    <w:p w:rsidR="003264C0" w:rsidRDefault="003264C0" w:rsidP="004805A9">
      <w:pPr>
        <w:jc w:val="left"/>
        <w:rPr>
          <w:rFonts w:ascii="Arial" w:hAnsi="Arial" w:cs="Arial"/>
          <w:sz w:val="20"/>
          <w:szCs w:val="20"/>
        </w:rPr>
      </w:pPr>
    </w:p>
    <w:p w:rsidR="002E7D19" w:rsidRDefault="00DE57CA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5226685" cy="886333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g S2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66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1298" w:rsidRPr="003B7BAD" w:rsidRDefault="00B45669" w:rsidP="00B45669">
      <w:pPr>
        <w:rPr>
          <w:rFonts w:ascii="Arial" w:hAnsi="Arial" w:cs="Arial"/>
          <w:sz w:val="20"/>
          <w:szCs w:val="20"/>
        </w:rPr>
      </w:pPr>
      <w:r w:rsidRPr="00D418E3">
        <w:rPr>
          <w:rFonts w:ascii="Arial" w:hAnsi="Arial" w:cs="Arial"/>
          <w:b/>
          <w:sz w:val="20"/>
          <w:szCs w:val="20"/>
        </w:rPr>
        <w:lastRenderedPageBreak/>
        <w:t xml:space="preserve">Supplementary Figure </w:t>
      </w:r>
      <w:r>
        <w:rPr>
          <w:rFonts w:ascii="Arial" w:hAnsi="Arial" w:cs="Arial"/>
          <w:b/>
          <w:sz w:val="20"/>
          <w:szCs w:val="20"/>
        </w:rPr>
        <w:t>2</w:t>
      </w:r>
      <w:r w:rsidRPr="00D418E3">
        <w:rPr>
          <w:rFonts w:ascii="Arial" w:hAnsi="Arial" w:cs="Arial"/>
          <w:b/>
          <w:sz w:val="20"/>
          <w:szCs w:val="20"/>
        </w:rPr>
        <w:t>.</w:t>
      </w:r>
      <w:r>
        <w:rPr>
          <w:rFonts w:ascii="Arial" w:hAnsi="Arial" w:cs="Arial"/>
          <w:b/>
          <w:sz w:val="20"/>
          <w:szCs w:val="20"/>
        </w:rPr>
        <w:t xml:space="preserve"> </w:t>
      </w:r>
      <w:r w:rsidRPr="00D418E3">
        <w:rPr>
          <w:rFonts w:ascii="Arial" w:hAnsi="Arial" w:cs="Arial"/>
          <w:sz w:val="20"/>
          <w:szCs w:val="20"/>
        </w:rPr>
        <w:t xml:space="preserve">The BLCA </w:t>
      </w:r>
      <w:r>
        <w:rPr>
          <w:rFonts w:ascii="Arial" w:hAnsi="Arial" w:cs="Arial"/>
          <w:sz w:val="20"/>
          <w:szCs w:val="20"/>
        </w:rPr>
        <w:t xml:space="preserve">patients can be </w:t>
      </w:r>
      <w:r w:rsidRPr="00B45669">
        <w:rPr>
          <w:rFonts w:ascii="Arial" w:hAnsi="Arial" w:cs="Arial"/>
          <w:sz w:val="20"/>
          <w:szCs w:val="20"/>
        </w:rPr>
        <w:t>classified into three classes</w:t>
      </w:r>
      <w:r w:rsidRPr="00D418E3">
        <w:rPr>
          <w:rFonts w:ascii="Arial" w:hAnsi="Arial" w:cs="Arial"/>
          <w:sz w:val="20"/>
          <w:szCs w:val="20"/>
        </w:rPr>
        <w:t xml:space="preserve"> based on the </w:t>
      </w:r>
      <w:r w:rsidRPr="00B45669">
        <w:rPr>
          <w:rFonts w:ascii="Arial" w:hAnsi="Arial" w:cs="Arial"/>
          <w:sz w:val="20"/>
          <w:szCs w:val="20"/>
        </w:rPr>
        <w:t>DEGs between TMEclusters</w:t>
      </w:r>
      <w:r w:rsidRPr="00D418E3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(A)</w:t>
      </w:r>
      <w:r w:rsidR="007A746E">
        <w:rPr>
          <w:rFonts w:ascii="Arial" w:hAnsi="Arial" w:cs="Arial"/>
          <w:sz w:val="20"/>
          <w:szCs w:val="20"/>
        </w:rPr>
        <w:t>-(F)</w:t>
      </w:r>
      <w:r>
        <w:rPr>
          <w:rFonts w:ascii="Arial" w:hAnsi="Arial" w:cs="Arial"/>
          <w:sz w:val="20"/>
          <w:szCs w:val="20"/>
        </w:rPr>
        <w:t xml:space="preserve"> </w:t>
      </w:r>
      <w:r w:rsidR="007A746E" w:rsidRPr="00D418E3">
        <w:rPr>
          <w:rFonts w:ascii="Arial" w:hAnsi="Arial" w:cs="Arial"/>
          <w:sz w:val="20"/>
          <w:szCs w:val="20"/>
        </w:rPr>
        <w:t>The heatmap of the consensus matrix.</w:t>
      </w:r>
      <w:r w:rsidR="007A746E">
        <w:rPr>
          <w:rFonts w:ascii="Arial" w:hAnsi="Arial" w:cs="Arial"/>
          <w:sz w:val="20"/>
          <w:szCs w:val="20"/>
        </w:rPr>
        <w:t xml:space="preserve"> (G) </w:t>
      </w:r>
      <w:r>
        <w:rPr>
          <w:rFonts w:ascii="Arial" w:hAnsi="Arial" w:cs="Arial" w:hint="eastAsia"/>
          <w:sz w:val="20"/>
          <w:szCs w:val="20"/>
        </w:rPr>
        <w:t>The</w:t>
      </w:r>
      <w:r>
        <w:rPr>
          <w:rFonts w:ascii="Arial" w:hAnsi="Arial" w:cs="Arial"/>
          <w:sz w:val="20"/>
          <w:szCs w:val="20"/>
        </w:rPr>
        <w:t xml:space="preserve"> </w:t>
      </w:r>
      <w:r w:rsidRPr="00D418E3">
        <w:rPr>
          <w:rFonts w:ascii="Arial" w:hAnsi="Arial" w:cs="Arial"/>
          <w:sz w:val="20"/>
          <w:szCs w:val="20"/>
        </w:rPr>
        <w:t>consensus</w:t>
      </w:r>
      <w:r>
        <w:rPr>
          <w:rFonts w:ascii="Arial" w:hAnsi="Arial" w:cs="Arial"/>
          <w:sz w:val="20"/>
          <w:szCs w:val="20"/>
        </w:rPr>
        <w:t xml:space="preserve"> CDF. </w:t>
      </w:r>
      <w:r w:rsidR="00DE57CA">
        <w:rPr>
          <w:rFonts w:ascii="Arial" w:hAnsi="Arial" w:cs="Arial"/>
          <w:sz w:val="20"/>
          <w:szCs w:val="20"/>
        </w:rPr>
        <w:t xml:space="preserve">(H) The delta area plot. </w:t>
      </w:r>
      <w:r>
        <w:rPr>
          <w:rFonts w:ascii="Arial" w:hAnsi="Arial" w:cs="Arial"/>
          <w:sz w:val="20"/>
          <w:szCs w:val="20"/>
        </w:rPr>
        <w:t>(</w:t>
      </w:r>
      <w:r w:rsidR="00DE57CA">
        <w:rPr>
          <w:rFonts w:ascii="Arial" w:hAnsi="Arial" w:cs="Arial"/>
          <w:sz w:val="20"/>
          <w:szCs w:val="20"/>
        </w:rPr>
        <w:t>I</w:t>
      </w:r>
      <w:r>
        <w:rPr>
          <w:rFonts w:ascii="Arial" w:hAnsi="Arial" w:cs="Arial"/>
          <w:sz w:val="20"/>
          <w:szCs w:val="20"/>
        </w:rPr>
        <w:t xml:space="preserve">) </w:t>
      </w:r>
      <w:r w:rsidR="007A746E">
        <w:rPr>
          <w:rFonts w:ascii="Arial" w:hAnsi="Arial" w:cs="Arial"/>
          <w:sz w:val="20"/>
          <w:szCs w:val="20"/>
        </w:rPr>
        <w:t>The PAC value</w:t>
      </w:r>
      <w:r>
        <w:rPr>
          <w:rFonts w:ascii="Arial" w:hAnsi="Arial" w:cs="Arial"/>
          <w:sz w:val="20"/>
          <w:szCs w:val="20"/>
        </w:rPr>
        <w:t>.</w:t>
      </w:r>
      <w:r w:rsidRPr="00B45669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(</w:t>
      </w:r>
      <w:r w:rsidR="00DE57CA">
        <w:rPr>
          <w:rFonts w:ascii="Arial" w:hAnsi="Arial" w:cs="Arial"/>
          <w:sz w:val="20"/>
          <w:szCs w:val="20"/>
        </w:rPr>
        <w:t>J</w:t>
      </w:r>
      <w:r>
        <w:rPr>
          <w:rFonts w:ascii="Arial" w:hAnsi="Arial" w:cs="Arial"/>
          <w:sz w:val="20"/>
          <w:szCs w:val="20"/>
        </w:rPr>
        <w:t>) The result of elbow method.</w:t>
      </w:r>
    </w:p>
    <w:p w:rsidR="005D52EB" w:rsidRDefault="005D52EB" w:rsidP="005D52EB">
      <w:pPr>
        <w:jc w:val="center"/>
        <w:rPr>
          <w:noProof/>
        </w:rPr>
      </w:pPr>
    </w:p>
    <w:p w:rsidR="00021298" w:rsidRDefault="00021298" w:rsidP="005D52EB">
      <w:pPr>
        <w:jc w:val="center"/>
        <w:rPr>
          <w:noProof/>
        </w:rPr>
      </w:pPr>
    </w:p>
    <w:p w:rsidR="00021298" w:rsidRDefault="00021298" w:rsidP="005D52EB">
      <w:pPr>
        <w:jc w:val="center"/>
        <w:rPr>
          <w:noProof/>
        </w:rPr>
      </w:pPr>
    </w:p>
    <w:p w:rsidR="00021298" w:rsidRDefault="00021298" w:rsidP="005D52EB">
      <w:pPr>
        <w:jc w:val="center"/>
      </w:pPr>
    </w:p>
    <w:p w:rsidR="001363ED" w:rsidRDefault="001363ED" w:rsidP="005D52EB">
      <w:pPr>
        <w:jc w:val="center"/>
      </w:pPr>
      <w:r>
        <w:rPr>
          <w:rFonts w:hint="eastAsia"/>
          <w:noProof/>
        </w:rPr>
        <w:drawing>
          <wp:inline distT="0" distB="0" distL="0" distR="0">
            <wp:extent cx="5274310" cy="5880100"/>
            <wp:effectExtent l="0" t="0" r="2540" b="635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 S2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88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2EB" w:rsidRPr="003B7BAD" w:rsidRDefault="005D52EB" w:rsidP="005D52EB">
      <w:pPr>
        <w:rPr>
          <w:rFonts w:ascii="Arial" w:hAnsi="Arial" w:cs="Arial"/>
          <w:sz w:val="20"/>
          <w:szCs w:val="20"/>
        </w:rPr>
      </w:pPr>
      <w:r w:rsidRPr="003A0D90">
        <w:rPr>
          <w:rFonts w:ascii="Arial" w:hAnsi="Arial" w:cs="Arial" w:hint="eastAsia"/>
          <w:b/>
          <w:sz w:val="20"/>
          <w:szCs w:val="20"/>
        </w:rPr>
        <w:t>S</w:t>
      </w:r>
      <w:r w:rsidRPr="003A0D90">
        <w:rPr>
          <w:rFonts w:ascii="Arial" w:hAnsi="Arial" w:cs="Arial"/>
          <w:b/>
          <w:sz w:val="20"/>
          <w:szCs w:val="20"/>
        </w:rPr>
        <w:t xml:space="preserve">upplementary Figure </w:t>
      </w:r>
      <w:r w:rsidR="00950498">
        <w:rPr>
          <w:rFonts w:ascii="Arial" w:hAnsi="Arial" w:cs="Arial"/>
          <w:b/>
          <w:sz w:val="20"/>
          <w:szCs w:val="20"/>
        </w:rPr>
        <w:t>3</w:t>
      </w:r>
      <w:r w:rsidRPr="003A0D90">
        <w:rPr>
          <w:rFonts w:ascii="Arial" w:hAnsi="Arial" w:cs="Arial"/>
          <w:b/>
          <w:sz w:val="20"/>
          <w:szCs w:val="20"/>
        </w:rPr>
        <w:t>.</w:t>
      </w:r>
      <w:r w:rsidRPr="003B7BAD">
        <w:rPr>
          <w:rFonts w:ascii="Arial" w:hAnsi="Arial" w:cs="Arial"/>
          <w:sz w:val="20"/>
          <w:szCs w:val="20"/>
        </w:rPr>
        <w:t xml:space="preserve"> </w:t>
      </w:r>
      <w:r w:rsidR="003A0D90" w:rsidRPr="003A0D90">
        <w:rPr>
          <w:rFonts w:ascii="Arial" w:hAnsi="Arial" w:cs="Arial"/>
          <w:sz w:val="20"/>
          <w:szCs w:val="20"/>
        </w:rPr>
        <w:t>Differentially expressed miRNAs</w:t>
      </w:r>
      <w:r w:rsidR="001363ED">
        <w:rPr>
          <w:rFonts w:ascii="Arial" w:hAnsi="Arial" w:cs="Arial"/>
          <w:sz w:val="20"/>
          <w:szCs w:val="20"/>
        </w:rPr>
        <w:t xml:space="preserve"> between TMEscore-high and TMEscore-low subtypes</w:t>
      </w:r>
      <w:r w:rsidR="003A0D90" w:rsidRPr="003A0D90">
        <w:rPr>
          <w:rFonts w:ascii="Arial" w:hAnsi="Arial" w:cs="Arial"/>
          <w:sz w:val="20"/>
          <w:szCs w:val="20"/>
        </w:rPr>
        <w:t>. (A) The volcano plot. (B) The clustered heat map.</w:t>
      </w:r>
      <w:r w:rsidR="001363ED">
        <w:rPr>
          <w:rFonts w:ascii="Arial" w:hAnsi="Arial" w:cs="Arial"/>
          <w:sz w:val="20"/>
          <w:szCs w:val="20"/>
        </w:rPr>
        <w:t xml:space="preserve"> (C) The enrichment analysis in KEGG.</w:t>
      </w:r>
    </w:p>
    <w:p w:rsidR="005D52EB" w:rsidRDefault="005D52EB"/>
    <w:p w:rsidR="005D52EB" w:rsidRDefault="005D52EB"/>
    <w:p w:rsidR="003A0D90" w:rsidRPr="003B7BAD" w:rsidRDefault="005D52EB" w:rsidP="003A0D90">
      <w:pPr>
        <w:rPr>
          <w:rFonts w:ascii="Arial" w:hAnsi="Arial" w:cs="Arial"/>
          <w:sz w:val="20"/>
          <w:szCs w:val="20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5080000"/>
            <wp:effectExtent l="0" t="0" r="254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 S3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0D90" w:rsidRPr="003A0D90">
        <w:rPr>
          <w:rFonts w:ascii="Arial" w:hAnsi="Arial" w:cs="Arial" w:hint="eastAsia"/>
          <w:b/>
          <w:sz w:val="20"/>
          <w:szCs w:val="20"/>
        </w:rPr>
        <w:t xml:space="preserve"> S</w:t>
      </w:r>
      <w:r w:rsidR="003A0D90" w:rsidRPr="003A0D90">
        <w:rPr>
          <w:rFonts w:ascii="Arial" w:hAnsi="Arial" w:cs="Arial"/>
          <w:b/>
          <w:sz w:val="20"/>
          <w:szCs w:val="20"/>
        </w:rPr>
        <w:t xml:space="preserve">upplementary Figure </w:t>
      </w:r>
      <w:r w:rsidR="00950498">
        <w:rPr>
          <w:rFonts w:ascii="Arial" w:hAnsi="Arial" w:cs="Arial"/>
          <w:b/>
          <w:sz w:val="20"/>
          <w:szCs w:val="20"/>
        </w:rPr>
        <w:t>4</w:t>
      </w:r>
      <w:r w:rsidR="003A0D90" w:rsidRPr="003A0D90">
        <w:rPr>
          <w:rFonts w:ascii="Arial" w:hAnsi="Arial" w:cs="Arial"/>
          <w:b/>
          <w:sz w:val="20"/>
          <w:szCs w:val="20"/>
        </w:rPr>
        <w:t>.</w:t>
      </w:r>
      <w:r w:rsidR="003A0D90" w:rsidRPr="003B7BAD">
        <w:rPr>
          <w:rFonts w:ascii="Arial" w:hAnsi="Arial" w:cs="Arial"/>
          <w:sz w:val="20"/>
          <w:szCs w:val="20"/>
        </w:rPr>
        <w:t xml:space="preserve"> </w:t>
      </w:r>
      <w:r w:rsidR="003A0D90">
        <w:rPr>
          <w:rFonts w:ascii="Arial" w:hAnsi="Arial" w:cs="Arial"/>
          <w:sz w:val="20"/>
          <w:szCs w:val="20"/>
        </w:rPr>
        <w:t>Differentially expressed m</w:t>
      </w:r>
      <w:r w:rsidR="003A0D90" w:rsidRPr="003A0D90">
        <w:rPr>
          <w:rFonts w:ascii="Arial" w:hAnsi="Arial" w:cs="Arial"/>
          <w:sz w:val="20"/>
          <w:szCs w:val="20"/>
        </w:rPr>
        <w:t xml:space="preserve">RNAs. (A) </w:t>
      </w:r>
      <w:r w:rsidR="003A0D90">
        <w:rPr>
          <w:rFonts w:ascii="Arial" w:hAnsi="Arial" w:cs="Arial"/>
          <w:sz w:val="20"/>
          <w:szCs w:val="20"/>
        </w:rPr>
        <w:t>V</w:t>
      </w:r>
      <w:r w:rsidR="003A0D90" w:rsidRPr="003A0D90">
        <w:rPr>
          <w:rFonts w:ascii="Arial" w:hAnsi="Arial" w:cs="Arial"/>
          <w:sz w:val="20"/>
          <w:szCs w:val="20"/>
        </w:rPr>
        <w:t xml:space="preserve">olcano plot. (B) </w:t>
      </w:r>
      <w:r w:rsidR="003A0D90">
        <w:rPr>
          <w:rFonts w:ascii="Arial" w:hAnsi="Arial" w:cs="Arial"/>
          <w:sz w:val="20"/>
          <w:szCs w:val="20"/>
        </w:rPr>
        <w:t>C</w:t>
      </w:r>
      <w:r w:rsidR="003A0D90" w:rsidRPr="003A0D90">
        <w:rPr>
          <w:rFonts w:ascii="Arial" w:hAnsi="Arial" w:cs="Arial"/>
          <w:sz w:val="20"/>
          <w:szCs w:val="20"/>
        </w:rPr>
        <w:t>lustered heat map.</w:t>
      </w:r>
      <w:r w:rsidR="003A0D90">
        <w:rPr>
          <w:rFonts w:ascii="Arial" w:hAnsi="Arial" w:cs="Arial"/>
          <w:sz w:val="20"/>
          <w:szCs w:val="20"/>
        </w:rPr>
        <w:t xml:space="preserve"> (C) </w:t>
      </w:r>
      <w:r w:rsidR="003A0D90" w:rsidRPr="003A0D90">
        <w:rPr>
          <w:rFonts w:ascii="Arial" w:hAnsi="Arial" w:cs="Arial"/>
          <w:sz w:val="20"/>
          <w:szCs w:val="20"/>
        </w:rPr>
        <w:t>GO enrichment analysis</w:t>
      </w:r>
      <w:r w:rsidR="003A0D90">
        <w:rPr>
          <w:rFonts w:ascii="Arial" w:hAnsi="Arial" w:cs="Arial"/>
          <w:sz w:val="20"/>
          <w:szCs w:val="20"/>
        </w:rPr>
        <w:t xml:space="preserve">. (D) </w:t>
      </w:r>
      <w:r w:rsidR="003A0D90" w:rsidRPr="003A0D90">
        <w:rPr>
          <w:rFonts w:ascii="Arial" w:hAnsi="Arial" w:cs="Arial"/>
          <w:sz w:val="20"/>
          <w:szCs w:val="20"/>
        </w:rPr>
        <w:t>KEGG pathway analysis</w:t>
      </w:r>
      <w:r w:rsidR="003A0D90">
        <w:rPr>
          <w:rFonts w:ascii="Arial" w:hAnsi="Arial" w:cs="Arial"/>
          <w:sz w:val="20"/>
          <w:szCs w:val="20"/>
        </w:rPr>
        <w:t>.</w:t>
      </w:r>
    </w:p>
    <w:p w:rsidR="005D52EB" w:rsidRPr="003A0D90" w:rsidRDefault="005D52EB"/>
    <w:p w:rsidR="005D52EB" w:rsidRDefault="005D52EB"/>
    <w:p w:rsidR="005D52EB" w:rsidRPr="003B7BAD" w:rsidRDefault="0095573C" w:rsidP="005D52EB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 w:hint="eastAsia"/>
          <w:b/>
          <w:noProof/>
          <w:sz w:val="20"/>
          <w:szCs w:val="20"/>
        </w:rPr>
        <w:lastRenderedPageBreak/>
        <w:drawing>
          <wp:inline distT="0" distB="0" distL="0" distR="0">
            <wp:extent cx="5274310" cy="7555865"/>
            <wp:effectExtent l="0" t="0" r="254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 S4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5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2EB" w:rsidRPr="00C36CB3">
        <w:rPr>
          <w:rFonts w:ascii="Arial" w:hAnsi="Arial" w:cs="Arial" w:hint="eastAsia"/>
          <w:b/>
          <w:sz w:val="20"/>
          <w:szCs w:val="20"/>
        </w:rPr>
        <w:t>S</w:t>
      </w:r>
      <w:r w:rsidR="005D52EB" w:rsidRPr="00C36CB3">
        <w:rPr>
          <w:rFonts w:ascii="Arial" w:hAnsi="Arial" w:cs="Arial"/>
          <w:b/>
          <w:sz w:val="20"/>
          <w:szCs w:val="20"/>
        </w:rPr>
        <w:t xml:space="preserve">upplementary Figure </w:t>
      </w:r>
      <w:r w:rsidR="00950498">
        <w:rPr>
          <w:rFonts w:ascii="Arial" w:hAnsi="Arial" w:cs="Arial"/>
          <w:b/>
          <w:sz w:val="20"/>
          <w:szCs w:val="20"/>
        </w:rPr>
        <w:t>5</w:t>
      </w:r>
      <w:r w:rsidR="005D52EB" w:rsidRPr="00C36CB3">
        <w:rPr>
          <w:rFonts w:ascii="Arial" w:hAnsi="Arial" w:cs="Arial"/>
          <w:b/>
          <w:sz w:val="20"/>
          <w:szCs w:val="20"/>
        </w:rPr>
        <w:t>.</w:t>
      </w:r>
      <w:r w:rsidR="005D52EB" w:rsidRPr="003B7BAD">
        <w:rPr>
          <w:rFonts w:ascii="Arial" w:hAnsi="Arial" w:cs="Arial"/>
          <w:sz w:val="20"/>
          <w:szCs w:val="20"/>
        </w:rPr>
        <w:t xml:space="preserve"> </w:t>
      </w:r>
      <w:r w:rsidR="00286B91" w:rsidRPr="00147498">
        <w:rPr>
          <w:rFonts w:ascii="Arial" w:hAnsi="Arial" w:cs="Arial"/>
          <w:color w:val="000000" w:themeColor="text1"/>
          <w:sz w:val="20"/>
          <w:szCs w:val="20"/>
        </w:rPr>
        <w:t>Unsupervised hierarchical clustering of 287 survival-related genes classified patients into TMEscore-high and TMEscore-low groups.</w:t>
      </w:r>
      <w:r w:rsidR="00286B91" w:rsidRPr="001474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86B91" w:rsidRPr="00147498">
        <w:rPr>
          <w:rFonts w:ascii="Arial" w:hAnsi="Arial" w:cs="Arial"/>
          <w:sz w:val="20"/>
          <w:szCs w:val="20"/>
        </w:rPr>
        <w:t>Ploidy, purity, stage, survival status, gender, TMB and TMEcluster are shown as patient annotations.</w:t>
      </w:r>
    </w:p>
    <w:p w:rsidR="005D52EB" w:rsidRPr="00C36CB3" w:rsidRDefault="005D52EB">
      <w:pPr>
        <w:rPr>
          <w:rFonts w:ascii="Arial" w:hAnsi="Arial" w:cs="Arial"/>
          <w:sz w:val="20"/>
          <w:szCs w:val="20"/>
        </w:rPr>
      </w:pPr>
    </w:p>
    <w:p w:rsidR="005D52EB" w:rsidRDefault="005D52EB">
      <w:pPr>
        <w:rPr>
          <w:rFonts w:ascii="Arial" w:hAnsi="Arial" w:cs="Arial"/>
          <w:sz w:val="20"/>
          <w:szCs w:val="20"/>
        </w:rPr>
      </w:pPr>
    </w:p>
    <w:p w:rsidR="00E33D0F" w:rsidRDefault="00D90E00" w:rsidP="00D90E00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4176186" cy="8280000"/>
            <wp:effectExtent l="0" t="0" r="0" b="698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gure S5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6186" cy="82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D0F" w:rsidRPr="009B1565" w:rsidRDefault="00E33D0F">
      <w:pPr>
        <w:rPr>
          <w:rFonts w:ascii="Arial" w:hAnsi="Arial" w:cs="Arial"/>
          <w:color w:val="000000" w:themeColor="text1"/>
          <w:sz w:val="20"/>
          <w:szCs w:val="20"/>
        </w:rPr>
      </w:pPr>
      <w:r w:rsidRPr="00C36CB3">
        <w:rPr>
          <w:rFonts w:ascii="Arial" w:hAnsi="Arial" w:cs="Arial" w:hint="eastAsia"/>
          <w:b/>
          <w:sz w:val="20"/>
          <w:szCs w:val="20"/>
        </w:rPr>
        <w:t>S</w:t>
      </w:r>
      <w:r w:rsidRPr="00C36CB3">
        <w:rPr>
          <w:rFonts w:ascii="Arial" w:hAnsi="Arial" w:cs="Arial"/>
          <w:b/>
          <w:sz w:val="20"/>
          <w:szCs w:val="20"/>
        </w:rPr>
        <w:t xml:space="preserve">upplementary Figure </w:t>
      </w:r>
      <w:r w:rsidR="00950498">
        <w:rPr>
          <w:rFonts w:ascii="Arial" w:hAnsi="Arial" w:cs="Arial"/>
          <w:b/>
          <w:sz w:val="20"/>
          <w:szCs w:val="20"/>
        </w:rPr>
        <w:t>6</w:t>
      </w:r>
      <w:r w:rsidRPr="00C36CB3">
        <w:rPr>
          <w:rFonts w:ascii="Arial" w:hAnsi="Arial" w:cs="Arial"/>
          <w:b/>
          <w:sz w:val="20"/>
          <w:szCs w:val="20"/>
        </w:rPr>
        <w:t>.</w:t>
      </w:r>
      <w:r>
        <w:rPr>
          <w:rFonts w:ascii="Arial" w:hAnsi="Arial" w:cs="Arial"/>
          <w:b/>
          <w:sz w:val="20"/>
          <w:szCs w:val="20"/>
        </w:rPr>
        <w:t xml:space="preserve"> </w:t>
      </w:r>
      <w:r w:rsidR="009B1565" w:rsidRPr="009B1565">
        <w:rPr>
          <w:rFonts w:ascii="Arial" w:hAnsi="Arial" w:cs="Arial"/>
          <w:color w:val="000000" w:themeColor="text1"/>
          <w:sz w:val="20"/>
          <w:szCs w:val="20"/>
        </w:rPr>
        <w:t>The frequently mutated genes in TMEscore-high and TMEscore-low subtype.</w:t>
      </w:r>
    </w:p>
    <w:p w:rsidR="005D52EB" w:rsidRPr="00003A68" w:rsidRDefault="005D52EB" w:rsidP="00003A68">
      <w:pPr>
        <w:rPr>
          <w:rFonts w:ascii="Arial" w:hAnsi="Arial" w:cs="Arial"/>
          <w:sz w:val="20"/>
          <w:szCs w:val="20"/>
        </w:rPr>
      </w:pPr>
      <w:r>
        <w:rPr>
          <w:rFonts w:hint="eastAsia"/>
          <w:noProof/>
        </w:rPr>
        <w:lastRenderedPageBreak/>
        <w:drawing>
          <wp:inline distT="0" distB="0" distL="0" distR="0">
            <wp:extent cx="5274310" cy="6978650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ure S5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97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7B65">
        <w:rPr>
          <w:rFonts w:ascii="Arial" w:hAnsi="Arial" w:cs="Arial" w:hint="eastAsia"/>
          <w:b/>
          <w:sz w:val="20"/>
          <w:szCs w:val="20"/>
        </w:rPr>
        <w:t>S</w:t>
      </w:r>
      <w:r w:rsidRPr="00807B65">
        <w:rPr>
          <w:rFonts w:ascii="Arial" w:hAnsi="Arial" w:cs="Arial"/>
          <w:b/>
          <w:sz w:val="20"/>
          <w:szCs w:val="20"/>
        </w:rPr>
        <w:t xml:space="preserve">upplementary Figure </w:t>
      </w:r>
      <w:r w:rsidR="00950498">
        <w:rPr>
          <w:rFonts w:ascii="Arial" w:hAnsi="Arial" w:cs="Arial"/>
          <w:b/>
          <w:sz w:val="20"/>
          <w:szCs w:val="20"/>
        </w:rPr>
        <w:t>7</w:t>
      </w:r>
      <w:r w:rsidRPr="00807B65">
        <w:rPr>
          <w:rFonts w:ascii="Arial" w:hAnsi="Arial" w:cs="Arial"/>
          <w:b/>
          <w:sz w:val="20"/>
          <w:szCs w:val="20"/>
        </w:rPr>
        <w:t xml:space="preserve">. </w:t>
      </w:r>
      <w:r w:rsidR="00003A68">
        <w:rPr>
          <w:rFonts w:ascii="Arial" w:hAnsi="Arial" w:cs="Arial"/>
          <w:sz w:val="20"/>
          <w:szCs w:val="20"/>
        </w:rPr>
        <w:t xml:space="preserve">The results of CNV analysis. </w:t>
      </w:r>
      <w:r w:rsidR="00003A68" w:rsidRPr="00003A68">
        <w:rPr>
          <w:rFonts w:ascii="Arial" w:hAnsi="Arial" w:cs="Arial"/>
          <w:sz w:val="20"/>
          <w:szCs w:val="20"/>
        </w:rPr>
        <w:t xml:space="preserve">The frequent amplifications </w:t>
      </w:r>
      <w:r w:rsidR="00003A68">
        <w:rPr>
          <w:rFonts w:ascii="Arial" w:hAnsi="Arial" w:cs="Arial"/>
          <w:sz w:val="20"/>
          <w:szCs w:val="20"/>
        </w:rPr>
        <w:t xml:space="preserve">(red bar) </w:t>
      </w:r>
      <w:r w:rsidR="00003A68" w:rsidRPr="00003A68">
        <w:rPr>
          <w:rFonts w:ascii="Arial" w:hAnsi="Arial" w:cs="Arial"/>
          <w:sz w:val="20"/>
          <w:szCs w:val="20"/>
        </w:rPr>
        <w:t xml:space="preserve">and deletions </w:t>
      </w:r>
      <w:r w:rsidR="00003A68">
        <w:rPr>
          <w:rFonts w:ascii="Arial" w:hAnsi="Arial" w:cs="Arial"/>
          <w:sz w:val="20"/>
          <w:szCs w:val="20"/>
        </w:rPr>
        <w:t xml:space="preserve">(blue bar) </w:t>
      </w:r>
      <w:r w:rsidR="00003A68" w:rsidRPr="00003A68">
        <w:rPr>
          <w:rFonts w:ascii="Arial" w:hAnsi="Arial" w:cs="Arial"/>
          <w:sz w:val="20"/>
          <w:szCs w:val="20"/>
        </w:rPr>
        <w:t>of chromosomal arms in</w:t>
      </w:r>
      <w:r w:rsidR="00003A68">
        <w:rPr>
          <w:rFonts w:ascii="Arial" w:hAnsi="Arial" w:cs="Arial"/>
          <w:sz w:val="20"/>
          <w:szCs w:val="20"/>
        </w:rPr>
        <w:t xml:space="preserve"> </w:t>
      </w:r>
      <w:r w:rsidR="00003A68" w:rsidRPr="00003A68">
        <w:rPr>
          <w:rFonts w:ascii="Arial" w:hAnsi="Arial" w:cs="Arial"/>
          <w:sz w:val="20"/>
          <w:szCs w:val="20"/>
        </w:rPr>
        <w:t>TMEscore-high subtype</w:t>
      </w:r>
      <w:r w:rsidR="00003A68">
        <w:rPr>
          <w:rFonts w:ascii="Arial" w:hAnsi="Arial" w:cs="Arial"/>
          <w:sz w:val="20"/>
          <w:szCs w:val="20"/>
        </w:rPr>
        <w:t xml:space="preserve"> (A) and</w:t>
      </w:r>
      <w:r w:rsidR="00003A68" w:rsidRPr="00003A68">
        <w:rPr>
          <w:rFonts w:ascii="Arial" w:hAnsi="Arial" w:cs="Arial"/>
          <w:sz w:val="20"/>
          <w:szCs w:val="20"/>
        </w:rPr>
        <w:t xml:space="preserve"> in</w:t>
      </w:r>
      <w:r w:rsidR="00003A68">
        <w:rPr>
          <w:rFonts w:ascii="Arial" w:hAnsi="Arial" w:cs="Arial"/>
          <w:sz w:val="20"/>
          <w:szCs w:val="20"/>
        </w:rPr>
        <w:t xml:space="preserve"> </w:t>
      </w:r>
      <w:r w:rsidR="00003A68" w:rsidRPr="00003A68">
        <w:rPr>
          <w:rFonts w:ascii="Arial" w:hAnsi="Arial" w:cs="Arial"/>
          <w:sz w:val="20"/>
          <w:szCs w:val="20"/>
        </w:rPr>
        <w:t>TMEscore-</w:t>
      </w:r>
      <w:r w:rsidR="00003A68">
        <w:rPr>
          <w:rFonts w:ascii="Arial" w:hAnsi="Arial" w:cs="Arial"/>
          <w:sz w:val="20"/>
          <w:szCs w:val="20"/>
        </w:rPr>
        <w:t>low</w:t>
      </w:r>
      <w:r w:rsidR="00003A68" w:rsidRPr="00003A68">
        <w:rPr>
          <w:rFonts w:ascii="Arial" w:hAnsi="Arial" w:cs="Arial"/>
          <w:sz w:val="20"/>
          <w:szCs w:val="20"/>
        </w:rPr>
        <w:t xml:space="preserve"> subtype</w:t>
      </w:r>
      <w:r w:rsidR="00003A68">
        <w:rPr>
          <w:rFonts w:ascii="Arial" w:hAnsi="Arial" w:cs="Arial"/>
          <w:sz w:val="20"/>
          <w:szCs w:val="20"/>
        </w:rPr>
        <w:t xml:space="preserve"> (B)</w:t>
      </w:r>
      <w:r w:rsidR="00003A68" w:rsidRPr="00003A68">
        <w:rPr>
          <w:rFonts w:ascii="Arial" w:hAnsi="Arial" w:cs="Arial"/>
          <w:sz w:val="20"/>
          <w:szCs w:val="20"/>
        </w:rPr>
        <w:t>.</w:t>
      </w:r>
      <w:r w:rsidR="00003A68">
        <w:rPr>
          <w:rFonts w:ascii="Arial" w:hAnsi="Arial" w:cs="Arial"/>
          <w:sz w:val="20"/>
          <w:szCs w:val="20"/>
        </w:rPr>
        <w:t xml:space="preserve"> </w:t>
      </w:r>
      <w:r w:rsidR="00003A68" w:rsidRPr="00003A68">
        <w:rPr>
          <w:rFonts w:ascii="Arial" w:hAnsi="Arial" w:cs="Arial"/>
          <w:sz w:val="20"/>
          <w:szCs w:val="20"/>
        </w:rPr>
        <w:t>The minimal common region (MCR) analysis</w:t>
      </w:r>
      <w:r w:rsidR="00003A68">
        <w:rPr>
          <w:rFonts w:ascii="Arial" w:hAnsi="Arial" w:cs="Arial"/>
          <w:sz w:val="20"/>
          <w:szCs w:val="20"/>
        </w:rPr>
        <w:t xml:space="preserve"> </w:t>
      </w:r>
      <w:r w:rsidR="00003A68" w:rsidRPr="00003A68">
        <w:rPr>
          <w:rFonts w:ascii="Arial" w:hAnsi="Arial" w:cs="Arial"/>
          <w:sz w:val="20"/>
          <w:szCs w:val="20"/>
        </w:rPr>
        <w:t>in</w:t>
      </w:r>
      <w:r w:rsidR="00003A68">
        <w:rPr>
          <w:rFonts w:ascii="Arial" w:hAnsi="Arial" w:cs="Arial"/>
          <w:sz w:val="20"/>
          <w:szCs w:val="20"/>
        </w:rPr>
        <w:t xml:space="preserve"> </w:t>
      </w:r>
      <w:r w:rsidR="00003A68" w:rsidRPr="00003A68">
        <w:rPr>
          <w:rFonts w:ascii="Arial" w:hAnsi="Arial" w:cs="Arial"/>
          <w:sz w:val="20"/>
          <w:szCs w:val="20"/>
        </w:rPr>
        <w:t>TMEscore-high subtype</w:t>
      </w:r>
      <w:r w:rsidR="00003A68">
        <w:rPr>
          <w:rFonts w:ascii="Arial" w:hAnsi="Arial" w:cs="Arial"/>
          <w:sz w:val="20"/>
          <w:szCs w:val="20"/>
        </w:rPr>
        <w:t xml:space="preserve"> (C) and</w:t>
      </w:r>
      <w:r w:rsidR="00003A68" w:rsidRPr="00003A68">
        <w:rPr>
          <w:rFonts w:ascii="Arial" w:hAnsi="Arial" w:cs="Arial"/>
          <w:sz w:val="20"/>
          <w:szCs w:val="20"/>
        </w:rPr>
        <w:t xml:space="preserve"> in</w:t>
      </w:r>
      <w:r w:rsidR="00003A68">
        <w:rPr>
          <w:rFonts w:ascii="Arial" w:hAnsi="Arial" w:cs="Arial"/>
          <w:sz w:val="20"/>
          <w:szCs w:val="20"/>
        </w:rPr>
        <w:t xml:space="preserve"> </w:t>
      </w:r>
      <w:r w:rsidR="00003A68" w:rsidRPr="00003A68">
        <w:rPr>
          <w:rFonts w:ascii="Arial" w:hAnsi="Arial" w:cs="Arial"/>
          <w:sz w:val="20"/>
          <w:szCs w:val="20"/>
        </w:rPr>
        <w:t>TMEscore-</w:t>
      </w:r>
      <w:r w:rsidR="00003A68">
        <w:rPr>
          <w:rFonts w:ascii="Arial" w:hAnsi="Arial" w:cs="Arial"/>
          <w:sz w:val="20"/>
          <w:szCs w:val="20"/>
        </w:rPr>
        <w:t>low</w:t>
      </w:r>
      <w:r w:rsidR="00003A68" w:rsidRPr="00003A68">
        <w:rPr>
          <w:rFonts w:ascii="Arial" w:hAnsi="Arial" w:cs="Arial"/>
          <w:sz w:val="20"/>
          <w:szCs w:val="20"/>
        </w:rPr>
        <w:t xml:space="preserve"> subtype</w:t>
      </w:r>
      <w:r w:rsidR="00003A68">
        <w:rPr>
          <w:rFonts w:ascii="Arial" w:hAnsi="Arial" w:cs="Arial"/>
          <w:sz w:val="20"/>
          <w:szCs w:val="20"/>
        </w:rPr>
        <w:t xml:space="preserve"> (D)</w:t>
      </w:r>
      <w:r w:rsidR="00003A68" w:rsidRPr="00003A68">
        <w:rPr>
          <w:rFonts w:ascii="Arial" w:hAnsi="Arial" w:cs="Arial"/>
          <w:sz w:val="20"/>
          <w:szCs w:val="20"/>
        </w:rPr>
        <w:t>.</w:t>
      </w:r>
      <w:r w:rsidR="00003A68">
        <w:rPr>
          <w:rFonts w:ascii="Arial" w:hAnsi="Arial" w:cs="Arial"/>
          <w:sz w:val="20"/>
          <w:szCs w:val="20"/>
        </w:rPr>
        <w:t xml:space="preserve"> (E) </w:t>
      </w:r>
      <w:r w:rsidR="00003A68" w:rsidRPr="00003A68">
        <w:rPr>
          <w:rFonts w:ascii="Arial" w:hAnsi="Arial" w:cs="Arial"/>
          <w:sz w:val="20"/>
          <w:szCs w:val="20"/>
        </w:rPr>
        <w:t>The tumor purity in two TMEscore subtypes. (F) The tumor ploidy in two TMEscore subtypes.</w:t>
      </w:r>
    </w:p>
    <w:p w:rsidR="005D52EB" w:rsidRPr="00003A68" w:rsidRDefault="005D52EB">
      <w:pPr>
        <w:rPr>
          <w:rFonts w:ascii="Arial" w:hAnsi="Arial" w:cs="Arial"/>
          <w:sz w:val="20"/>
          <w:szCs w:val="20"/>
        </w:rPr>
      </w:pPr>
    </w:p>
    <w:sectPr w:rsidR="005D52EB" w:rsidRPr="00003A6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F0962" w:rsidRDefault="002F0962" w:rsidP="005D52EB">
      <w:r>
        <w:separator/>
      </w:r>
    </w:p>
  </w:endnote>
  <w:endnote w:type="continuationSeparator" w:id="0">
    <w:p w:rsidR="002F0962" w:rsidRDefault="002F0962" w:rsidP="005D52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F0962" w:rsidRDefault="002F0962" w:rsidP="005D52EB">
      <w:r>
        <w:separator/>
      </w:r>
    </w:p>
  </w:footnote>
  <w:footnote w:type="continuationSeparator" w:id="0">
    <w:p w:rsidR="002F0962" w:rsidRDefault="002F0962" w:rsidP="005D52E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KY_MEDREF_DOCUID" w:val="{B2EF02AB-4303-489D-9320-9774BAAF0B0A}"/>
    <w:docVar w:name="KY_MEDREF_VERSION" w:val="3"/>
  </w:docVars>
  <w:rsids>
    <w:rsidRoot w:val="00044C4F"/>
    <w:rsid w:val="00003A68"/>
    <w:rsid w:val="00005687"/>
    <w:rsid w:val="00021298"/>
    <w:rsid w:val="00044C4F"/>
    <w:rsid w:val="000E66D0"/>
    <w:rsid w:val="001363ED"/>
    <w:rsid w:val="00147498"/>
    <w:rsid w:val="00167580"/>
    <w:rsid w:val="001E2C53"/>
    <w:rsid w:val="001F0B99"/>
    <w:rsid w:val="00286B91"/>
    <w:rsid w:val="0029786E"/>
    <w:rsid w:val="002E7D19"/>
    <w:rsid w:val="002F0962"/>
    <w:rsid w:val="002F26C9"/>
    <w:rsid w:val="003010F7"/>
    <w:rsid w:val="00322BC4"/>
    <w:rsid w:val="003264C0"/>
    <w:rsid w:val="003A0D90"/>
    <w:rsid w:val="003B7989"/>
    <w:rsid w:val="003B7BAD"/>
    <w:rsid w:val="003C39CB"/>
    <w:rsid w:val="00426A2C"/>
    <w:rsid w:val="004805A9"/>
    <w:rsid w:val="004F631D"/>
    <w:rsid w:val="00544516"/>
    <w:rsid w:val="00592D68"/>
    <w:rsid w:val="005B0B53"/>
    <w:rsid w:val="005B1440"/>
    <w:rsid w:val="005D52EB"/>
    <w:rsid w:val="007A746E"/>
    <w:rsid w:val="00807B65"/>
    <w:rsid w:val="008E6830"/>
    <w:rsid w:val="00950498"/>
    <w:rsid w:val="0095573C"/>
    <w:rsid w:val="009B1565"/>
    <w:rsid w:val="009D5499"/>
    <w:rsid w:val="009D6B36"/>
    <w:rsid w:val="00A1483C"/>
    <w:rsid w:val="00A15CEF"/>
    <w:rsid w:val="00A8400E"/>
    <w:rsid w:val="00AF064B"/>
    <w:rsid w:val="00B170E5"/>
    <w:rsid w:val="00B45669"/>
    <w:rsid w:val="00B76C10"/>
    <w:rsid w:val="00B90B82"/>
    <w:rsid w:val="00B91F25"/>
    <w:rsid w:val="00C1413F"/>
    <w:rsid w:val="00C1796F"/>
    <w:rsid w:val="00C20161"/>
    <w:rsid w:val="00C36CB3"/>
    <w:rsid w:val="00CC5867"/>
    <w:rsid w:val="00D418E3"/>
    <w:rsid w:val="00D90509"/>
    <w:rsid w:val="00D90E00"/>
    <w:rsid w:val="00D963D8"/>
    <w:rsid w:val="00DE57CA"/>
    <w:rsid w:val="00E13806"/>
    <w:rsid w:val="00E33D0F"/>
    <w:rsid w:val="00E7291A"/>
    <w:rsid w:val="00EB3D08"/>
    <w:rsid w:val="00EE4124"/>
    <w:rsid w:val="00EF7B44"/>
    <w:rsid w:val="00F064F4"/>
    <w:rsid w:val="00F7295B"/>
    <w:rsid w:val="00FF01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A0CBBB38-0B19-44C3-B649-C0928D8238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D52E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5D52EB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5D52E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5D52EB"/>
    <w:rPr>
      <w:sz w:val="18"/>
      <w:szCs w:val="18"/>
    </w:rPr>
  </w:style>
  <w:style w:type="table" w:styleId="a7">
    <w:name w:val="Table Grid"/>
    <w:basedOn w:val="a1"/>
    <w:uiPriority w:val="39"/>
    <w:rsid w:val="009D54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">
    <w:name w:val="列表段落1"/>
    <w:basedOn w:val="a"/>
    <w:uiPriority w:val="99"/>
    <w:qFormat/>
    <w:rsid w:val="00544516"/>
    <w:pPr>
      <w:ind w:firstLineChars="200" w:firstLine="420"/>
    </w:pPr>
    <w:rPr>
      <w:rFonts w:ascii="Times New Roman" w:hAnsi="Times New Roman"/>
      <w:sz w:val="24"/>
    </w:rPr>
  </w:style>
  <w:style w:type="paragraph" w:styleId="a8">
    <w:name w:val="Balloon Text"/>
    <w:basedOn w:val="a"/>
    <w:link w:val="a9"/>
    <w:uiPriority w:val="99"/>
    <w:semiHidden/>
    <w:unhideWhenUsed/>
    <w:rsid w:val="00C20161"/>
    <w:rPr>
      <w:sz w:val="18"/>
      <w:szCs w:val="18"/>
    </w:rPr>
  </w:style>
  <w:style w:type="character" w:customStyle="1" w:styleId="a9">
    <w:name w:val="批注框文本 字符"/>
    <w:basedOn w:val="a0"/>
    <w:link w:val="a8"/>
    <w:uiPriority w:val="99"/>
    <w:semiHidden/>
    <w:rsid w:val="00C2016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20</Pages>
  <Words>1673</Words>
  <Characters>9540</Characters>
  <Application>Microsoft Office Word</Application>
  <DocSecurity>0</DocSecurity>
  <Lines>79</Lines>
  <Paragraphs>22</Paragraphs>
  <ScaleCrop>false</ScaleCrop>
  <Company/>
  <LinksUpToDate>false</LinksUpToDate>
  <CharactersWithSpaces>11191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用户</dc:creator>
  <cp:keywords/>
  <dc:description/>
  <cp:lastModifiedBy>Windows 用户</cp:lastModifiedBy>
  <cp:revision>12</cp:revision>
  <dcterms:created xsi:type="dcterms:W3CDTF">2020-08-17T07:10:00Z</dcterms:created>
  <dcterms:modified xsi:type="dcterms:W3CDTF">2021-02-04T02:38:00Z</dcterms:modified>
</cp:coreProperties>
</file>