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2AD1" w14:textId="2451309E" w:rsidR="000C0C58" w:rsidRPr="00AB3256" w:rsidRDefault="000C0C5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/>
          <w:b/>
          <w:bCs/>
          <w:szCs w:val="24"/>
        </w:rPr>
        <w:t xml:space="preserve">Figure </w:t>
      </w:r>
      <w:r>
        <w:rPr>
          <w:rFonts w:cs="Times New Roman"/>
          <w:b/>
          <w:bCs/>
          <w:szCs w:val="24"/>
        </w:rPr>
        <w:t>S</w:t>
      </w:r>
      <w:r w:rsidRPr="00AB3256">
        <w:rPr>
          <w:rFonts w:cs="Times New Roman"/>
          <w:b/>
          <w:bCs/>
          <w:szCs w:val="24"/>
        </w:rPr>
        <w:t>1. (A, B)</w:t>
      </w:r>
      <w:r w:rsidRPr="00AB3256">
        <w:rPr>
          <w:rFonts w:cs="Times New Roman"/>
          <w:szCs w:val="24"/>
        </w:rPr>
        <w:t xml:space="preserve"> The expression levels of 33 lysine acetylation regulators (LARs) in gliomas with different WHO grades</w:t>
      </w:r>
      <w:r>
        <w:rPr>
          <w:rFonts w:cs="Times New Roman"/>
          <w:szCs w:val="24"/>
        </w:rPr>
        <w:t xml:space="preserve"> in the TCGA dataset</w:t>
      </w:r>
      <w:r w:rsidRPr="00AB3256">
        <w:rPr>
          <w:rFonts w:cs="Times New Roman"/>
          <w:szCs w:val="24"/>
        </w:rPr>
        <w:t>.</w:t>
      </w:r>
      <w:r w:rsidRPr="00AB3256">
        <w:rPr>
          <w:rFonts w:cs="Times New Roman"/>
          <w:b/>
          <w:bCs/>
          <w:szCs w:val="24"/>
        </w:rPr>
        <w:t xml:space="preserve"> (C) </w:t>
      </w:r>
      <w:r w:rsidRPr="000C0C58">
        <w:rPr>
          <w:rFonts w:cs="Times New Roman"/>
          <w:szCs w:val="24"/>
        </w:rPr>
        <w:t xml:space="preserve">The expression levels of 33 lysine acetylation regulators (LARs) in </w:t>
      </w:r>
      <w:r>
        <w:rPr>
          <w:rFonts w:cs="Times New Roman"/>
          <w:szCs w:val="24"/>
        </w:rPr>
        <w:t>LGG</w:t>
      </w:r>
      <w:r w:rsidRPr="000C0C58">
        <w:rPr>
          <w:rFonts w:cs="Times New Roman"/>
          <w:szCs w:val="24"/>
        </w:rPr>
        <w:t xml:space="preserve">s with different </w:t>
      </w:r>
      <w:r>
        <w:rPr>
          <w:rFonts w:cs="Times New Roman"/>
          <w:szCs w:val="24"/>
        </w:rPr>
        <w:t>IDH status</w:t>
      </w:r>
      <w:r w:rsidRPr="000C0C58">
        <w:rPr>
          <w:rFonts w:cs="Times New Roman"/>
          <w:szCs w:val="24"/>
        </w:rPr>
        <w:t xml:space="preserve"> in the TCGA dataset.</w:t>
      </w:r>
      <w:r w:rsidRPr="000C0C58">
        <w:rPr>
          <w:rFonts w:cs="Times New Roman"/>
          <w:b/>
          <w:bCs/>
          <w:szCs w:val="24"/>
        </w:rPr>
        <w:t xml:space="preserve"> </w:t>
      </w:r>
      <w:r w:rsidRPr="00AB3256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D</w:t>
      </w:r>
      <w:r w:rsidRPr="00AB3256">
        <w:rPr>
          <w:rFonts w:cs="Times New Roman"/>
          <w:b/>
          <w:bCs/>
          <w:szCs w:val="24"/>
        </w:rPr>
        <w:t xml:space="preserve">) </w:t>
      </w:r>
      <w:r w:rsidRPr="000C0C58">
        <w:rPr>
          <w:rFonts w:cs="Times New Roman"/>
          <w:szCs w:val="24"/>
        </w:rPr>
        <w:t xml:space="preserve">The expression levels of 33 lysine acetylation regulators (LARs) in </w:t>
      </w:r>
      <w:r>
        <w:rPr>
          <w:rFonts w:cs="Times New Roman"/>
          <w:szCs w:val="24"/>
        </w:rPr>
        <w:t>LGG</w:t>
      </w:r>
      <w:r w:rsidRPr="000C0C58">
        <w:rPr>
          <w:rFonts w:cs="Times New Roman"/>
          <w:szCs w:val="24"/>
        </w:rPr>
        <w:t xml:space="preserve">s with different </w:t>
      </w:r>
      <w:r>
        <w:rPr>
          <w:rFonts w:cs="Times New Roman"/>
          <w:szCs w:val="24"/>
        </w:rPr>
        <w:t>1p/19q status</w:t>
      </w:r>
      <w:r w:rsidRPr="000C0C58">
        <w:rPr>
          <w:rFonts w:cs="Times New Roman"/>
          <w:szCs w:val="24"/>
        </w:rPr>
        <w:t xml:space="preserve"> in the TCGA dataset.</w:t>
      </w:r>
    </w:p>
    <w:p w14:paraId="1D6A7470" w14:textId="3CEBE6F0" w:rsidR="000C0C58" w:rsidRPr="006C5F90" w:rsidRDefault="000C0C5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 w:rsidR="00A41177">
        <w:rPr>
          <w:rFonts w:cs="Times New Roman"/>
          <w:b/>
          <w:bCs/>
          <w:szCs w:val="24"/>
        </w:rPr>
        <w:t>S</w:t>
      </w:r>
      <w:r w:rsidRPr="00AB3256">
        <w:rPr>
          <w:rFonts w:cs="Times New Roman"/>
          <w:b/>
          <w:bCs/>
          <w:szCs w:val="24"/>
        </w:rPr>
        <w:t>2. (</w:t>
      </w:r>
      <w:r>
        <w:rPr>
          <w:rFonts w:cs="Times New Roman"/>
          <w:b/>
          <w:bCs/>
          <w:szCs w:val="24"/>
        </w:rPr>
        <w:t>A</w:t>
      </w:r>
      <w:r w:rsidRPr="00AB3256">
        <w:rPr>
          <w:rFonts w:cs="Times New Roman"/>
          <w:b/>
          <w:bCs/>
          <w:szCs w:val="24"/>
        </w:rPr>
        <w:t>)</w:t>
      </w:r>
      <w:r w:rsidRPr="00AB3256">
        <w:rPr>
          <w:rFonts w:cs="Times New Roman"/>
          <w:szCs w:val="24"/>
        </w:rPr>
        <w:t xml:space="preserve"> </w:t>
      </w:r>
      <w:r w:rsidR="00A41177">
        <w:rPr>
          <w:rFonts w:cs="Times New Roman" w:hint="eastAsia"/>
          <w:szCs w:val="24"/>
          <w:lang w:eastAsia="zh-CN"/>
        </w:rPr>
        <w:t>Lysine</w:t>
      </w:r>
      <w:r w:rsidR="00A41177">
        <w:rPr>
          <w:rFonts w:cs="Times New Roman"/>
          <w:szCs w:val="24"/>
        </w:rPr>
        <w:t xml:space="preserve"> acetyltransferase mRNA expression levels among WHO grades in the CGGA dataset.</w:t>
      </w:r>
      <w:r w:rsidR="00A41177" w:rsidRPr="00A41177">
        <w:rPr>
          <w:rFonts w:cs="Times New Roman"/>
          <w:b/>
          <w:bCs/>
          <w:szCs w:val="24"/>
        </w:rPr>
        <w:t xml:space="preserve"> </w:t>
      </w:r>
      <w:r w:rsidR="00A41177" w:rsidRPr="00AB3256">
        <w:rPr>
          <w:rFonts w:cs="Times New Roman"/>
          <w:b/>
          <w:bCs/>
          <w:szCs w:val="24"/>
        </w:rPr>
        <w:t>(</w:t>
      </w:r>
      <w:r w:rsidR="00A41177">
        <w:rPr>
          <w:rFonts w:cs="Times New Roman"/>
          <w:b/>
          <w:bCs/>
          <w:szCs w:val="24"/>
        </w:rPr>
        <w:t>B</w:t>
      </w:r>
      <w:r w:rsidR="00A41177" w:rsidRPr="00AB3256">
        <w:rPr>
          <w:rFonts w:cs="Times New Roman"/>
          <w:b/>
          <w:bCs/>
          <w:szCs w:val="24"/>
        </w:rPr>
        <w:t>)</w:t>
      </w:r>
      <w:r w:rsidR="00A41177" w:rsidRPr="00AB3256">
        <w:rPr>
          <w:rFonts w:cs="Times New Roman"/>
          <w:szCs w:val="24"/>
        </w:rPr>
        <w:t xml:space="preserve"> </w:t>
      </w:r>
      <w:r w:rsidR="00A41177">
        <w:rPr>
          <w:rFonts w:cs="Times New Roman" w:hint="eastAsia"/>
          <w:szCs w:val="24"/>
          <w:lang w:eastAsia="zh-CN"/>
        </w:rPr>
        <w:t>Lysine</w:t>
      </w:r>
      <w:r w:rsidR="00A41177">
        <w:rPr>
          <w:rFonts w:cs="Times New Roman"/>
          <w:szCs w:val="24"/>
        </w:rPr>
        <w:t xml:space="preserve"> deacetylase mRNA expression levels among WHO grades in the CGGA dataset.</w:t>
      </w:r>
    </w:p>
    <w:p w14:paraId="18019E5E" w14:textId="6C9E4A1A" w:rsidR="000C0C58" w:rsidRPr="006C5F90" w:rsidRDefault="000C0C5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 w:rsidR="00A41177">
        <w:rPr>
          <w:rFonts w:cs="Times New Roman"/>
          <w:b/>
          <w:bCs/>
          <w:szCs w:val="24"/>
        </w:rPr>
        <w:t>S</w:t>
      </w:r>
      <w:r w:rsidRPr="00AB3256">
        <w:rPr>
          <w:rFonts w:cs="Times New Roman"/>
          <w:b/>
          <w:bCs/>
          <w:szCs w:val="24"/>
        </w:rPr>
        <w:t>3</w:t>
      </w:r>
      <w:r w:rsidRPr="00AB3256">
        <w:rPr>
          <w:rFonts w:cs="Times New Roman"/>
          <w:szCs w:val="24"/>
        </w:rPr>
        <w:t xml:space="preserve">. </w:t>
      </w:r>
      <w:r w:rsidRPr="00AB3256">
        <w:rPr>
          <w:rFonts w:cs="Times New Roman"/>
          <w:b/>
          <w:bCs/>
          <w:szCs w:val="24"/>
        </w:rPr>
        <w:t>(A</w:t>
      </w:r>
      <w:r w:rsidR="00A41177">
        <w:rPr>
          <w:rFonts w:cs="Times New Roman"/>
          <w:b/>
          <w:bCs/>
          <w:szCs w:val="24"/>
        </w:rPr>
        <w:t>-J</w:t>
      </w:r>
      <w:r w:rsidRPr="00AB3256">
        <w:rPr>
          <w:rFonts w:cs="Times New Roman"/>
          <w:b/>
          <w:bCs/>
          <w:szCs w:val="24"/>
        </w:rPr>
        <w:t>)</w:t>
      </w:r>
      <w:r w:rsidRPr="00AB3256">
        <w:rPr>
          <w:rFonts w:cs="Times New Roman"/>
          <w:szCs w:val="24"/>
        </w:rPr>
        <w:t xml:space="preserve"> </w:t>
      </w:r>
      <w:r w:rsidR="00A41177" w:rsidRPr="00A41177">
        <w:rPr>
          <w:rFonts w:cs="Times New Roman"/>
          <w:szCs w:val="24"/>
        </w:rPr>
        <w:t>Immunohistochemistry images of</w:t>
      </w:r>
      <w:r w:rsidR="00A41177">
        <w:rPr>
          <w:rFonts w:cs="Times New Roman"/>
          <w:szCs w:val="24"/>
        </w:rPr>
        <w:t xml:space="preserve"> 10</w:t>
      </w:r>
      <w:r w:rsidR="00A41177" w:rsidRPr="00A41177">
        <w:rPr>
          <w:rFonts w:cs="Times New Roman"/>
          <w:szCs w:val="24"/>
        </w:rPr>
        <w:t xml:space="preserve"> LARs were obtained from the</w:t>
      </w:r>
      <w:r w:rsidR="00A41177">
        <w:rPr>
          <w:rFonts w:cs="Times New Roman"/>
          <w:szCs w:val="24"/>
        </w:rPr>
        <w:t xml:space="preserve"> HPA (</w:t>
      </w:r>
      <w:r w:rsidR="00A41177" w:rsidRPr="00A41177">
        <w:rPr>
          <w:rFonts w:cs="Times New Roman"/>
          <w:szCs w:val="24"/>
        </w:rPr>
        <w:t>The Human Protein Atlas</w:t>
      </w:r>
      <w:r w:rsidR="00A41177">
        <w:rPr>
          <w:rFonts w:cs="Times New Roman"/>
          <w:szCs w:val="24"/>
        </w:rPr>
        <w:t>)</w:t>
      </w:r>
      <w:r w:rsidR="00A41177" w:rsidRPr="00A41177">
        <w:rPr>
          <w:rFonts w:cs="Times New Roman"/>
          <w:szCs w:val="24"/>
        </w:rPr>
        <w:t xml:space="preserve"> </w:t>
      </w:r>
      <w:r w:rsidR="00A41177">
        <w:rPr>
          <w:rFonts w:cs="Times New Roman"/>
          <w:szCs w:val="24"/>
        </w:rPr>
        <w:t>dataset.</w:t>
      </w:r>
    </w:p>
    <w:p w14:paraId="29C835B2" w14:textId="0F95E8EB" w:rsidR="007C0A95" w:rsidRDefault="000C0C5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 w:rsidR="00A41177">
        <w:rPr>
          <w:rFonts w:cs="Times New Roman"/>
          <w:b/>
          <w:bCs/>
          <w:szCs w:val="24"/>
        </w:rPr>
        <w:t>S</w:t>
      </w:r>
      <w:r w:rsidRPr="00AB3256">
        <w:rPr>
          <w:rFonts w:cs="Times New Roman"/>
          <w:b/>
          <w:bCs/>
          <w:szCs w:val="24"/>
        </w:rPr>
        <w:t xml:space="preserve">4. (A) </w:t>
      </w:r>
      <w:r w:rsidR="00A41177" w:rsidRPr="007C0A95">
        <w:rPr>
          <w:rFonts w:cs="Times New Roman"/>
          <w:szCs w:val="24"/>
        </w:rPr>
        <w:t>T</w:t>
      </w:r>
      <w:r w:rsidR="00A41177" w:rsidRPr="00AB3256">
        <w:rPr>
          <w:rFonts w:cs="Times New Roman"/>
          <w:szCs w:val="24"/>
        </w:rPr>
        <w:t xml:space="preserve">he expression levels of the included 14 lysine acetylation regulators (LARs) and the distributions of clinicopathological characteristics were </w:t>
      </w:r>
      <w:r w:rsidR="007C0A95">
        <w:rPr>
          <w:rFonts w:cs="Times New Roman"/>
          <w:szCs w:val="24"/>
        </w:rPr>
        <w:t>ordered by the risk scores.</w:t>
      </w:r>
      <w:r w:rsidRPr="00AB3256">
        <w:rPr>
          <w:rFonts w:cs="Times New Roman"/>
          <w:szCs w:val="24"/>
        </w:rPr>
        <w:t xml:space="preserve"> </w:t>
      </w:r>
      <w:r w:rsidRPr="00AB3256">
        <w:rPr>
          <w:rFonts w:cs="Times New Roman"/>
          <w:b/>
          <w:bCs/>
          <w:szCs w:val="24"/>
        </w:rPr>
        <w:t>(B</w:t>
      </w:r>
      <w:r w:rsidR="007C0A95">
        <w:rPr>
          <w:rFonts w:cs="Times New Roman"/>
          <w:b/>
          <w:bCs/>
          <w:szCs w:val="24"/>
        </w:rPr>
        <w:t>-D</w:t>
      </w:r>
      <w:r w:rsidRPr="00AB3256">
        <w:rPr>
          <w:rFonts w:cs="Times New Roman"/>
          <w:b/>
          <w:bCs/>
          <w:szCs w:val="24"/>
        </w:rPr>
        <w:t xml:space="preserve">) </w:t>
      </w:r>
      <w:r w:rsidR="007C0A95" w:rsidRPr="00AB3256">
        <w:rPr>
          <w:rFonts w:cs="Times New Roman"/>
          <w:szCs w:val="24"/>
        </w:rPr>
        <w:t xml:space="preserve">Receiver operating characteristic (ROC) curves </w:t>
      </w:r>
      <w:r w:rsidR="007C0A95" w:rsidRPr="00AB3256">
        <w:rPr>
          <w:rFonts w:cs="Times New Roman" w:hint="eastAsia"/>
          <w:szCs w:val="24"/>
        </w:rPr>
        <w:t>showed</w:t>
      </w:r>
      <w:r w:rsidR="007C0A95" w:rsidRPr="00AB3256">
        <w:rPr>
          <w:rFonts w:cs="Times New Roman"/>
          <w:szCs w:val="24"/>
        </w:rPr>
        <w:t xml:space="preserve"> the predictive efficiency of the risk signature, WHO grade, and age on 1/3/5-year survival r</w:t>
      </w:r>
      <w:r w:rsidR="007C0A95" w:rsidRPr="007C0A95">
        <w:rPr>
          <w:rFonts w:cs="Times New Roman"/>
          <w:szCs w:val="24"/>
        </w:rPr>
        <w:t>ate</w:t>
      </w:r>
      <w:r w:rsidR="007C0A95" w:rsidRPr="007C0A95">
        <w:rPr>
          <w:rFonts w:cs="Times New Roman" w:hint="eastAsia"/>
          <w:szCs w:val="24"/>
        </w:rPr>
        <w:t xml:space="preserve"> </w:t>
      </w:r>
      <w:r w:rsidR="007C0A95" w:rsidRPr="007C0A95">
        <w:rPr>
          <w:rFonts w:cs="Times New Roman" w:hint="eastAsia"/>
          <w:szCs w:val="24"/>
          <w:lang w:eastAsia="zh-CN"/>
        </w:rPr>
        <w:t>in</w:t>
      </w:r>
      <w:r w:rsidR="007C0A95" w:rsidRPr="007C0A95">
        <w:rPr>
          <w:rFonts w:cs="Times New Roman"/>
          <w:szCs w:val="24"/>
        </w:rPr>
        <w:t xml:space="preserve"> the TCGA dataset.</w:t>
      </w:r>
    </w:p>
    <w:p w14:paraId="72992577" w14:textId="783A1383" w:rsidR="00C47EB8" w:rsidRPr="00C47EB8" w:rsidRDefault="00C47EB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>
        <w:rPr>
          <w:rFonts w:cs="Times New Roman"/>
          <w:b/>
          <w:bCs/>
          <w:szCs w:val="24"/>
        </w:rPr>
        <w:t>S</w:t>
      </w:r>
      <w:r w:rsidRPr="00AB3256">
        <w:rPr>
          <w:rFonts w:cs="Times New Roman"/>
          <w:b/>
          <w:bCs/>
          <w:szCs w:val="24"/>
        </w:rPr>
        <w:t>5. (A</w:t>
      </w:r>
      <w:r>
        <w:rPr>
          <w:rFonts w:cs="Times New Roman"/>
          <w:b/>
          <w:bCs/>
          <w:szCs w:val="24"/>
        </w:rPr>
        <w:t>-C</w:t>
      </w:r>
      <w:r w:rsidRPr="00AB3256">
        <w:rPr>
          <w:rFonts w:cs="Times New Roman"/>
          <w:b/>
          <w:bCs/>
          <w:szCs w:val="24"/>
        </w:rPr>
        <w:t>)</w:t>
      </w:r>
      <w:r w:rsidRPr="00AB32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survival analysis between low- and high-risk gliomas in all grades or subtype gliomas in the GSE16011 dataset. </w:t>
      </w:r>
      <w:r w:rsidRPr="007C0A95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D-F</w:t>
      </w:r>
      <w:r w:rsidRPr="007C0A95">
        <w:rPr>
          <w:rFonts w:cs="Times New Roman"/>
          <w:b/>
          <w:bCs/>
          <w:szCs w:val="24"/>
        </w:rPr>
        <w:t>)</w:t>
      </w:r>
      <w:r>
        <w:rPr>
          <w:rFonts w:cs="Times New Roman"/>
          <w:szCs w:val="24"/>
        </w:rPr>
        <w:t xml:space="preserve"> ROC curves of risk score, age and WHO grade in predicting the 1/3/5-year OS of glioma patients in the GSE16011 dataset. </w:t>
      </w:r>
      <w:r w:rsidRPr="00C47EB8">
        <w:rPr>
          <w:rFonts w:cs="Times New Roman"/>
          <w:b/>
          <w:bCs/>
          <w:szCs w:val="24"/>
        </w:rPr>
        <w:t>(G-H)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Univariate and multivariate </w:t>
      </w:r>
      <w:r>
        <w:rPr>
          <w:rFonts w:cs="Times New Roman" w:hint="eastAsia"/>
          <w:szCs w:val="24"/>
          <w:lang w:eastAsia="zh-CN"/>
        </w:rPr>
        <w:t>Cox</w:t>
      </w:r>
      <w:r>
        <w:rPr>
          <w:rFonts w:cs="Times New Roman"/>
          <w:szCs w:val="24"/>
          <w:lang w:eastAsia="zh-CN"/>
        </w:rPr>
        <w:t xml:space="preserve"> </w:t>
      </w:r>
      <w:r>
        <w:rPr>
          <w:rFonts w:cs="Times New Roman" w:hint="eastAsia"/>
          <w:szCs w:val="24"/>
          <w:lang w:eastAsia="zh-CN"/>
        </w:rPr>
        <w:t>regression</w:t>
      </w:r>
      <w:r>
        <w:rPr>
          <w:rFonts w:cs="Times New Roman"/>
          <w:szCs w:val="24"/>
          <w:lang w:eastAsia="zh-CN"/>
        </w:rPr>
        <w:t xml:space="preserve"> analysis of factors including age, gender, WHO grade and risk score in the GSE16011 dataset.</w:t>
      </w:r>
    </w:p>
    <w:p w14:paraId="5D166279" w14:textId="386C34F4" w:rsidR="000C0C58" w:rsidRPr="00AB3256" w:rsidRDefault="000C0C58" w:rsidP="000C0C58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 w:rsidR="007C0A95">
        <w:rPr>
          <w:rFonts w:cs="Times New Roman"/>
          <w:b/>
          <w:bCs/>
          <w:szCs w:val="24"/>
        </w:rPr>
        <w:t>S</w:t>
      </w:r>
      <w:r w:rsidR="00C47EB8">
        <w:rPr>
          <w:rFonts w:cs="Times New Roman"/>
          <w:b/>
          <w:bCs/>
          <w:szCs w:val="24"/>
        </w:rPr>
        <w:t>6</w:t>
      </w:r>
      <w:r w:rsidRPr="00AB3256">
        <w:rPr>
          <w:rFonts w:cs="Times New Roman"/>
          <w:b/>
          <w:bCs/>
          <w:szCs w:val="24"/>
        </w:rPr>
        <w:t xml:space="preserve">. </w:t>
      </w:r>
      <w:r w:rsidR="007C0A95" w:rsidRPr="00AB3256">
        <w:rPr>
          <w:rFonts w:cs="Times New Roman"/>
          <w:b/>
          <w:bCs/>
          <w:szCs w:val="24"/>
        </w:rPr>
        <w:t>(A)</w:t>
      </w:r>
      <w:r w:rsidR="007C0A95" w:rsidRPr="00AB3256">
        <w:rPr>
          <w:rFonts w:cs="Times New Roman"/>
          <w:szCs w:val="24"/>
        </w:rPr>
        <w:t xml:space="preserve"> </w:t>
      </w:r>
      <w:r w:rsidR="007C0A95">
        <w:rPr>
          <w:rFonts w:cs="Times New Roman"/>
          <w:szCs w:val="24"/>
        </w:rPr>
        <w:t xml:space="preserve">The mutation landscape of low- and high-risk gliomas in the TCGA dataset. </w:t>
      </w:r>
      <w:r w:rsidR="007C0A95" w:rsidRPr="007C0A95">
        <w:rPr>
          <w:rFonts w:cs="Times New Roman"/>
          <w:b/>
          <w:bCs/>
          <w:szCs w:val="24"/>
        </w:rPr>
        <w:t>(B)</w:t>
      </w:r>
      <w:r w:rsidR="007C0A95">
        <w:rPr>
          <w:rFonts w:cs="Times New Roman"/>
          <w:szCs w:val="24"/>
        </w:rPr>
        <w:t xml:space="preserve"> Copy number variations of 33 LARs in the gliomas ordered by the risk scores in the TCGA dataset.</w:t>
      </w:r>
    </w:p>
    <w:p w14:paraId="1A8EDB11" w14:textId="191D5A8B" w:rsidR="009B1B7F" w:rsidRPr="007C0A95" w:rsidRDefault="000C0C58" w:rsidP="007C0A95">
      <w:pPr>
        <w:jc w:val="both"/>
        <w:rPr>
          <w:rFonts w:cs="Times New Roman"/>
          <w:szCs w:val="24"/>
        </w:rPr>
      </w:pPr>
      <w:r w:rsidRPr="00AB3256">
        <w:rPr>
          <w:rFonts w:cs="Times New Roman" w:hint="eastAsia"/>
          <w:b/>
          <w:bCs/>
          <w:szCs w:val="24"/>
        </w:rPr>
        <w:t>F</w:t>
      </w:r>
      <w:r w:rsidRPr="00AB3256">
        <w:rPr>
          <w:rFonts w:cs="Times New Roman"/>
          <w:b/>
          <w:bCs/>
          <w:szCs w:val="24"/>
        </w:rPr>
        <w:t xml:space="preserve">igure </w:t>
      </w:r>
      <w:r w:rsidR="007C0A95">
        <w:rPr>
          <w:rFonts w:cs="Times New Roman"/>
          <w:b/>
          <w:bCs/>
          <w:szCs w:val="24"/>
        </w:rPr>
        <w:t>S</w:t>
      </w:r>
      <w:r w:rsidR="00C47EB8">
        <w:rPr>
          <w:rFonts w:cs="Times New Roman"/>
          <w:b/>
          <w:bCs/>
          <w:szCs w:val="24"/>
        </w:rPr>
        <w:t>7</w:t>
      </w:r>
      <w:r w:rsidRPr="00AB3256">
        <w:rPr>
          <w:rFonts w:cs="Times New Roman"/>
          <w:b/>
          <w:bCs/>
          <w:szCs w:val="24"/>
        </w:rPr>
        <w:t>. (A</w:t>
      </w:r>
      <w:r w:rsidR="00D1098A">
        <w:rPr>
          <w:rFonts w:cs="Times New Roman"/>
          <w:b/>
          <w:bCs/>
          <w:szCs w:val="24"/>
        </w:rPr>
        <w:t>-D</w:t>
      </w:r>
      <w:r w:rsidRPr="00AB3256">
        <w:rPr>
          <w:rFonts w:cs="Times New Roman"/>
          <w:b/>
          <w:bCs/>
          <w:szCs w:val="24"/>
        </w:rPr>
        <w:t>)</w:t>
      </w:r>
      <w:r w:rsidRPr="00AB3256">
        <w:rPr>
          <w:rFonts w:cs="Times New Roman"/>
          <w:szCs w:val="24"/>
        </w:rPr>
        <w:t xml:space="preserve"> </w:t>
      </w:r>
      <w:r w:rsidR="007C0A95" w:rsidRPr="007C0A95">
        <w:rPr>
          <w:rFonts w:cs="Times New Roman"/>
          <w:szCs w:val="24"/>
        </w:rPr>
        <w:t xml:space="preserve">Box plots </w:t>
      </w:r>
      <w:r w:rsidR="007C0A95">
        <w:rPr>
          <w:rFonts w:cs="Times New Roman"/>
          <w:szCs w:val="24"/>
        </w:rPr>
        <w:t>depicted</w:t>
      </w:r>
      <w:r w:rsidR="007C0A95" w:rsidRPr="007C0A95">
        <w:rPr>
          <w:rFonts w:cs="Times New Roman"/>
          <w:szCs w:val="24"/>
        </w:rPr>
        <w:t xml:space="preserve"> that</w:t>
      </w:r>
      <w:r w:rsidR="007C0A95">
        <w:rPr>
          <w:rFonts w:cs="Times New Roman"/>
          <w:szCs w:val="24"/>
        </w:rPr>
        <w:t xml:space="preserve"> the </w:t>
      </w:r>
      <w:r w:rsidR="007C0A95" w:rsidRPr="007C0A95">
        <w:rPr>
          <w:rFonts w:cs="Times New Roman"/>
          <w:szCs w:val="24"/>
        </w:rPr>
        <w:t>mRNA expression levels</w:t>
      </w:r>
      <w:r w:rsidR="007C0A95">
        <w:rPr>
          <w:rFonts w:cs="Times New Roman"/>
          <w:szCs w:val="24"/>
        </w:rPr>
        <w:t xml:space="preserve"> of</w:t>
      </w:r>
      <w:r w:rsidR="007C0A95" w:rsidRPr="007C0A95">
        <w:rPr>
          <w:rFonts w:cs="Times New Roman"/>
          <w:szCs w:val="24"/>
        </w:rPr>
        <w:t xml:space="preserve"> different</w:t>
      </w:r>
      <w:r w:rsidR="007C0A95">
        <w:rPr>
          <w:rFonts w:cs="Times New Roman"/>
          <w:szCs w:val="24"/>
        </w:rPr>
        <w:t xml:space="preserve"> HDAC9, HDAC10, KAT6B and SIRT1</w:t>
      </w:r>
      <w:r w:rsidR="007C0A95" w:rsidRPr="007C0A95">
        <w:rPr>
          <w:rFonts w:cs="Times New Roman"/>
          <w:szCs w:val="24"/>
        </w:rPr>
        <w:t xml:space="preserve"> CNV status and the Kaplan–Meier curves revealed that </w:t>
      </w:r>
      <w:r w:rsidR="00030167">
        <w:rPr>
          <w:rFonts w:cs="Times New Roman"/>
          <w:szCs w:val="24"/>
        </w:rPr>
        <w:t xml:space="preserve">HDAC9, HDAC10, KAT6B and SIRT1 </w:t>
      </w:r>
      <w:r w:rsidR="007C0A95" w:rsidRPr="007C0A95">
        <w:rPr>
          <w:rFonts w:cs="Times New Roman"/>
          <w:szCs w:val="24"/>
        </w:rPr>
        <w:t>expression levels were</w:t>
      </w:r>
      <w:r w:rsidR="007C0A95">
        <w:rPr>
          <w:rFonts w:cs="Times New Roman"/>
          <w:szCs w:val="24"/>
        </w:rPr>
        <w:t xml:space="preserve"> not</w:t>
      </w:r>
      <w:r w:rsidR="007C0A95" w:rsidRPr="007C0A95">
        <w:rPr>
          <w:rFonts w:cs="Times New Roman"/>
          <w:szCs w:val="24"/>
        </w:rPr>
        <w:t xml:space="preserve"> associated with OS rates in samples without their CNVs.</w:t>
      </w:r>
    </w:p>
    <w:sectPr w:rsidR="009B1B7F" w:rsidRPr="007C0A95" w:rsidSect="00F5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BE03" w14:textId="77777777" w:rsidR="00732CE0" w:rsidRDefault="00732CE0" w:rsidP="000C0C58">
      <w:pPr>
        <w:spacing w:before="0" w:after="0"/>
      </w:pPr>
      <w:r>
        <w:separator/>
      </w:r>
    </w:p>
  </w:endnote>
  <w:endnote w:type="continuationSeparator" w:id="0">
    <w:p w14:paraId="56E21573" w14:textId="77777777" w:rsidR="00732CE0" w:rsidRDefault="00732CE0" w:rsidP="000C0C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C5F6" w14:textId="77777777" w:rsidR="00A60264" w:rsidRPr="00577C4C" w:rsidRDefault="00144E19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F28E0" wp14:editId="1FDFF2D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71CE23" w14:textId="77777777" w:rsidR="00A60264" w:rsidRPr="00577C4C" w:rsidRDefault="00144E1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F2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0571CE23" w14:textId="77777777" w:rsidR="00A60264" w:rsidRPr="00577C4C" w:rsidRDefault="00144E19">
                    <w:pPr>
                      <w:pStyle w:val="a5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F774" w14:textId="77777777" w:rsidR="00A60264" w:rsidRPr="00577C4C" w:rsidRDefault="00144E19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3F74C" wp14:editId="14E30C9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0710B3" w14:textId="77777777" w:rsidR="00A60264" w:rsidRPr="00577C4C" w:rsidRDefault="00144E1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3F74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180710B3" w14:textId="77777777" w:rsidR="00A60264" w:rsidRPr="00577C4C" w:rsidRDefault="00144E19">
                    <w:pPr>
                      <w:pStyle w:val="a5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A71B" w14:textId="77777777" w:rsidR="00732CE0" w:rsidRDefault="00732CE0" w:rsidP="000C0C58">
      <w:pPr>
        <w:spacing w:before="0" w:after="0"/>
      </w:pPr>
      <w:r>
        <w:separator/>
      </w:r>
    </w:p>
  </w:footnote>
  <w:footnote w:type="continuationSeparator" w:id="0">
    <w:p w14:paraId="2FC56CB6" w14:textId="77777777" w:rsidR="00732CE0" w:rsidRDefault="00732CE0" w:rsidP="000C0C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4DC6" w14:textId="77777777" w:rsidR="00A60264" w:rsidRPr="007E3148" w:rsidRDefault="00144E1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D7CE" w14:textId="77777777" w:rsidR="00A60264" w:rsidRPr="00A53000" w:rsidRDefault="00144E1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BD68" w14:textId="77777777" w:rsidR="00A60264" w:rsidRDefault="00144E19" w:rsidP="00A53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1sDQ2MTIyNzQ1sjRT0lEKTi0uzszPAykwrAUAHVZ/1CwAAAA="/>
  </w:docVars>
  <w:rsids>
    <w:rsidRoot w:val="00756938"/>
    <w:rsid w:val="00030167"/>
    <w:rsid w:val="000C0C58"/>
    <w:rsid w:val="00144E19"/>
    <w:rsid w:val="00732CE0"/>
    <w:rsid w:val="00756938"/>
    <w:rsid w:val="007C0A95"/>
    <w:rsid w:val="00923521"/>
    <w:rsid w:val="009B1B7F"/>
    <w:rsid w:val="00A41177"/>
    <w:rsid w:val="00C47EB8"/>
    <w:rsid w:val="00D1098A"/>
    <w:rsid w:val="00F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88DF15"/>
  <w15:chartTrackingRefBased/>
  <w15:docId w15:val="{143BC8ED-FE8F-4CD1-9478-ACC6B950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58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0C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0C58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C0C58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C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泽伟</dc:creator>
  <cp:keywords/>
  <dc:description/>
  <cp:lastModifiedBy>Frontiers Media SA</cp:lastModifiedBy>
  <cp:revision>6</cp:revision>
  <dcterms:created xsi:type="dcterms:W3CDTF">2020-07-19T02:24:00Z</dcterms:created>
  <dcterms:modified xsi:type="dcterms:W3CDTF">2021-02-24T16:36:00Z</dcterms:modified>
</cp:coreProperties>
</file>