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C4EF" w14:textId="77777777" w:rsidR="00C70B2C" w:rsidRPr="00C70B2C" w:rsidRDefault="00C70B2C" w:rsidP="00C70B2C">
      <w:pPr>
        <w:pStyle w:val="Overskrift2"/>
        <w:rPr>
          <w:sz w:val="22"/>
          <w:szCs w:val="22"/>
          <w:lang w:val="en-US"/>
        </w:rPr>
      </w:pPr>
      <w:bookmarkStart w:id="0" w:name="_Toc468129563"/>
      <w:r w:rsidRPr="00C70B2C">
        <w:rPr>
          <w:sz w:val="22"/>
          <w:szCs w:val="22"/>
          <w:lang w:val="en-US"/>
        </w:rPr>
        <w:t>Inclusion criteria</w:t>
      </w:r>
      <w:bookmarkEnd w:id="0"/>
    </w:p>
    <w:p w14:paraId="13F5C138" w14:textId="77777777" w:rsidR="00C70B2C" w:rsidRPr="00C70B2C" w:rsidRDefault="00C70B2C" w:rsidP="00C70B2C">
      <w:pPr>
        <w:rPr>
          <w:sz w:val="20"/>
          <w:szCs w:val="18"/>
          <w:lang w:val="en-US"/>
        </w:rPr>
      </w:pPr>
      <w:r w:rsidRPr="00C70B2C">
        <w:rPr>
          <w:sz w:val="20"/>
          <w:szCs w:val="18"/>
          <w:lang w:val="en-US"/>
        </w:rPr>
        <w:t>The patients must fulfill the following criteria:</w:t>
      </w:r>
    </w:p>
    <w:p w14:paraId="56024441" w14:textId="1662C977" w:rsidR="00C70B2C" w:rsidRPr="00C70B2C" w:rsidRDefault="00C70B2C" w:rsidP="00C70B2C">
      <w:pPr>
        <w:pStyle w:val="Listeafsnit"/>
        <w:numPr>
          <w:ilvl w:val="0"/>
          <w:numId w:val="1"/>
        </w:numPr>
        <w:rPr>
          <w:sz w:val="20"/>
          <w:szCs w:val="18"/>
          <w:lang w:val="en-US"/>
        </w:rPr>
      </w:pPr>
      <w:r w:rsidRPr="00C70B2C">
        <w:rPr>
          <w:sz w:val="20"/>
          <w:szCs w:val="18"/>
          <w:lang w:val="en-US"/>
        </w:rPr>
        <w:t xml:space="preserve">Diagnosis of essential thrombocythemia, post essential thrombocythemia myelofibrosis, </w:t>
      </w:r>
      <w:proofErr w:type="spellStart"/>
      <w:r w:rsidRPr="00C70B2C">
        <w:rPr>
          <w:sz w:val="20"/>
          <w:szCs w:val="18"/>
          <w:lang w:val="en-US"/>
        </w:rPr>
        <w:t>prefibrotic</w:t>
      </w:r>
      <w:proofErr w:type="spellEnd"/>
      <w:r w:rsidRPr="00C70B2C">
        <w:rPr>
          <w:sz w:val="20"/>
          <w:szCs w:val="18"/>
          <w:lang w:val="en-US"/>
        </w:rPr>
        <w:t xml:space="preserve"> myelofibrosis or primary myelofibrosis according to the WHO criteria</w:t>
      </w:r>
      <w:r>
        <w:rPr>
          <w:sz w:val="20"/>
          <w:szCs w:val="18"/>
          <w:lang w:val="en-US"/>
        </w:rPr>
        <w:t>.</w:t>
      </w:r>
    </w:p>
    <w:p w14:paraId="30015352"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 xml:space="preserve">Verified mutation in </w:t>
      </w:r>
      <w:r w:rsidRPr="00C70B2C">
        <w:rPr>
          <w:i/>
          <w:sz w:val="20"/>
          <w:szCs w:val="18"/>
          <w:lang w:val="en-US"/>
        </w:rPr>
        <w:t xml:space="preserve">CALR </w:t>
      </w:r>
      <w:r w:rsidRPr="00C70B2C">
        <w:rPr>
          <w:sz w:val="20"/>
          <w:szCs w:val="18"/>
          <w:lang w:val="en-US"/>
        </w:rPr>
        <w:t>exon 9.</w:t>
      </w:r>
    </w:p>
    <w:p w14:paraId="3DE6453C"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 xml:space="preserve">Age </w:t>
      </w:r>
      <w:r w:rsidRPr="00C70B2C">
        <w:rPr>
          <w:rFonts w:cstheme="minorHAnsi"/>
          <w:sz w:val="20"/>
          <w:szCs w:val="18"/>
          <w:lang w:val="en-US"/>
        </w:rPr>
        <w:t>≥</w:t>
      </w:r>
      <w:r w:rsidRPr="00C70B2C">
        <w:rPr>
          <w:sz w:val="20"/>
          <w:szCs w:val="18"/>
          <w:lang w:val="en-US"/>
        </w:rPr>
        <w:t>18 years</w:t>
      </w:r>
    </w:p>
    <w:p w14:paraId="45FADD79"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 xml:space="preserve">Performance status </w:t>
      </w:r>
      <w:r w:rsidRPr="00C70B2C">
        <w:rPr>
          <w:rFonts w:cstheme="minorHAnsi"/>
          <w:sz w:val="20"/>
          <w:szCs w:val="18"/>
          <w:lang w:val="en-US"/>
        </w:rPr>
        <w:t>≤</w:t>
      </w:r>
      <w:r w:rsidRPr="00C70B2C">
        <w:rPr>
          <w:sz w:val="20"/>
          <w:szCs w:val="18"/>
          <w:lang w:val="en-US"/>
        </w:rPr>
        <w:t xml:space="preserve"> 2 (ECOG-scale)</w:t>
      </w:r>
    </w:p>
    <w:p w14:paraId="440F3A28"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Expected survival &gt; 3 months</w:t>
      </w:r>
    </w:p>
    <w:p w14:paraId="1736EA26"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Sufficient bone marrow function, i.e.</w:t>
      </w:r>
    </w:p>
    <w:p w14:paraId="30C17093" w14:textId="77777777" w:rsidR="00C70B2C" w:rsidRPr="00C70B2C" w:rsidRDefault="00C70B2C" w:rsidP="00C70B2C">
      <w:pPr>
        <w:pStyle w:val="Listeafsnit"/>
        <w:numPr>
          <w:ilvl w:val="1"/>
          <w:numId w:val="1"/>
        </w:numPr>
        <w:rPr>
          <w:sz w:val="20"/>
          <w:szCs w:val="18"/>
          <w:lang w:val="en-US"/>
        </w:rPr>
      </w:pPr>
      <w:r w:rsidRPr="00C70B2C">
        <w:rPr>
          <w:sz w:val="20"/>
          <w:szCs w:val="18"/>
          <w:lang w:val="en-US"/>
        </w:rPr>
        <w:t xml:space="preserve">Leucocytes </w:t>
      </w:r>
      <w:r w:rsidRPr="00C70B2C">
        <w:rPr>
          <w:rFonts w:cstheme="minorHAnsi"/>
          <w:sz w:val="20"/>
          <w:szCs w:val="18"/>
          <w:lang w:val="en-US"/>
        </w:rPr>
        <w:t>≥</w:t>
      </w:r>
      <w:r w:rsidRPr="00C70B2C">
        <w:rPr>
          <w:sz w:val="20"/>
          <w:szCs w:val="18"/>
          <w:lang w:val="en-US"/>
        </w:rPr>
        <w:t xml:space="preserve"> 1,5 x 10</w:t>
      </w:r>
      <w:r w:rsidRPr="00C70B2C">
        <w:rPr>
          <w:sz w:val="20"/>
          <w:szCs w:val="18"/>
          <w:vertAlign w:val="superscript"/>
          <w:lang w:val="en-US"/>
        </w:rPr>
        <w:t>9</w:t>
      </w:r>
    </w:p>
    <w:p w14:paraId="080876CC" w14:textId="77777777" w:rsidR="00C70B2C" w:rsidRPr="00C70B2C" w:rsidRDefault="00C70B2C" w:rsidP="00C70B2C">
      <w:pPr>
        <w:pStyle w:val="Listeafsnit"/>
        <w:numPr>
          <w:ilvl w:val="1"/>
          <w:numId w:val="1"/>
        </w:numPr>
        <w:rPr>
          <w:sz w:val="20"/>
          <w:szCs w:val="18"/>
          <w:lang w:val="en-US"/>
        </w:rPr>
      </w:pPr>
      <w:r w:rsidRPr="00C70B2C">
        <w:rPr>
          <w:sz w:val="20"/>
          <w:szCs w:val="18"/>
          <w:lang w:val="en-US"/>
        </w:rPr>
        <w:t xml:space="preserve">Granulocytes </w:t>
      </w:r>
      <w:r w:rsidRPr="00C70B2C">
        <w:rPr>
          <w:rFonts w:cstheme="minorHAnsi"/>
          <w:sz w:val="20"/>
          <w:szCs w:val="18"/>
          <w:lang w:val="en-US"/>
        </w:rPr>
        <w:t>≥</w:t>
      </w:r>
      <w:r w:rsidRPr="00C70B2C">
        <w:rPr>
          <w:sz w:val="20"/>
          <w:szCs w:val="18"/>
          <w:lang w:val="en-US"/>
        </w:rPr>
        <w:t xml:space="preserve"> 1,0 x 10</w:t>
      </w:r>
      <w:r w:rsidRPr="00C70B2C">
        <w:rPr>
          <w:sz w:val="20"/>
          <w:szCs w:val="18"/>
          <w:vertAlign w:val="superscript"/>
          <w:lang w:val="en-US"/>
        </w:rPr>
        <w:t>9</w:t>
      </w:r>
    </w:p>
    <w:p w14:paraId="47C216D9" w14:textId="77777777" w:rsidR="00C70B2C" w:rsidRPr="00C70B2C" w:rsidRDefault="00C70B2C" w:rsidP="00C70B2C">
      <w:pPr>
        <w:pStyle w:val="Listeafsnit"/>
        <w:numPr>
          <w:ilvl w:val="1"/>
          <w:numId w:val="1"/>
        </w:numPr>
        <w:rPr>
          <w:sz w:val="20"/>
          <w:szCs w:val="18"/>
          <w:lang w:val="en-US"/>
        </w:rPr>
      </w:pPr>
      <w:r w:rsidRPr="00C70B2C">
        <w:rPr>
          <w:sz w:val="20"/>
          <w:szCs w:val="18"/>
          <w:lang w:val="en-US"/>
        </w:rPr>
        <w:t xml:space="preserve">Thrombocytes </w:t>
      </w:r>
      <w:r w:rsidRPr="00C70B2C">
        <w:rPr>
          <w:rFonts w:cstheme="minorHAnsi"/>
          <w:sz w:val="20"/>
          <w:szCs w:val="18"/>
          <w:lang w:val="en-US"/>
        </w:rPr>
        <w:t>≥</w:t>
      </w:r>
      <w:r w:rsidRPr="00C70B2C">
        <w:rPr>
          <w:sz w:val="20"/>
          <w:szCs w:val="18"/>
          <w:lang w:val="en-US"/>
        </w:rPr>
        <w:t xml:space="preserve"> 20 x 10</w:t>
      </w:r>
      <w:r w:rsidRPr="00C70B2C">
        <w:rPr>
          <w:sz w:val="20"/>
          <w:szCs w:val="18"/>
          <w:vertAlign w:val="superscript"/>
          <w:lang w:val="en-US"/>
        </w:rPr>
        <w:t>9</w:t>
      </w:r>
    </w:p>
    <w:p w14:paraId="7BF35925" w14:textId="77777777" w:rsidR="00C70B2C" w:rsidRPr="00C70B2C" w:rsidRDefault="00C70B2C" w:rsidP="00C70B2C">
      <w:pPr>
        <w:pStyle w:val="Listeafsnit"/>
        <w:numPr>
          <w:ilvl w:val="1"/>
          <w:numId w:val="1"/>
        </w:numPr>
        <w:rPr>
          <w:sz w:val="20"/>
          <w:szCs w:val="18"/>
          <w:lang w:val="en-US"/>
        </w:rPr>
      </w:pPr>
      <w:r w:rsidRPr="00C70B2C">
        <w:rPr>
          <w:sz w:val="20"/>
          <w:szCs w:val="18"/>
          <w:lang w:val="en-US"/>
        </w:rPr>
        <w:t xml:space="preserve">Hemoglobin </w:t>
      </w:r>
      <w:r w:rsidRPr="00C70B2C">
        <w:rPr>
          <w:rFonts w:cstheme="minorHAnsi"/>
          <w:sz w:val="20"/>
          <w:szCs w:val="18"/>
          <w:lang w:val="en-US"/>
        </w:rPr>
        <w:t>≥ 7 mmol/L</w:t>
      </w:r>
    </w:p>
    <w:p w14:paraId="41AFEA3C"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 xml:space="preserve">Creatinine &lt; 2.5 upper normal limit, i.e. &lt; 300 </w:t>
      </w:r>
      <w:r w:rsidRPr="00C70B2C">
        <w:rPr>
          <w:rFonts w:cstheme="minorHAnsi"/>
          <w:sz w:val="20"/>
          <w:szCs w:val="18"/>
          <w:lang w:val="en-US"/>
        </w:rPr>
        <w:t>µ</w:t>
      </w:r>
      <w:r w:rsidRPr="00C70B2C">
        <w:rPr>
          <w:sz w:val="20"/>
          <w:szCs w:val="18"/>
          <w:lang w:val="en-US"/>
        </w:rPr>
        <w:t>mol/l</w:t>
      </w:r>
    </w:p>
    <w:p w14:paraId="14B9DB23"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Sufficient liver function, i.e.</w:t>
      </w:r>
    </w:p>
    <w:p w14:paraId="3918914D" w14:textId="77777777" w:rsidR="00C70B2C" w:rsidRPr="00C70B2C" w:rsidRDefault="00C70B2C" w:rsidP="00C70B2C">
      <w:pPr>
        <w:pStyle w:val="Listeafsnit"/>
        <w:numPr>
          <w:ilvl w:val="1"/>
          <w:numId w:val="1"/>
        </w:numPr>
        <w:rPr>
          <w:sz w:val="20"/>
          <w:szCs w:val="18"/>
          <w:lang w:val="sv-FI"/>
        </w:rPr>
      </w:pPr>
      <w:r w:rsidRPr="00C70B2C">
        <w:rPr>
          <w:sz w:val="20"/>
          <w:szCs w:val="18"/>
          <w:lang w:val="sv-FI"/>
        </w:rPr>
        <w:t xml:space="preserve">ALAT &lt; 2.5 </w:t>
      </w:r>
      <w:proofErr w:type="spellStart"/>
      <w:r w:rsidRPr="00C70B2C">
        <w:rPr>
          <w:sz w:val="20"/>
          <w:szCs w:val="18"/>
          <w:lang w:val="sv-FI"/>
        </w:rPr>
        <w:t>upper</w:t>
      </w:r>
      <w:proofErr w:type="spellEnd"/>
      <w:r w:rsidRPr="00C70B2C">
        <w:rPr>
          <w:sz w:val="20"/>
          <w:szCs w:val="18"/>
          <w:lang w:val="sv-FI"/>
        </w:rPr>
        <w:t xml:space="preserve"> normal limit, i.e. ALAT &lt;112 U/l</w:t>
      </w:r>
    </w:p>
    <w:p w14:paraId="7E8B0AAA" w14:textId="77777777" w:rsidR="00C70B2C" w:rsidRPr="00C70B2C" w:rsidRDefault="00C70B2C" w:rsidP="00C70B2C">
      <w:pPr>
        <w:pStyle w:val="Listeafsnit"/>
        <w:numPr>
          <w:ilvl w:val="1"/>
          <w:numId w:val="1"/>
        </w:numPr>
        <w:rPr>
          <w:sz w:val="20"/>
          <w:szCs w:val="18"/>
          <w:lang w:val="en-US"/>
        </w:rPr>
      </w:pPr>
      <w:r w:rsidRPr="00C70B2C">
        <w:rPr>
          <w:sz w:val="20"/>
          <w:szCs w:val="18"/>
          <w:lang w:val="en-US"/>
        </w:rPr>
        <w:t>Bilirubin &lt; 30 U/l</w:t>
      </w:r>
    </w:p>
    <w:p w14:paraId="372517D7" w14:textId="77777777" w:rsidR="00C70B2C" w:rsidRPr="00C70B2C" w:rsidRDefault="00C70B2C" w:rsidP="00C70B2C">
      <w:pPr>
        <w:pStyle w:val="Listeafsnit"/>
        <w:numPr>
          <w:ilvl w:val="0"/>
          <w:numId w:val="1"/>
        </w:numPr>
        <w:rPr>
          <w:sz w:val="20"/>
          <w:szCs w:val="18"/>
          <w:lang w:val="en-US"/>
        </w:rPr>
      </w:pPr>
      <w:r w:rsidRPr="00C70B2C">
        <w:rPr>
          <w:sz w:val="20"/>
          <w:szCs w:val="18"/>
          <w:lang w:val="en-US"/>
        </w:rPr>
        <w:t xml:space="preserve">For women: Agreement to use contraceptive </w:t>
      </w:r>
      <w:r w:rsidRPr="00C70B2C">
        <w:rPr>
          <w:rFonts w:eastAsia="Times New Roman"/>
          <w:sz w:val="20"/>
          <w:szCs w:val="18"/>
          <w:lang w:val="en-US"/>
        </w:rPr>
        <w:t xml:space="preserve">methods with a failure rate of &lt; 1% per year during the treatment period and for at least 120 days after the last treatment. </w:t>
      </w:r>
    </w:p>
    <w:p w14:paraId="25106527" w14:textId="77777777" w:rsidR="00C70B2C" w:rsidRPr="00C70B2C" w:rsidRDefault="00C70B2C" w:rsidP="00C70B2C">
      <w:pPr>
        <w:pStyle w:val="Listeafsnit"/>
        <w:numPr>
          <w:ilvl w:val="0"/>
          <w:numId w:val="1"/>
        </w:numPr>
        <w:rPr>
          <w:sz w:val="20"/>
          <w:szCs w:val="18"/>
          <w:lang w:val="en-US"/>
        </w:rPr>
      </w:pPr>
      <w:r w:rsidRPr="00C70B2C">
        <w:rPr>
          <w:rFonts w:eastAsia="Times New Roman"/>
          <w:sz w:val="20"/>
          <w:szCs w:val="18"/>
          <w:lang w:val="en-US"/>
        </w:rPr>
        <w:t>For men: Agreement to use contraceptive measures and agreement to refrain from donating sperm.</w:t>
      </w:r>
    </w:p>
    <w:p w14:paraId="01055F0A" w14:textId="77777777" w:rsidR="00C70B2C" w:rsidRPr="00C70B2C" w:rsidRDefault="00C70B2C" w:rsidP="00C70B2C">
      <w:pPr>
        <w:pStyle w:val="Overskrift2"/>
        <w:rPr>
          <w:sz w:val="22"/>
          <w:szCs w:val="22"/>
          <w:lang w:val="en-US"/>
        </w:rPr>
      </w:pPr>
      <w:bookmarkStart w:id="1" w:name="_Toc468129564"/>
      <w:r w:rsidRPr="00C70B2C">
        <w:rPr>
          <w:sz w:val="22"/>
          <w:szCs w:val="22"/>
          <w:lang w:val="en-US"/>
        </w:rPr>
        <w:t>Exclusion criteria</w:t>
      </w:r>
      <w:bookmarkEnd w:id="1"/>
    </w:p>
    <w:p w14:paraId="461BBC41"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Other malignancies in the medical history excluding squamous cell carcinoma. Patients cured for another malignant disease with no sign of relapse three years after ended treatment is allowed to enter the protocol.</w:t>
      </w:r>
    </w:p>
    <w:p w14:paraId="3111D73E"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Significant medical condition per investigators judgement e.g. severe Asthma/COPD, poorly regulated heart condition, insulin dependent diabetes mellitus.</w:t>
      </w:r>
    </w:p>
    <w:p w14:paraId="147B2B5C"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 xml:space="preserve">Acute or chronic viral or bacterial infection e.g. HIV, hepatitis or tuberculosis </w:t>
      </w:r>
    </w:p>
    <w:p w14:paraId="543B26FC"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Serious known allergies or earlier anaphylactic reactions.</w:t>
      </w:r>
    </w:p>
    <w:p w14:paraId="7C538515"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 xml:space="preserve">Known sensibility to </w:t>
      </w:r>
      <w:proofErr w:type="spellStart"/>
      <w:r w:rsidRPr="00C70B2C">
        <w:rPr>
          <w:rFonts w:asciiTheme="minorHAnsi" w:hAnsiTheme="minorHAnsi"/>
          <w:sz w:val="20"/>
          <w:szCs w:val="20"/>
          <w:lang w:val="en-US"/>
        </w:rPr>
        <w:t>Montanide</w:t>
      </w:r>
      <w:proofErr w:type="spellEnd"/>
      <w:r w:rsidRPr="00C70B2C">
        <w:rPr>
          <w:rFonts w:asciiTheme="minorHAnsi" w:hAnsiTheme="minorHAnsi"/>
          <w:sz w:val="20"/>
          <w:szCs w:val="20"/>
          <w:lang w:val="en-US"/>
        </w:rPr>
        <w:t xml:space="preserve"> ISA-51</w:t>
      </w:r>
    </w:p>
    <w:p w14:paraId="2B257A48"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Any active autoimmune diseases e.g. autoimmune neutropenia, thrombocytopenia or hemolytic anemia, systemic lupus erythematosus, scleroderma, myasthenia gravis, autoimmune glomerulonephritis, autoimmune adrenal deficiency, autoimmune</w:t>
      </w:r>
      <w:r w:rsidRPr="00C70B2C">
        <w:rPr>
          <w:sz w:val="20"/>
          <w:szCs w:val="20"/>
          <w:lang w:val="en-US"/>
        </w:rPr>
        <w:t xml:space="preserve"> </w:t>
      </w:r>
      <w:r w:rsidRPr="00C70B2C">
        <w:rPr>
          <w:rFonts w:asciiTheme="minorHAnsi" w:hAnsiTheme="minorHAnsi"/>
          <w:sz w:val="20"/>
          <w:szCs w:val="20"/>
          <w:lang w:val="en-US"/>
        </w:rPr>
        <w:t>thyroiditis etc.</w:t>
      </w:r>
    </w:p>
    <w:p w14:paraId="57D0D52D"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Pregnant and breastfeeding women.</w:t>
      </w:r>
    </w:p>
    <w:p w14:paraId="018F01F5"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Fertile women not using secure contraception with a failure rate less than &lt; 1%</w:t>
      </w:r>
    </w:p>
    <w:p w14:paraId="664AC8FA"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Patients taking immune suppressive medications incl. corticosteroids and methotrexate at the time of enrollment</w:t>
      </w:r>
    </w:p>
    <w:p w14:paraId="5E0D08C5"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Psychiatric disorders that per investigator judgment could influence compliance.</w:t>
      </w:r>
    </w:p>
    <w:p w14:paraId="35164CBA"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Treatment with other experimental drugs</w:t>
      </w:r>
    </w:p>
    <w:p w14:paraId="338A4946"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 xml:space="preserve">Treatment with other anti-cancer drugs – except IFN-a, hydroxyurea or anagrelide. </w:t>
      </w:r>
    </w:p>
    <w:p w14:paraId="5B29C3C4"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 xml:space="preserve">Treatment with </w:t>
      </w:r>
      <w:proofErr w:type="spellStart"/>
      <w:r w:rsidRPr="00C70B2C">
        <w:rPr>
          <w:rFonts w:asciiTheme="minorHAnsi" w:hAnsiTheme="minorHAnsi"/>
          <w:sz w:val="20"/>
          <w:szCs w:val="20"/>
          <w:lang w:val="en-US"/>
        </w:rPr>
        <w:t>ruxolitinib</w:t>
      </w:r>
      <w:proofErr w:type="spellEnd"/>
      <w:r w:rsidRPr="00C70B2C">
        <w:rPr>
          <w:rFonts w:asciiTheme="minorHAnsi" w:hAnsiTheme="minorHAnsi"/>
          <w:sz w:val="20"/>
          <w:szCs w:val="20"/>
          <w:lang w:val="en-US"/>
        </w:rPr>
        <w:t>.</w:t>
      </w:r>
    </w:p>
    <w:p w14:paraId="6C481F07" w14:textId="77777777" w:rsidR="00C70B2C" w:rsidRPr="00C70B2C" w:rsidRDefault="00C70B2C" w:rsidP="00C70B2C">
      <w:pPr>
        <w:pStyle w:val="Brdtekst"/>
        <w:numPr>
          <w:ilvl w:val="0"/>
          <w:numId w:val="2"/>
        </w:numPr>
        <w:spacing w:line="240" w:lineRule="auto"/>
        <w:rPr>
          <w:rFonts w:asciiTheme="minorHAnsi" w:hAnsiTheme="minorHAnsi"/>
          <w:sz w:val="20"/>
          <w:szCs w:val="20"/>
          <w:lang w:val="en-US"/>
        </w:rPr>
      </w:pPr>
      <w:r w:rsidRPr="00C70B2C">
        <w:rPr>
          <w:rFonts w:asciiTheme="minorHAnsi" w:hAnsiTheme="minorHAnsi"/>
          <w:sz w:val="20"/>
          <w:szCs w:val="20"/>
          <w:lang w:val="en-US"/>
        </w:rPr>
        <w:t xml:space="preserve">Treatment with chemotherapy or immune therapy (excluding IFN-a, hydroxyurea or anagrelide within the last 28 days).  </w:t>
      </w:r>
    </w:p>
    <w:p w14:paraId="5BF3258C" w14:textId="77777777" w:rsidR="00EF1E82" w:rsidRPr="00C70B2C" w:rsidRDefault="00EF1E82">
      <w:pPr>
        <w:rPr>
          <w:sz w:val="20"/>
          <w:szCs w:val="18"/>
          <w:lang w:val="en-US"/>
        </w:rPr>
      </w:pPr>
    </w:p>
    <w:sectPr w:rsidR="00EF1E82" w:rsidRPr="00C70B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5D6A"/>
    <w:multiLevelType w:val="hybridMultilevel"/>
    <w:tmpl w:val="E9E0E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B1359A9"/>
    <w:multiLevelType w:val="hybridMultilevel"/>
    <w:tmpl w:val="FD2E6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2C"/>
    <w:rsid w:val="00C54285"/>
    <w:rsid w:val="00C70B2C"/>
    <w:rsid w:val="00EF1E82"/>
    <w:rsid w:val="00FB249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B7C5"/>
  <w15:chartTrackingRefBased/>
  <w15:docId w15:val="{809D70F7-C9A6-43B8-9ED3-3A31D382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2C"/>
    <w:rPr>
      <w:sz w:val="24"/>
    </w:rPr>
  </w:style>
  <w:style w:type="paragraph" w:styleId="Overskrift2">
    <w:name w:val="heading 2"/>
    <w:basedOn w:val="Normal"/>
    <w:next w:val="Normal"/>
    <w:link w:val="Overskrift2Tegn"/>
    <w:uiPriority w:val="9"/>
    <w:unhideWhenUsed/>
    <w:qFormat/>
    <w:rsid w:val="00C70B2C"/>
    <w:pPr>
      <w:keepNext/>
      <w:keepLines/>
      <w:spacing w:before="40" w:after="0"/>
      <w:outlineLvl w:val="1"/>
    </w:pPr>
    <w:rPr>
      <w:rFonts w:asciiTheme="majorHAnsi" w:eastAsiaTheme="majorEastAsia" w:hAnsiTheme="majorHAnsi"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70B2C"/>
    <w:rPr>
      <w:rFonts w:asciiTheme="majorHAnsi" w:eastAsiaTheme="majorEastAsia" w:hAnsiTheme="majorHAnsi" w:cstheme="majorBidi"/>
      <w:sz w:val="26"/>
      <w:szCs w:val="26"/>
    </w:rPr>
  </w:style>
  <w:style w:type="paragraph" w:styleId="Listeafsnit">
    <w:name w:val="List Paragraph"/>
    <w:basedOn w:val="Normal"/>
    <w:uiPriority w:val="34"/>
    <w:qFormat/>
    <w:rsid w:val="00C70B2C"/>
    <w:pPr>
      <w:ind w:left="720"/>
      <w:contextualSpacing/>
    </w:pPr>
  </w:style>
  <w:style w:type="paragraph" w:styleId="Brdtekst">
    <w:name w:val="Body Text"/>
    <w:basedOn w:val="Normal"/>
    <w:link w:val="BrdtekstTegn"/>
    <w:rsid w:val="00C70B2C"/>
    <w:pPr>
      <w:widowControl w:val="0"/>
      <w:suppressAutoHyphens/>
      <w:spacing w:after="140" w:line="288" w:lineRule="auto"/>
    </w:pPr>
    <w:rPr>
      <w:rFonts w:ascii="Liberation Sans" w:eastAsia="SimSun" w:hAnsi="Liberation Sans" w:cs="Liberation Sans"/>
      <w:kern w:val="1"/>
      <w:szCs w:val="24"/>
      <w:lang w:eastAsia="zh-CN" w:bidi="hi-IN"/>
    </w:rPr>
  </w:style>
  <w:style w:type="character" w:customStyle="1" w:styleId="BrdtekstTegn">
    <w:name w:val="Brødtekst Tegn"/>
    <w:basedOn w:val="Standardskrifttypeiafsnit"/>
    <w:link w:val="Brdtekst"/>
    <w:rsid w:val="00C70B2C"/>
    <w:rPr>
      <w:rFonts w:ascii="Liberation Sans" w:eastAsia="SimSun" w:hAnsi="Liberation Sans" w:cs="Liberation Sans"/>
      <w:kern w:val="1"/>
      <w:sz w:val="24"/>
      <w:szCs w:val="24"/>
      <w:lang w:eastAsia="zh-CN" w:bidi="hi-IN"/>
    </w:rPr>
  </w:style>
  <w:style w:type="paragraph" w:styleId="Markeringsbobletekst">
    <w:name w:val="Balloon Text"/>
    <w:basedOn w:val="Normal"/>
    <w:link w:val="MarkeringsbobletekstTegn"/>
    <w:uiPriority w:val="99"/>
    <w:semiHidden/>
    <w:unhideWhenUsed/>
    <w:rsid w:val="00C70B2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0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1972</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Orebo Holmström</dc:creator>
  <cp:keywords/>
  <dc:description/>
  <cp:lastModifiedBy>Morten Orebo Holmström</cp:lastModifiedBy>
  <cp:revision>1</cp:revision>
  <dcterms:created xsi:type="dcterms:W3CDTF">2020-11-10T14:00:00Z</dcterms:created>
  <dcterms:modified xsi:type="dcterms:W3CDTF">2020-11-10T14:01:00Z</dcterms:modified>
</cp:coreProperties>
</file>