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DB13" w14:textId="4318929B" w:rsidR="000F1AD0" w:rsidRPr="000F1AD0" w:rsidRDefault="000F1AD0" w:rsidP="000F1AD0">
      <w:pPr>
        <w:spacing w:line="480" w:lineRule="auto"/>
        <w:jc w:val="both"/>
        <w:rPr>
          <w:b/>
          <w:bCs/>
        </w:rPr>
      </w:pPr>
      <w:r w:rsidRPr="000F1AD0">
        <w:rPr>
          <w:b/>
          <w:bCs/>
        </w:rPr>
        <w:t xml:space="preserve">Supplementary file </w:t>
      </w:r>
      <w:r w:rsidR="00577C03">
        <w:rPr>
          <w:b/>
          <w:bCs/>
        </w:rPr>
        <w:t>2</w:t>
      </w:r>
      <w:r w:rsidRPr="000F1AD0">
        <w:rPr>
          <w:b/>
          <w:bCs/>
        </w:rPr>
        <w:t xml:space="preserve">. Multidimensional assessment of mesenteric fibrosis </w:t>
      </w:r>
      <w:r>
        <w:rPr>
          <w:b/>
          <w:bCs/>
        </w:rPr>
        <w:t xml:space="preserve">used </w:t>
      </w:r>
      <w:r w:rsidRPr="000F1AD0">
        <w:rPr>
          <w:b/>
          <w:bCs/>
        </w:rPr>
        <w:t>to classify patients into different groups of mesenteric fibrosis severity</w:t>
      </w:r>
    </w:p>
    <w:p w14:paraId="7328ED77" w14:textId="25E328E9" w:rsidR="000F1AD0" w:rsidRPr="005A73A8" w:rsidRDefault="000F1AD0" w:rsidP="000F1AD0">
      <w:pPr>
        <w:spacing w:line="480" w:lineRule="auto"/>
        <w:jc w:val="both"/>
      </w:pPr>
      <w:r w:rsidRPr="005A73A8">
        <w:t>A multidimensional assessment of mesenteric fibrosis was used to accurately classify the mesenteric fibrosis severity, which incorporated surgical, radiological and histological criteria</w:t>
      </w:r>
      <w:r w:rsidR="003247B0">
        <w:t>, that we have previously described [25]</w:t>
      </w:r>
      <w:r w:rsidRPr="005A73A8">
        <w:t>. The following components of this assessment were assessed:</w:t>
      </w:r>
    </w:p>
    <w:p w14:paraId="042AE811" w14:textId="77777777" w:rsidR="000F1AD0" w:rsidRPr="005A73A8" w:rsidRDefault="000F1AD0" w:rsidP="000F1AD0">
      <w:pPr>
        <w:spacing w:line="480" w:lineRule="auto"/>
        <w:jc w:val="both"/>
      </w:pPr>
      <w:r w:rsidRPr="00130997">
        <w:rPr>
          <w:b/>
        </w:rPr>
        <w:t>i).</w:t>
      </w:r>
      <w:r w:rsidRPr="005A73A8">
        <w:t xml:space="preserve"> The radiological severity of mesenteric desmoplasia was based on the scoring system originally proposed by Pantongrag-Brown et al [6] using the following categories: a. No radiological evidence of mesenteric desmoplasia (Absence of radiating strands), b. Mild desmoplasia (≤10 thin radiating strands), c. Moderate desmoplasia (&gt;10 thin strands or &lt;10 thick strands) and d. Severe desmoplasia (≥10 thick strands)</w:t>
      </w:r>
    </w:p>
    <w:p w14:paraId="7D159523" w14:textId="77777777" w:rsidR="000F1AD0" w:rsidRPr="005A73A8" w:rsidRDefault="000F1AD0" w:rsidP="000F1AD0">
      <w:pPr>
        <w:spacing w:line="480" w:lineRule="auto"/>
        <w:jc w:val="both"/>
      </w:pPr>
      <w:r w:rsidRPr="00130997">
        <w:rPr>
          <w:b/>
        </w:rPr>
        <w:t>ii).</w:t>
      </w:r>
      <w:r w:rsidRPr="005A73A8">
        <w:t xml:space="preserve"> The histological assessment of mesenteric fibrosis was based on the histological slide with the maximum amount of fibrous tissue. The histological slide was stained with a connective tissue stain (Sirius Red) and two parameters were measured: </w:t>
      </w:r>
    </w:p>
    <w:p w14:paraId="40074C10" w14:textId="1D695AF1" w:rsidR="000F1AD0" w:rsidRPr="005A73A8" w:rsidRDefault="000F1AD0" w:rsidP="000F1AD0">
      <w:pPr>
        <w:spacing w:line="480" w:lineRule="auto"/>
        <w:jc w:val="both"/>
      </w:pPr>
      <w:r w:rsidRPr="00130997">
        <w:rPr>
          <w:b/>
        </w:rPr>
        <w:t>a).</w:t>
      </w:r>
      <w:r w:rsidRPr="005A73A8">
        <w:t xml:space="preserve"> The width of the thickest fibrous band surrounding the mesenteric mass. This technique was used previously by Pantongrag-Brown et al and showed a correlation with the radiological assessment of mesenteric fibrosis</w:t>
      </w:r>
      <w:r>
        <w:t xml:space="preserve"> [</w:t>
      </w:r>
      <w:r w:rsidRPr="005A73A8">
        <w:t>6</w:t>
      </w:r>
      <w:r>
        <w:t>]</w:t>
      </w:r>
      <w:r w:rsidRPr="005A73A8">
        <w:t xml:space="preserve">.  </w:t>
      </w:r>
    </w:p>
    <w:p w14:paraId="72FDCE76" w14:textId="4D83F4F4" w:rsidR="000F1AD0" w:rsidRPr="005A73A8" w:rsidRDefault="000F1AD0" w:rsidP="000F1AD0">
      <w:pPr>
        <w:spacing w:line="480" w:lineRule="auto"/>
        <w:jc w:val="both"/>
      </w:pPr>
      <w:r w:rsidRPr="00130997">
        <w:rPr>
          <w:b/>
        </w:rPr>
        <w:t>b).</w:t>
      </w:r>
      <w:r w:rsidRPr="005A73A8">
        <w:t xml:space="preserve"> The Collagen Proportionate Area (CPA), which represents the percentage of collagen in the stroma surrounding the mesenteric metastatic tumour. This is a quantitative method of measuring fibrous tissue using digital image analysis and has been validated in liver cirrhosis [</w:t>
      </w:r>
      <w:r>
        <w:t>23, 24</w:t>
      </w:r>
      <w:r w:rsidRPr="005A73A8">
        <w:t xml:space="preserve">]. </w:t>
      </w:r>
    </w:p>
    <w:p w14:paraId="0DE67E1B" w14:textId="77777777" w:rsidR="000F1AD0" w:rsidRPr="005A73A8" w:rsidRDefault="000F1AD0" w:rsidP="000F1AD0">
      <w:pPr>
        <w:spacing w:line="480" w:lineRule="auto"/>
        <w:jc w:val="both"/>
        <w:rPr>
          <w:b/>
          <w:bCs/>
        </w:rPr>
      </w:pPr>
      <w:r w:rsidRPr="005A73A8">
        <w:rPr>
          <w:b/>
          <w:bCs/>
        </w:rPr>
        <w:t>Optimisation/characterisation of the inter-observer variability</w:t>
      </w:r>
    </w:p>
    <w:p w14:paraId="5E808163" w14:textId="77777777" w:rsidR="000F1AD0" w:rsidRPr="005A73A8" w:rsidRDefault="000F1AD0" w:rsidP="000F1AD0">
      <w:pPr>
        <w:spacing w:line="480" w:lineRule="auto"/>
        <w:jc w:val="both"/>
      </w:pPr>
      <w:r w:rsidRPr="005A73A8">
        <w:t>The cross-sectional imaging (CT/MRI scan) was assessed independently by 2 assessors (CS, JB) with good inter-observer agreement. In a small number of cases (n=3) a minor discrepancy was observed between the two assessments and consensus was reached between the assessors to determine the radiological severity of the mesenteric desmoplasia after a final review of the imaging studies.</w:t>
      </w:r>
    </w:p>
    <w:p w14:paraId="02F099EC" w14:textId="77777777" w:rsidR="000F1AD0" w:rsidRPr="005A73A8" w:rsidRDefault="000F1AD0" w:rsidP="000F1AD0">
      <w:pPr>
        <w:spacing w:line="480" w:lineRule="auto"/>
        <w:jc w:val="both"/>
      </w:pPr>
      <w:r w:rsidRPr="005A73A8">
        <w:lastRenderedPageBreak/>
        <w:t xml:space="preserve">The histology (mesenteric mass with surrounding fibrosis) </w:t>
      </w:r>
      <w:proofErr w:type="gramStart"/>
      <w:r w:rsidRPr="005A73A8">
        <w:t>were</w:t>
      </w:r>
      <w:proofErr w:type="gramEnd"/>
      <w:r w:rsidRPr="005A73A8">
        <w:t xml:space="preserve"> assessed independently by 2 assessors (AH, SA) with good inter-observer variability (CPA r=0.86998 [95% CI 0.7487, 0.9347], p&lt;0.0001; width of fibrous bands r=0.9174 [95% CI 0.8366, 0.9591], p&lt;0.0001). In the case of minor discrepancies (&lt;20% difference between the two measurements) the mean value of the two assessments was calculated and used for our analysis. In the small number of cases with more significant discrepancies (&gt;20% difference between the two measurements), consensus was reached between the two assessors regarding the CPA and width of fibrous band measurements after a final review of the histology slides.</w:t>
      </w:r>
    </w:p>
    <w:p w14:paraId="634D95E0" w14:textId="77777777" w:rsidR="000F1AD0" w:rsidRPr="005A73A8" w:rsidRDefault="000F1AD0" w:rsidP="000F1AD0">
      <w:pPr>
        <w:spacing w:line="480" w:lineRule="auto"/>
        <w:jc w:val="both"/>
      </w:pPr>
      <w:r w:rsidRPr="00130997">
        <w:rPr>
          <w:b/>
        </w:rPr>
        <w:t>iii).</w:t>
      </w:r>
      <w:r w:rsidRPr="005A73A8">
        <w:t xml:space="preserve"> A surgical (intra-operative) assessment of the extent of mesenteric fibrosis in relation to the entire small bowel mesentery was also provided using the following categories: a. No desmoplasia (No mesenteric fibrosis), b. Mild desmoplasia (Mesenteric fibrosis involving &lt;25% of the small bowel mesentery), c. Moderate desmoplasia (Mesenteric fibrosis involving 25-50% of the small bowel mesentery) and d. Severe desmoplasia (Mesenteric fibrosis involving &gt;50% of the small bowel mesentery). This assessment was provided by the operating surgeon (the same surgeon [OO] performed the macroscopic assessment of mesenteric desmoplasia in all the cases).</w:t>
      </w:r>
    </w:p>
    <w:p w14:paraId="327B937C" w14:textId="77777777" w:rsidR="000F1AD0" w:rsidRPr="005A73A8" w:rsidRDefault="000F1AD0" w:rsidP="000F1AD0">
      <w:pPr>
        <w:spacing w:line="480" w:lineRule="auto"/>
        <w:jc w:val="both"/>
        <w:rPr>
          <w:b/>
          <w:bCs/>
          <w:i/>
          <w:iCs/>
        </w:rPr>
      </w:pPr>
      <w:r w:rsidRPr="005A73A8">
        <w:rPr>
          <w:b/>
          <w:bCs/>
          <w:i/>
          <w:iCs/>
        </w:rPr>
        <w:t xml:space="preserve">Optimal cut-off points of histological parameters (maximum width and CPA) for the prediction of clinical fibrosis </w:t>
      </w:r>
    </w:p>
    <w:p w14:paraId="49D5D61C" w14:textId="77777777" w:rsidR="000F1AD0" w:rsidRPr="005A73A8" w:rsidRDefault="000F1AD0" w:rsidP="000F1AD0">
      <w:pPr>
        <w:spacing w:line="480" w:lineRule="auto"/>
        <w:jc w:val="both"/>
      </w:pPr>
      <w:r w:rsidRPr="005A73A8">
        <w:t xml:space="preserve">A receiver operating characteristic (ROC) curve was used to establish the optimal cut-off points of CPA and maximum width of fibrous bands that predicted with the best sensitivity and specificity the presence of clinical (radiological and/or surgical) fibrosis. </w:t>
      </w:r>
    </w:p>
    <w:p w14:paraId="2B83D6C0" w14:textId="77777777" w:rsidR="000F1AD0" w:rsidRPr="005A73A8" w:rsidRDefault="000F1AD0" w:rsidP="000F1AD0">
      <w:pPr>
        <w:spacing w:line="480" w:lineRule="auto"/>
        <w:jc w:val="both"/>
      </w:pPr>
      <w:r w:rsidRPr="005A73A8">
        <w:t>A width of fibrous band &gt; 0.505mm and a CPA &gt;37.6% were identified as the optimal cut-off points (Width of fibrous bands: AUC 0.751 [95% CI 0.535, 0.967], p=0.027 and CPA (AUC 0.804 [95% CI 0.634, 0.975], p=0.007).</w:t>
      </w:r>
    </w:p>
    <w:p w14:paraId="7BD250C6" w14:textId="77777777" w:rsidR="000F1AD0" w:rsidRPr="000F1AD0" w:rsidRDefault="000F1AD0" w:rsidP="000F1AD0">
      <w:pPr>
        <w:spacing w:line="480" w:lineRule="auto"/>
        <w:jc w:val="both"/>
        <w:rPr>
          <w:b/>
          <w:bCs/>
        </w:rPr>
      </w:pPr>
      <w:r w:rsidRPr="000F1AD0">
        <w:rPr>
          <w:b/>
          <w:bCs/>
        </w:rPr>
        <w:t>Development of different patient groups of mesenteric fibrosis severity</w:t>
      </w:r>
    </w:p>
    <w:p w14:paraId="4E71B1A4" w14:textId="77777777" w:rsidR="000F1AD0" w:rsidRPr="005A73A8" w:rsidRDefault="000F1AD0" w:rsidP="000F1AD0">
      <w:pPr>
        <w:spacing w:line="480" w:lineRule="auto"/>
        <w:jc w:val="both"/>
      </w:pPr>
      <w:r w:rsidRPr="005A73A8">
        <w:lastRenderedPageBreak/>
        <w:t xml:space="preserve">A total of 34 patients were grouped in different categories of mesenteric fibrosis severity: </w:t>
      </w:r>
    </w:p>
    <w:p w14:paraId="7AB8C833" w14:textId="77777777" w:rsidR="000F1AD0" w:rsidRPr="005A73A8" w:rsidRDefault="000F1AD0" w:rsidP="000F1AD0">
      <w:pPr>
        <w:spacing w:line="480" w:lineRule="auto"/>
        <w:jc w:val="both"/>
      </w:pPr>
      <w:r w:rsidRPr="00130997">
        <w:rPr>
          <w:b/>
        </w:rPr>
        <w:t>1).</w:t>
      </w:r>
      <w:r w:rsidRPr="005A73A8">
        <w:t xml:space="preserve"> Non-fibrotic group: No evidence of mesenteric fibrosis (n=3)</w:t>
      </w:r>
    </w:p>
    <w:p w14:paraId="1DE554C0" w14:textId="77777777" w:rsidR="000F1AD0" w:rsidRPr="005A73A8" w:rsidRDefault="000F1AD0" w:rsidP="000F1AD0">
      <w:pPr>
        <w:spacing w:line="480" w:lineRule="auto"/>
        <w:jc w:val="both"/>
      </w:pPr>
      <w:r w:rsidRPr="00130997">
        <w:rPr>
          <w:b/>
        </w:rPr>
        <w:t>2).</w:t>
      </w:r>
      <w:r w:rsidRPr="005A73A8">
        <w:t xml:space="preserve"> Minimally fibrotic group: Only histological (but no clinical evidence of) fibrosis (n=6). In this group of patients, a mesenteric metastasis was present and surrounded by a small amount of fibrosis detected only histologically. </w:t>
      </w:r>
    </w:p>
    <w:p w14:paraId="01F105EC" w14:textId="3424B6F0" w:rsidR="000F1AD0" w:rsidRPr="005A73A8" w:rsidRDefault="000F1AD0" w:rsidP="000F1AD0">
      <w:pPr>
        <w:spacing w:line="480" w:lineRule="auto"/>
        <w:jc w:val="both"/>
      </w:pPr>
      <w:r w:rsidRPr="00130997">
        <w:rPr>
          <w:b/>
        </w:rPr>
        <w:t>3).</w:t>
      </w:r>
      <w:r w:rsidRPr="005A73A8">
        <w:t xml:space="preserve"> Mildly and severely fibrotic groups: These patients had evidence of clinical (macroscopic) fibrosis (n=25). The group of patients with clinical fibrosis was further sub-divided into 2 smaller subgroups: A group of patients with mild fibrosis (n=14) and another group with severe fibrosis (n=11). A scoring system was developed to group patients in different categories of clinical fibrosis severity. This scoring system (</w:t>
      </w:r>
      <w:r w:rsidRPr="005A73A8">
        <w:rPr>
          <w:b/>
          <w:bCs/>
        </w:rPr>
        <w:t>Table</w:t>
      </w:r>
      <w:r w:rsidRPr="005A73A8">
        <w:t xml:space="preserve">) incorporated surgical (macroscopic), radiological and histological parameters. </w:t>
      </w:r>
    </w:p>
    <w:p w14:paraId="167CDCBE" w14:textId="292748AB" w:rsidR="000F1AD0" w:rsidRPr="005A73A8" w:rsidRDefault="000F1AD0" w:rsidP="000F1AD0">
      <w:pPr>
        <w:spacing w:line="480" w:lineRule="auto"/>
        <w:jc w:val="both"/>
        <w:rPr>
          <w:b/>
          <w:bCs/>
        </w:rPr>
      </w:pPr>
      <w:r w:rsidRPr="005A73A8">
        <w:rPr>
          <w:b/>
          <w:bCs/>
        </w:rPr>
        <w:t>Table. Scoring system used to assess the severity of mesenteric fibrosis. This system is not validated, but incorporates surgical, radiological and histological measurements, therefore allowing for a more objective, multidimensional assessment of the severity of mesenteric fibrosis [</w:t>
      </w:r>
      <w:r w:rsidR="001C2294">
        <w:rPr>
          <w:b/>
          <w:bCs/>
        </w:rPr>
        <w:t>25</w:t>
      </w:r>
      <w:r w:rsidRPr="005A73A8">
        <w:rPr>
          <w:b/>
          <w:bCs/>
        </w:rPr>
        <w:t>]. CPA: Collagen Proportionate Area.</w:t>
      </w:r>
    </w:p>
    <w:tbl>
      <w:tblPr>
        <w:tblStyle w:val="GridTable1Light"/>
        <w:tblW w:w="9042" w:type="dxa"/>
        <w:tblLook w:val="0420" w:firstRow="1" w:lastRow="0" w:firstColumn="0" w:lastColumn="0" w:noHBand="0" w:noVBand="1"/>
      </w:tblPr>
      <w:tblGrid>
        <w:gridCol w:w="2985"/>
        <w:gridCol w:w="2713"/>
        <w:gridCol w:w="3344"/>
      </w:tblGrid>
      <w:tr w:rsidR="000F1AD0" w:rsidRPr="005A73A8" w14:paraId="07A04949" w14:textId="77777777" w:rsidTr="00D8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tcW w:w="2985" w:type="dxa"/>
            <w:hideMark/>
          </w:tcPr>
          <w:p w14:paraId="4F2D2CBB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Surgical evidence of fibrosis</w:t>
            </w:r>
          </w:p>
        </w:tc>
        <w:tc>
          <w:tcPr>
            <w:tcW w:w="2713" w:type="dxa"/>
            <w:hideMark/>
          </w:tcPr>
          <w:p w14:paraId="1319EC43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Radiological evidence of fibrosis</w:t>
            </w:r>
          </w:p>
        </w:tc>
        <w:tc>
          <w:tcPr>
            <w:tcW w:w="3344" w:type="dxa"/>
            <w:hideMark/>
          </w:tcPr>
          <w:p w14:paraId="64897026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Histological evidence of fibrosis</w:t>
            </w:r>
          </w:p>
        </w:tc>
      </w:tr>
      <w:tr w:rsidR="000F1AD0" w:rsidRPr="005A73A8" w14:paraId="479D8090" w14:textId="77777777" w:rsidTr="00D81372">
        <w:trPr>
          <w:trHeight w:val="560"/>
        </w:trPr>
        <w:tc>
          <w:tcPr>
            <w:tcW w:w="2985" w:type="dxa"/>
            <w:hideMark/>
          </w:tcPr>
          <w:p w14:paraId="2B282314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0: None</w:t>
            </w:r>
          </w:p>
        </w:tc>
        <w:tc>
          <w:tcPr>
            <w:tcW w:w="2713" w:type="dxa"/>
            <w:hideMark/>
          </w:tcPr>
          <w:p w14:paraId="3DD67A87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0: None</w:t>
            </w:r>
          </w:p>
        </w:tc>
        <w:tc>
          <w:tcPr>
            <w:tcW w:w="3344" w:type="dxa"/>
            <w:hideMark/>
          </w:tcPr>
          <w:p w14:paraId="682752B9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0: None</w:t>
            </w:r>
          </w:p>
        </w:tc>
      </w:tr>
      <w:tr w:rsidR="000F1AD0" w:rsidRPr="005A73A8" w14:paraId="758BECC3" w14:textId="77777777" w:rsidTr="00D81372">
        <w:trPr>
          <w:trHeight w:val="560"/>
        </w:trPr>
        <w:tc>
          <w:tcPr>
            <w:tcW w:w="2985" w:type="dxa"/>
            <w:hideMark/>
          </w:tcPr>
          <w:p w14:paraId="0059E9BC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1: &lt;25% of small bowel mesentery</w:t>
            </w:r>
          </w:p>
        </w:tc>
        <w:tc>
          <w:tcPr>
            <w:tcW w:w="2713" w:type="dxa"/>
            <w:hideMark/>
          </w:tcPr>
          <w:p w14:paraId="14688779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1: ≤10 thin strands</w:t>
            </w:r>
          </w:p>
        </w:tc>
        <w:tc>
          <w:tcPr>
            <w:tcW w:w="3344" w:type="dxa"/>
            <w:hideMark/>
          </w:tcPr>
          <w:p w14:paraId="0921ECF3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1: Yes, but CPA&lt;37.6% AND width of fibrous band &lt;0.505 mm</w:t>
            </w:r>
          </w:p>
        </w:tc>
      </w:tr>
      <w:tr w:rsidR="000F1AD0" w:rsidRPr="005A73A8" w14:paraId="7A3CD09E" w14:textId="77777777" w:rsidTr="00D81372">
        <w:trPr>
          <w:trHeight w:val="560"/>
        </w:trPr>
        <w:tc>
          <w:tcPr>
            <w:tcW w:w="2985" w:type="dxa"/>
            <w:hideMark/>
          </w:tcPr>
          <w:p w14:paraId="1406F9F9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2: 25-50% of small bowel mesentery</w:t>
            </w:r>
          </w:p>
        </w:tc>
        <w:tc>
          <w:tcPr>
            <w:tcW w:w="2713" w:type="dxa"/>
            <w:hideMark/>
          </w:tcPr>
          <w:p w14:paraId="6AB0782E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2: &gt;10 thin and &lt;10 thick strands</w:t>
            </w:r>
          </w:p>
        </w:tc>
        <w:tc>
          <w:tcPr>
            <w:tcW w:w="3344" w:type="dxa"/>
            <w:hideMark/>
          </w:tcPr>
          <w:p w14:paraId="0EFF7BCB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2: Yes, CPA&gt;37.6% OR width of fibrous band &gt;0.505 mm</w:t>
            </w:r>
          </w:p>
        </w:tc>
      </w:tr>
      <w:tr w:rsidR="000F1AD0" w:rsidRPr="005A73A8" w14:paraId="4F3959F9" w14:textId="77777777" w:rsidTr="00D81372">
        <w:trPr>
          <w:trHeight w:val="560"/>
        </w:trPr>
        <w:tc>
          <w:tcPr>
            <w:tcW w:w="2985" w:type="dxa"/>
            <w:hideMark/>
          </w:tcPr>
          <w:p w14:paraId="0A1C2E3E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lastRenderedPageBreak/>
              <w:t>3: &gt;50% of small bowel mesentery</w:t>
            </w:r>
          </w:p>
        </w:tc>
        <w:tc>
          <w:tcPr>
            <w:tcW w:w="2713" w:type="dxa"/>
            <w:hideMark/>
          </w:tcPr>
          <w:p w14:paraId="7626C947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3: ≥10 thick strands</w:t>
            </w:r>
          </w:p>
        </w:tc>
        <w:tc>
          <w:tcPr>
            <w:tcW w:w="3344" w:type="dxa"/>
            <w:hideMark/>
          </w:tcPr>
          <w:p w14:paraId="490490F1" w14:textId="77777777" w:rsidR="000F1AD0" w:rsidRPr="005A73A8" w:rsidRDefault="000F1AD0" w:rsidP="00D81372">
            <w:pPr>
              <w:spacing w:after="160" w:line="480" w:lineRule="auto"/>
              <w:jc w:val="both"/>
            </w:pPr>
            <w:r w:rsidRPr="005A73A8">
              <w:t>3: Yes, CPA&gt;37.6% AND max width &gt;0.505mm</w:t>
            </w:r>
          </w:p>
        </w:tc>
      </w:tr>
    </w:tbl>
    <w:p w14:paraId="663D78ED" w14:textId="77777777" w:rsidR="000F1AD0" w:rsidRDefault="000F1AD0" w:rsidP="000F1AD0">
      <w:pPr>
        <w:spacing w:line="480" w:lineRule="auto"/>
        <w:jc w:val="both"/>
      </w:pPr>
    </w:p>
    <w:p w14:paraId="5F550346" w14:textId="77777777" w:rsidR="000F1AD0" w:rsidRPr="005A73A8" w:rsidRDefault="000F1AD0" w:rsidP="000F1AD0">
      <w:pPr>
        <w:spacing w:line="480" w:lineRule="auto"/>
        <w:jc w:val="both"/>
      </w:pPr>
      <w:r w:rsidRPr="005A73A8">
        <w:t>A total score of 6 was arbitrarily chosen as a cut-off point to allow a fairly equal distribution of patients in the two subgroups of clinical fibrosis (mild &lt;6, severe ≥6).</w:t>
      </w:r>
    </w:p>
    <w:p w14:paraId="5B6B72D7" w14:textId="77777777" w:rsidR="000F1AD0" w:rsidRPr="005A73A8" w:rsidRDefault="000F1AD0" w:rsidP="000F1AD0">
      <w:pPr>
        <w:spacing w:line="480" w:lineRule="auto"/>
        <w:jc w:val="both"/>
      </w:pPr>
      <w:r w:rsidRPr="005A73A8">
        <w:t>Interestingly, the non-fibrotic group was characterised by the absence of a mesenteric mass, while all patients with a mesenteric metastasis had evidence of fibrosis development, and the extent of the desmoplastic reaction varied significantly, from minimal (detected only histologically) to more advanced.</w:t>
      </w:r>
    </w:p>
    <w:p w14:paraId="442176D9" w14:textId="77777777" w:rsidR="000F1AD0" w:rsidRPr="005A73A8" w:rsidRDefault="000F1AD0" w:rsidP="000F1AD0">
      <w:pPr>
        <w:spacing w:line="480" w:lineRule="auto"/>
        <w:jc w:val="both"/>
      </w:pPr>
      <w:r w:rsidRPr="005A73A8">
        <w:t xml:space="preserve">Using this methodology, patients were grouped into 4 distinct categories with graded severity of mesenteric fibrosis, </w:t>
      </w:r>
      <w:proofErr w:type="gramStart"/>
      <w:r w:rsidRPr="005A73A8">
        <w:t>i.e.</w:t>
      </w:r>
      <w:proofErr w:type="gramEnd"/>
      <w:r w:rsidRPr="005A73A8">
        <w:t xml:space="preserve"> patients with no mesenteric fibrosis (n=3), minimal fibrosis (microscopic fibrotic capsule around the mesenteric lymph node) (n=6), mild (n=14) and severe mesenteric fibrosis (n=11).  </w:t>
      </w:r>
    </w:p>
    <w:p w14:paraId="3A5A672C" w14:textId="77777777" w:rsidR="00CF15B5" w:rsidRDefault="00CF15B5"/>
    <w:sectPr w:rsidR="00CF1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D0"/>
    <w:rsid w:val="000F1AD0"/>
    <w:rsid w:val="001C2294"/>
    <w:rsid w:val="003247B0"/>
    <w:rsid w:val="00577C03"/>
    <w:rsid w:val="00C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A3C5"/>
  <w15:chartTrackingRefBased/>
  <w15:docId w15:val="{B9BBCE0D-D2FD-46EB-9BEB-2DEB7BF4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F1A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Faidon Laskaratos</dc:creator>
  <cp:keywords/>
  <dc:description/>
  <cp:lastModifiedBy>Faidon Laskaratos</cp:lastModifiedBy>
  <cp:revision>4</cp:revision>
  <dcterms:created xsi:type="dcterms:W3CDTF">2020-11-15T12:17:00Z</dcterms:created>
  <dcterms:modified xsi:type="dcterms:W3CDTF">2020-12-23T08:02:00Z</dcterms:modified>
</cp:coreProperties>
</file>