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wmf" ContentType="image/x-wmf"/>
  <Override PartName="/word/media/image9.png" ContentType="image/png"/>
  <Override PartName="/word/styles.xml" ContentType="application/vnd.openxmlformats-officedocument.wordprocessingml.styles+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b/>
          <w:b/>
          <w:u w:val="single"/>
          <w:lang w:val="en-US"/>
        </w:rPr>
      </w:pPr>
      <w:r>
        <w:rPr>
          <w:b/>
          <w:lang w:val="en-US"/>
        </w:rPr>
        <w:t>NETosis in SARS-CoV2 related pneumonia in ICU patients: the NETCOV2 study</w:t>
      </w:r>
    </w:p>
    <w:p>
      <w:pPr>
        <w:pStyle w:val="Normal"/>
        <w:jc w:val="both"/>
        <w:rPr>
          <w:lang w:val="en-US"/>
        </w:rPr>
      </w:pPr>
      <w:r>
        <w:rPr>
          <w:lang w:val="en-US"/>
        </w:rPr>
      </w:r>
    </w:p>
    <w:p>
      <w:pPr>
        <w:pStyle w:val="Normal"/>
        <w:jc w:val="both"/>
        <w:rPr/>
      </w:pPr>
      <w:r>
        <w:rPr/>
        <w:t>Mathieu Godement, Jaja Zhu, Charles Cerf, Antoine Vieillard-Baron, Agathe Maillon, Benjamin Zuber, Valérie Bardet, Guillaume Geri</w:t>
      </w:r>
    </w:p>
    <w:p>
      <w:pPr>
        <w:pStyle w:val="Normal"/>
        <w:rPr/>
      </w:pPr>
      <w:r>
        <w:rPr/>
      </w:r>
    </w:p>
    <w:p>
      <w:pPr>
        <w:pStyle w:val="Normal"/>
        <w:jc w:val="center"/>
        <w:rPr>
          <w:b/>
          <w:b/>
          <w:u w:val="single"/>
          <w:lang w:val="en-US"/>
        </w:rPr>
      </w:pPr>
      <w:r>
        <w:rPr>
          <w:b/>
          <w:u w:val="single"/>
          <w:lang w:val="en-US"/>
        </w:rPr>
        <w:t>Supplementary material</w:t>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spacing w:lineRule="auto" w:line="259" w:before="0" w:after="160"/>
        <w:rPr>
          <w:lang w:val="en-US"/>
        </w:rPr>
      </w:pPr>
      <w:r>
        <w:rPr>
          <w:lang w:val="en-US"/>
        </w:rPr>
      </w:r>
    </w:p>
    <w:p>
      <w:pPr>
        <w:pStyle w:val="Normal"/>
        <w:rPr>
          <w:lang w:val="en-US"/>
        </w:rPr>
      </w:pPr>
      <w:r>
        <w:rPr>
          <w:lang w:val="en-US"/>
        </w:rPr>
      </w:r>
    </w:p>
    <w:p>
      <w:pPr>
        <w:pStyle w:val="Normal"/>
        <w:rPr>
          <w:lang w:val="en-US"/>
        </w:rPr>
      </w:pPr>
      <w:r>
        <w:rPr>
          <w:lang w:val="en-US"/>
        </w:rPr>
      </w:r>
      <w:r>
        <w:br w:type="page"/>
      </w:r>
    </w:p>
    <w:p>
      <w:pPr>
        <w:pStyle w:val="Caption1"/>
        <w:rPr>
          <w:lang w:val="en-US"/>
        </w:rPr>
      </w:pPr>
      <w:r>
        <w:rPr>
          <w:lang w:val="en-US"/>
        </w:rPr>
        <w:t xml:space="preserve">eFigure </w:t>
      </w:r>
      <w:r>
        <w:rPr/>
        <w:fldChar w:fldCharType="begin"/>
      </w:r>
      <w:r>
        <w:rPr/>
        <w:instrText> SEQ eFigure \* ARABIC </w:instrText>
      </w:r>
      <w:r>
        <w:rPr/>
        <w:fldChar w:fldCharType="separate"/>
      </w:r>
      <w:r>
        <w:rPr/>
        <w:t>1</w:t>
      </w:r>
      <w:r>
        <w:rPr/>
        <w:fldChar w:fldCharType="end"/>
      </w:r>
      <w:r>
        <w:rPr/>
        <w:t xml:space="preserve"> </w:t>
      </w:r>
      <w:r>
        <w:rPr>
          <w:lang w:val="en-US"/>
        </w:rPr>
        <w:t>Blood levels of NETs at day-1 and of blood leucocytes at day-1 (top) and day-2 (bottom). Each point shows a patient. The colour shows the respiratory SOFA score (purple, blue, green and yellow for 1,2,3 and 4, respectively). Pearson’s correlation statistics are shown on each plot.</w:t>
      </w:r>
    </w:p>
    <w:p>
      <w:pPr>
        <w:pStyle w:val="Normal"/>
        <w:rPr>
          <w:lang w:val="en-US"/>
        </w:rPr>
      </w:pPr>
      <w:r>
        <w:rPr>
          <w:lang w:val="en-US"/>
        </w:rPr>
      </w:r>
    </w:p>
    <w:p>
      <w:pPr>
        <w:pStyle w:val="Normal"/>
        <w:rPr>
          <w:lang w:val="en-US"/>
        </w:rPr>
      </w:pPr>
      <w:r>
        <w:rPr>
          <w:lang w:val="en-US"/>
        </w:rPr>
        <w:drawing>
          <wp:anchor behindDoc="0" distT="0" distB="0" distL="0" distR="0" simplePos="0" locked="0" layoutInCell="1" allowOverlap="1" relativeHeight="7">
            <wp:simplePos x="0" y="0"/>
            <wp:positionH relativeFrom="column">
              <wp:align>center</wp:align>
            </wp:positionH>
            <wp:positionV relativeFrom="paragraph">
              <wp:posOffset>635</wp:posOffset>
            </wp:positionV>
            <wp:extent cx="5760720" cy="576072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760720" cy="5760720"/>
                    </a:xfrm>
                    <a:prstGeom prst="rect">
                      <a:avLst/>
                    </a:prstGeom>
                  </pic:spPr>
                </pic:pic>
              </a:graphicData>
            </a:graphic>
          </wp:anchor>
        </w:drawing>
      </w:r>
    </w:p>
    <w:p>
      <w:pPr>
        <w:pStyle w:val="Normal"/>
        <w:spacing w:lineRule="auto" w:line="259" w:before="0" w:after="160"/>
        <w:rPr>
          <w:lang w:val="en-US"/>
        </w:rPr>
      </w:pPr>
      <w:r>
        <w:rPr>
          <w:lang w:val="en-US"/>
        </w:rPr>
      </w:r>
      <w:r>
        <w:br w:type="page"/>
      </w:r>
    </w:p>
    <w:p>
      <w:pPr>
        <w:pStyle w:val="Caption1"/>
        <w:rPr>
          <w:lang w:val="en-US"/>
        </w:rPr>
      </w:pPr>
      <w:r>
        <w:rPr>
          <w:lang w:val="en-US"/>
        </w:rPr>
        <w:t xml:space="preserve">eFigure </w:t>
      </w:r>
      <w:r>
        <w:rPr/>
        <w:fldChar w:fldCharType="begin"/>
      </w:r>
      <w:r>
        <w:rPr/>
        <w:instrText> SEQ eFigure \* ARABIC </w:instrText>
      </w:r>
      <w:r>
        <w:rPr/>
        <w:fldChar w:fldCharType="separate"/>
      </w:r>
      <w:r>
        <w:rPr/>
        <w:t>2</w:t>
      </w:r>
      <w:r>
        <w:rPr/>
        <w:fldChar w:fldCharType="end"/>
      </w:r>
      <w:r>
        <w:rPr/>
        <w:t xml:space="preserve"> </w:t>
      </w:r>
      <w:r>
        <w:rPr>
          <w:lang w:val="en-US"/>
        </w:rPr>
        <w:t>Blood levels of NETs at day-1 and of blood polymorphonuclear neutrophils at day-1(top) and day-2 (bottom). Each point shows a patient. The colour shows the respiratory SOFA score (purple, blue, green and yellow for 1,2,3 and 4, respectively). Pearson’s correlation statistics are shown on each plot.</w:t>
      </w:r>
    </w:p>
    <w:p>
      <w:pPr>
        <w:pStyle w:val="Normal"/>
        <w:rPr>
          <w:lang w:val="en-US"/>
        </w:rPr>
      </w:pPr>
      <w:r>
        <w:rPr>
          <w:lang w:val="en-US"/>
        </w:rPr>
      </w:r>
    </w:p>
    <w:p>
      <w:pPr>
        <w:pStyle w:val="Normal"/>
        <w:rPr>
          <w:lang w:val="en-US"/>
        </w:rPr>
      </w:pPr>
      <w:r>
        <w:rPr>
          <w:lang w:val="en-US"/>
        </w:rPr>
        <w:drawing>
          <wp:anchor behindDoc="0" distT="0" distB="0" distL="0" distR="0" simplePos="0" locked="0" layoutInCell="1" allowOverlap="1" relativeHeight="6">
            <wp:simplePos x="0" y="0"/>
            <wp:positionH relativeFrom="column">
              <wp:align>center</wp:align>
            </wp:positionH>
            <wp:positionV relativeFrom="paragraph">
              <wp:posOffset>635</wp:posOffset>
            </wp:positionV>
            <wp:extent cx="5760720" cy="5760720"/>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5760720" cy="5760720"/>
                    </a:xfrm>
                    <a:prstGeom prst="rect">
                      <a:avLst/>
                    </a:prstGeom>
                  </pic:spPr>
                </pic:pic>
              </a:graphicData>
            </a:graphic>
          </wp:anchor>
        </w:drawing>
      </w:r>
    </w:p>
    <w:p>
      <w:pPr>
        <w:pStyle w:val="Normal"/>
        <w:rPr>
          <w:lang w:val="en-US"/>
        </w:rPr>
      </w:pPr>
      <w:r>
        <w:rPr>
          <w:lang w:val="en-US"/>
        </w:rPr>
      </w:r>
      <w:r>
        <w:br w:type="page"/>
      </w:r>
    </w:p>
    <w:p>
      <w:pPr>
        <w:pStyle w:val="Caption1"/>
        <w:rPr>
          <w:lang w:val="en-US"/>
        </w:rPr>
      </w:pPr>
      <w:r>
        <w:rPr>
          <w:lang w:val="en-US"/>
        </w:rPr>
        <w:t xml:space="preserve">eFigure </w:t>
      </w:r>
      <w:r>
        <w:rPr/>
        <w:fldChar w:fldCharType="begin"/>
      </w:r>
      <w:r>
        <w:rPr/>
        <w:instrText> SEQ eFigure \* ARABIC </w:instrText>
      </w:r>
      <w:r>
        <w:rPr/>
        <w:fldChar w:fldCharType="separate"/>
      </w:r>
      <w:r>
        <w:rPr/>
        <w:t>3</w:t>
      </w:r>
      <w:r>
        <w:rPr/>
        <w:fldChar w:fldCharType="end"/>
      </w:r>
      <w:r>
        <w:rPr>
          <w:lang w:val="en-US"/>
        </w:rPr>
        <w:t xml:space="preserve"> Comparison of the blood level of NETs from healthy controls and SARS-CoV2 patients (at day-1). Comparison has been made using a Mann-Whitney test.</w:t>
      </w:r>
    </w:p>
    <w:p>
      <w:pPr>
        <w:pStyle w:val="Normal"/>
        <w:spacing w:lineRule="auto" w:line="259" w:before="0" w:after="160"/>
        <w:rPr>
          <w:lang w:val="en-US"/>
        </w:rPr>
      </w:pPr>
      <w:r>
        <w:rPr>
          <w:lang w:val="en-US"/>
        </w:rPr>
      </w:r>
    </w:p>
    <w:p>
      <w:pPr>
        <w:pStyle w:val="Normal"/>
        <w:spacing w:lineRule="auto" w:line="259" w:before="0" w:after="160"/>
        <w:rPr>
          <w:lang w:val="en-US"/>
        </w:rPr>
      </w:pPr>
      <w:r>
        <w:rPr>
          <w:lang w:val="en-US"/>
        </w:rPr>
        <w:drawing>
          <wp:anchor behindDoc="0" distT="0" distB="0" distL="0" distR="0" simplePos="0" locked="0" layoutInCell="1" allowOverlap="1" relativeHeight="5">
            <wp:simplePos x="0" y="0"/>
            <wp:positionH relativeFrom="column">
              <wp:align>center</wp:align>
            </wp:positionH>
            <wp:positionV relativeFrom="paragraph">
              <wp:posOffset>635</wp:posOffset>
            </wp:positionV>
            <wp:extent cx="5760720" cy="5760720"/>
            <wp:effectExtent l="0" t="0" r="0" b="0"/>
            <wp:wrapSquare wrapText="largest"/>
            <wp:docPr id="3"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9" descr=""/>
                    <pic:cNvPicPr>
                      <a:picLocks noChangeAspect="1" noChangeArrowheads="1"/>
                    </pic:cNvPicPr>
                  </pic:nvPicPr>
                  <pic:blipFill>
                    <a:blip r:embed="rId4"/>
                    <a:stretch>
                      <a:fillRect/>
                    </a:stretch>
                  </pic:blipFill>
                  <pic:spPr bwMode="auto">
                    <a:xfrm>
                      <a:off x="0" y="0"/>
                      <a:ext cx="5760720" cy="5760720"/>
                    </a:xfrm>
                    <a:prstGeom prst="rect">
                      <a:avLst/>
                    </a:prstGeom>
                  </pic:spPr>
                </pic:pic>
              </a:graphicData>
            </a:graphic>
          </wp:anchor>
        </w:drawing>
      </w:r>
    </w:p>
    <w:p>
      <w:pPr>
        <w:pStyle w:val="Normal"/>
        <w:spacing w:lineRule="auto" w:line="259" w:before="0" w:after="160"/>
        <w:rPr>
          <w:i/>
          <w:i/>
          <w:iCs/>
          <w:color w:val="44546A" w:themeColor="text2"/>
          <w:sz w:val="18"/>
          <w:szCs w:val="18"/>
          <w:lang w:val="en-US"/>
        </w:rPr>
      </w:pPr>
      <w:r>
        <w:rPr>
          <w:i/>
          <w:iCs/>
          <w:color w:val="44546A" w:themeColor="text2"/>
          <w:sz w:val="18"/>
          <w:szCs w:val="18"/>
          <w:lang w:val="en-US"/>
        </w:rPr>
      </w:r>
      <w:r>
        <w:br w:type="page"/>
      </w:r>
    </w:p>
    <w:p>
      <w:pPr>
        <w:pStyle w:val="Caption1"/>
        <w:rPr>
          <w:lang w:val="en-US"/>
        </w:rPr>
      </w:pPr>
      <w:r>
        <w:rPr>
          <w:lang w:val="en-US"/>
        </w:rPr>
        <w:t>eFigure 4 Association between PaO2/FiO2 ratio and blood levels of NETs at day-1, day-2 and day-3. The colour shows the respiratory SOFA score (purple, blue, green and yellow for 1,2,3 and 4, respectively). Pearson’s correlation statistics are shown on each plot.</w:t>
      </w:r>
    </w:p>
    <w:p>
      <w:pPr>
        <w:pStyle w:val="Normal"/>
        <w:spacing w:lineRule="auto" w:line="259" w:before="0" w:after="160"/>
        <w:rPr>
          <w:lang w:val="en-US"/>
        </w:rPr>
      </w:pPr>
      <w:r>
        <w:rPr>
          <w:lang w:val="en-US"/>
        </w:rPr>
      </w:r>
    </w:p>
    <w:p>
      <w:pPr>
        <w:pStyle w:val="Normal"/>
        <w:spacing w:lineRule="auto" w:line="259" w:before="0" w:after="160"/>
        <w:rPr>
          <w:lang w:val="en-US"/>
        </w:rPr>
      </w:pPr>
      <w:r>
        <w:rPr>
          <w:lang w:val="en-US"/>
        </w:rPr>
        <w:drawing>
          <wp:anchor behindDoc="0" distT="0" distB="0" distL="0" distR="0" simplePos="0" locked="0" layoutInCell="1" allowOverlap="1" relativeHeight="8">
            <wp:simplePos x="0" y="0"/>
            <wp:positionH relativeFrom="column">
              <wp:align>center</wp:align>
            </wp:positionH>
            <wp:positionV relativeFrom="paragraph">
              <wp:posOffset>635</wp:posOffset>
            </wp:positionV>
            <wp:extent cx="5760720" cy="5760720"/>
            <wp:effectExtent l="0" t="0" r="0" b="0"/>
            <wp:wrapSquare wrapText="largest"/>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5"/>
                    <a:stretch>
                      <a:fillRect/>
                    </a:stretch>
                  </pic:blipFill>
                  <pic:spPr bwMode="auto">
                    <a:xfrm>
                      <a:off x="0" y="0"/>
                      <a:ext cx="5760720" cy="5760720"/>
                    </a:xfrm>
                    <a:prstGeom prst="rect">
                      <a:avLst/>
                    </a:prstGeom>
                  </pic:spPr>
                </pic:pic>
              </a:graphicData>
            </a:graphic>
          </wp:anchor>
        </w:drawing>
      </w:r>
    </w:p>
    <w:p>
      <w:pPr>
        <w:pStyle w:val="Normal"/>
        <w:spacing w:lineRule="auto" w:line="259" w:before="0" w:after="160"/>
        <w:rPr>
          <w:i/>
          <w:i/>
          <w:iCs/>
          <w:color w:val="44546A" w:themeColor="text2"/>
          <w:sz w:val="18"/>
          <w:szCs w:val="18"/>
          <w:lang w:val="en-US"/>
        </w:rPr>
      </w:pPr>
      <w:r>
        <w:rPr>
          <w:i/>
          <w:iCs/>
          <w:color w:val="44546A" w:themeColor="text2"/>
          <w:sz w:val="18"/>
          <w:szCs w:val="18"/>
          <w:lang w:val="en-US"/>
        </w:rPr>
      </w:r>
      <w:r>
        <w:br w:type="page"/>
      </w:r>
    </w:p>
    <w:p>
      <w:pPr>
        <w:pStyle w:val="Caption1"/>
        <w:rPr>
          <w:lang w:val="en-US"/>
        </w:rPr>
      </w:pPr>
      <w:r>
        <w:rPr>
          <w:lang w:val="en-US"/>
        </w:rPr>
        <w:t>eFigure 5 Correlation between haemostasis and day-1 blood level of MPO+ NETs</w:t>
      </w:r>
    </w:p>
    <w:p>
      <w:pPr>
        <w:pStyle w:val="Normal"/>
        <w:spacing w:lineRule="auto" w:line="259" w:before="0" w:after="160"/>
        <w:rPr>
          <w:lang w:val="en-US"/>
        </w:rPr>
      </w:pPr>
      <w:r>
        <w:rPr>
          <w:lang w:val="en-US"/>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5760720" cy="5760720"/>
            <wp:effectExtent l="0" t="0" r="0" b="0"/>
            <wp:wrapSquare wrapText="largest"/>
            <wp:docPr id="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pic:cNvPicPr>
                      <a:picLocks noChangeAspect="1" noChangeArrowheads="1"/>
                    </pic:cNvPicPr>
                  </pic:nvPicPr>
                  <pic:blipFill>
                    <a:blip r:embed="rId6"/>
                    <a:stretch>
                      <a:fillRect/>
                    </a:stretch>
                  </pic:blipFill>
                  <pic:spPr bwMode="auto">
                    <a:xfrm>
                      <a:off x="0" y="0"/>
                      <a:ext cx="5760720" cy="5760720"/>
                    </a:xfrm>
                    <a:prstGeom prst="rect">
                      <a:avLst/>
                    </a:prstGeom>
                  </pic:spPr>
                </pic:pic>
              </a:graphicData>
            </a:graphic>
          </wp:anchor>
        </w:drawing>
      </w:r>
      <w:r>
        <w:br w:type="page"/>
      </w:r>
    </w:p>
    <w:p>
      <w:pPr>
        <w:pStyle w:val="Caption1"/>
        <w:rPr>
          <w:lang w:val="en-US"/>
        </w:rPr>
      </w:pPr>
      <w:r>
        <w:rPr>
          <w:lang w:val="en-US"/>
        </w:rPr>
        <w:t>eFigure 6 Correlation between haemostasis and day-1 blood level of Cit-H3+ NETs</w:t>
      </w:r>
    </w:p>
    <w:p>
      <w:pPr>
        <w:pStyle w:val="Normal"/>
        <w:spacing w:lineRule="auto" w:line="259" w:before="0" w:after="160"/>
        <w:rPr>
          <w:lang w:val="en-US"/>
        </w:rPr>
      </w:pPr>
      <w:r>
        <w:rPr>
          <w:lang w:val="en-US"/>
        </w:rPr>
      </w:r>
    </w:p>
    <w:p>
      <w:pPr>
        <w:pStyle w:val="Normal"/>
        <w:spacing w:lineRule="auto" w:line="259" w:before="0" w:after="160"/>
        <w:rPr>
          <w:lang w:val="en-US"/>
        </w:rPr>
      </w:pPr>
      <w:r>
        <w:rPr>
          <w:lang w:val="en-US"/>
        </w:rP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5760720" cy="5760720"/>
            <wp:effectExtent l="0" t="0" r="0" b="0"/>
            <wp:wrapSquare wrapText="largest"/>
            <wp:docPr id="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
                    <pic:cNvPicPr>
                      <a:picLocks noChangeAspect="1" noChangeArrowheads="1"/>
                    </pic:cNvPicPr>
                  </pic:nvPicPr>
                  <pic:blipFill>
                    <a:blip r:embed="rId7"/>
                    <a:stretch>
                      <a:fillRect/>
                    </a:stretch>
                  </pic:blipFill>
                  <pic:spPr bwMode="auto">
                    <a:xfrm>
                      <a:off x="0" y="0"/>
                      <a:ext cx="5760720" cy="5760720"/>
                    </a:xfrm>
                    <a:prstGeom prst="rect">
                      <a:avLst/>
                    </a:prstGeom>
                  </pic:spPr>
                </pic:pic>
              </a:graphicData>
            </a:graphic>
          </wp:anchor>
        </w:drawing>
      </w:r>
      <w:r>
        <w:br w:type="page"/>
      </w:r>
    </w:p>
    <w:p>
      <w:pPr>
        <w:pStyle w:val="Caption1"/>
        <w:rPr>
          <w:lang w:val="en-US"/>
        </w:rPr>
      </w:pPr>
      <w:r>
        <w:rPr>
          <w:lang w:val="en-US"/>
        </w:rPr>
        <w:t>eFigure 7 Correlation between haemostasis and day-1 blood level of MPO+Cit-H3+ NETs</w:t>
      </w:r>
    </w:p>
    <w:p>
      <w:pPr>
        <w:pStyle w:val="Normal"/>
        <w:spacing w:lineRule="auto" w:line="259" w:before="0" w:after="160"/>
        <w:rPr>
          <w:lang w:val="en-US"/>
        </w:rPr>
      </w:pPr>
      <w:r>
        <w:rPr>
          <w:lang w:val="en-US"/>
        </w:rPr>
      </w:r>
    </w:p>
    <w:p>
      <w:pPr>
        <w:pStyle w:val="Normal"/>
        <w:spacing w:lineRule="auto" w:line="259" w:before="0" w:after="160"/>
        <w:rPr>
          <w:i/>
          <w:i/>
          <w:iCs/>
          <w:color w:val="44546A" w:themeColor="text2"/>
          <w:sz w:val="18"/>
          <w:szCs w:val="18"/>
          <w:lang w:val="en-US"/>
        </w:rPr>
      </w:pPr>
      <w:r>
        <w:rPr>
          <w:i/>
          <w:iCs/>
          <w:color w:val="44546A" w:themeColor="text2"/>
          <w:sz w:val="18"/>
          <w:szCs w:val="18"/>
          <w:lang w:val="en-US"/>
        </w:rP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5760720" cy="5760720"/>
            <wp:effectExtent l="0" t="0" r="0" b="0"/>
            <wp:wrapSquare wrapText="largest"/>
            <wp:docPr id="7"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0" descr=""/>
                    <pic:cNvPicPr>
                      <a:picLocks noChangeAspect="1" noChangeArrowheads="1"/>
                    </pic:cNvPicPr>
                  </pic:nvPicPr>
                  <pic:blipFill>
                    <a:blip r:embed="rId8"/>
                    <a:stretch>
                      <a:fillRect/>
                    </a:stretch>
                  </pic:blipFill>
                  <pic:spPr bwMode="auto">
                    <a:xfrm>
                      <a:off x="0" y="0"/>
                      <a:ext cx="5760720" cy="5760720"/>
                    </a:xfrm>
                    <a:prstGeom prst="rect">
                      <a:avLst/>
                    </a:prstGeom>
                  </pic:spPr>
                </pic:pic>
              </a:graphicData>
            </a:graphic>
          </wp:anchor>
        </w:drawing>
      </w:r>
      <w:r>
        <w:br w:type="page"/>
      </w:r>
    </w:p>
    <w:p>
      <w:pPr>
        <w:pStyle w:val="Caption1"/>
        <w:rPr>
          <w:lang w:val="en-US"/>
        </w:rPr>
      </w:pPr>
      <w:r>
        <w:rPr>
          <w:lang w:val="en-US"/>
        </w:rPr>
        <w:t>eFigure 8 Blood levels of NETs at day-1 according to thrombotic events</w:t>
      </w:r>
    </w:p>
    <w:p>
      <w:pPr>
        <w:pStyle w:val="Caption1"/>
        <w:rPr>
          <w:lang w:val="en-US"/>
        </w:rPr>
      </w:pPr>
      <w:r>
        <w:rPr>
          <w:lang w:val="en-US"/>
        </w:rPr>
      </w:r>
    </w:p>
    <w:p>
      <w:pPr>
        <w:pStyle w:val="Normal"/>
        <w:rPr>
          <w:lang w:val="en-US"/>
        </w:rPr>
      </w:pPr>
      <w:r>
        <w:rPr/>
        <w:drawing>
          <wp:inline distT="0" distB="0" distL="0" distR="0">
            <wp:extent cx="5486400" cy="5486400"/>
            <wp:effectExtent l="0" t="0" r="0" b="0"/>
            <wp:docPr id="8"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
                    <pic:cNvPicPr>
                      <a:picLocks noChangeAspect="1" noChangeArrowheads="1"/>
                    </pic:cNvPicPr>
                  </pic:nvPicPr>
                  <pic:blipFill>
                    <a:blip r:embed="rId9"/>
                    <a:stretch>
                      <a:fillRect/>
                    </a:stretch>
                  </pic:blipFill>
                  <pic:spPr bwMode="auto">
                    <a:xfrm>
                      <a:off x="0" y="0"/>
                      <a:ext cx="5486400" cy="5486400"/>
                    </a:xfrm>
                    <a:prstGeom prst="rect">
                      <a:avLst/>
                    </a:prstGeom>
                  </pic:spPr>
                </pic:pic>
              </a:graphicData>
            </a:graphic>
          </wp:inline>
        </w:drawing>
      </w:r>
      <w:r>
        <w:br w:type="page"/>
      </w:r>
    </w:p>
    <w:p>
      <w:pPr>
        <w:pStyle w:val="Caption1"/>
        <w:rPr>
          <w:lang w:val="en-US"/>
        </w:rPr>
      </w:pPr>
      <w:r>
        <w:rPr>
          <w:lang w:val="en-US"/>
        </w:rPr>
        <w:t>eFigure 9 Typical staining BAL staining in two patients.</w:t>
      </w:r>
    </w:p>
    <w:p>
      <w:pPr>
        <w:pStyle w:val="Caption1"/>
        <w:jc w:val="both"/>
        <w:rPr>
          <w:lang w:val="en-US"/>
        </w:rPr>
      </w:pPr>
      <w:r>
        <w:rPr>
          <w:lang w:val="en-US"/>
        </w:rPr>
        <w:t xml:space="preserve"> </w:t>
      </w:r>
      <w:r>
        <w:rPr>
          <w:lang w:val="en-US"/>
        </w:rPr>
        <w:t>Panel A on the top shows BAL staining from a hypoxemic patient with a mild lung injury and panel B shows BAL from a patient with a severe lung injury. Despite analysis of relatively similar numbers of nucleated cells (Leukocytes gate), NET events  were around ten times more frequent in patient B, suggesting that NETs were trapped in the lung as discussed in the paper.</w:t>
      </w:r>
    </w:p>
    <w:p>
      <w:pPr>
        <w:pStyle w:val="Normal"/>
        <w:spacing w:lineRule="auto" w:line="240" w:before="0" w:after="0"/>
        <w:rPr>
          <w:i/>
          <w:i/>
          <w:iCs/>
          <w:color w:val="44546A" w:themeColor="text2"/>
          <w:sz w:val="18"/>
          <w:szCs w:val="18"/>
        </w:rPr>
      </w:pPr>
      <w:r>
        <w:rPr/>
        <w:drawing>
          <wp:inline distT="0" distB="0" distL="0" distR="0">
            <wp:extent cx="3790950" cy="3590925"/>
            <wp:effectExtent l="0" t="0" r="0" b="0"/>
            <wp:docPr id="9" name="Imag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2" descr=""/>
                    <pic:cNvPicPr>
                      <a:picLocks noChangeAspect="1" noChangeArrowheads="1"/>
                    </pic:cNvPicPr>
                  </pic:nvPicPr>
                  <pic:blipFill>
                    <a:blip r:embed="rId10"/>
                    <a:stretch>
                      <a:fillRect/>
                    </a:stretch>
                  </pic:blipFill>
                  <pic:spPr bwMode="auto">
                    <a:xfrm>
                      <a:off x="0" y="0"/>
                      <a:ext cx="3790950" cy="3590925"/>
                    </a:xfrm>
                    <a:prstGeom prst="rect">
                      <a:avLst/>
                    </a:prstGeom>
                  </pic:spPr>
                </pic:pic>
              </a:graphicData>
            </a:graphic>
          </wp:inline>
        </w:drawing>
      </w:r>
      <w:r>
        <w:br w:type="page"/>
      </w:r>
    </w:p>
    <w:p>
      <w:pPr>
        <w:pStyle w:val="Caption1"/>
        <w:rPr>
          <w:lang w:val="en-US"/>
        </w:rPr>
      </w:pPr>
      <w:r>
        <w:rPr>
          <w:lang w:val="en-US"/>
        </w:rPr>
        <w:t xml:space="preserve">eTable </w:t>
      </w:r>
      <w:r>
        <w:rPr/>
        <w:fldChar w:fldCharType="begin"/>
      </w:r>
      <w:r>
        <w:rPr/>
        <w:instrText> SEQ eTable \* ARABIC </w:instrText>
      </w:r>
      <w:r>
        <w:rPr/>
        <w:fldChar w:fldCharType="separate"/>
      </w:r>
      <w:r>
        <w:rPr/>
        <w:t>1</w:t>
      </w:r>
      <w:r>
        <w:rPr/>
        <w:fldChar w:fldCharType="end"/>
      </w:r>
      <w:r>
        <w:rPr/>
        <w:t xml:space="preserve"> </w:t>
      </w:r>
      <w:r>
        <w:rPr>
          <w:lang w:val="en-US"/>
        </w:rPr>
        <w:t>Blood levels of NETs at day-1 across tertiles of number of days with severe hypoxemia within day-7</w:t>
      </w:r>
    </w:p>
    <w:p>
      <w:pPr>
        <w:pStyle w:val="Normal"/>
        <w:rPr>
          <w:lang w:val="en-US"/>
        </w:rPr>
      </w:pPr>
      <w:r>
        <w:rPr>
          <w:lang w:val="en-US"/>
        </w:rPr>
      </w:r>
    </w:p>
    <w:tbl>
      <w:tblPr>
        <w:tblStyle w:val="Grilledutableau"/>
        <w:tblW w:w="9062" w:type="dxa"/>
        <w:jc w:val="left"/>
        <w:tblInd w:w="0" w:type="dxa"/>
        <w:tblCellMar>
          <w:top w:w="0" w:type="dxa"/>
          <w:left w:w="108" w:type="dxa"/>
          <w:bottom w:w="0" w:type="dxa"/>
          <w:right w:w="108" w:type="dxa"/>
        </w:tblCellMar>
        <w:tblLook w:val="04a0" w:noHBand="0" w:noVBand="1" w:firstColumn="1" w:lastRow="0" w:lastColumn="0" w:firstRow="1"/>
      </w:tblPr>
      <w:tblGrid>
        <w:gridCol w:w="2125"/>
        <w:gridCol w:w="1844"/>
        <w:gridCol w:w="1701"/>
        <w:gridCol w:w="1843"/>
        <w:gridCol w:w="1549"/>
      </w:tblGrid>
      <w:tr>
        <w:trPr/>
        <w:tc>
          <w:tcPr>
            <w:tcW w:w="2125" w:type="dxa"/>
            <w:tcBorders>
              <w:left w:val="nil"/>
              <w:right w:val="nil"/>
            </w:tcBorders>
          </w:tcPr>
          <w:p>
            <w:pPr>
              <w:pStyle w:val="Normal"/>
              <w:spacing w:before="0" w:after="200"/>
              <w:rPr>
                <w:lang w:val="en-US"/>
              </w:rPr>
            </w:pPr>
            <w:r>
              <w:rPr>
                <w:lang w:val="en-US"/>
              </w:rPr>
            </w:r>
          </w:p>
        </w:tc>
        <w:tc>
          <w:tcPr>
            <w:tcW w:w="5388" w:type="dxa"/>
            <w:gridSpan w:val="3"/>
            <w:tcBorders>
              <w:left w:val="nil"/>
              <w:right w:val="nil"/>
            </w:tcBorders>
          </w:tcPr>
          <w:p>
            <w:pPr>
              <w:pStyle w:val="Normal"/>
              <w:spacing w:before="0" w:after="200"/>
              <w:jc w:val="center"/>
              <w:rPr>
                <w:lang w:val="en-US"/>
              </w:rPr>
            </w:pPr>
            <w:r>
              <w:rPr>
                <w:lang w:val="en-US"/>
              </w:rPr>
              <w:t>Number of days with severe hypoxemia within day-7</w:t>
            </w:r>
          </w:p>
        </w:tc>
        <w:tc>
          <w:tcPr>
            <w:tcW w:w="1549" w:type="dxa"/>
            <w:tcBorders>
              <w:left w:val="nil"/>
              <w:right w:val="nil"/>
            </w:tcBorders>
          </w:tcPr>
          <w:p>
            <w:pPr>
              <w:pStyle w:val="Normal"/>
              <w:spacing w:before="0" w:after="200"/>
              <w:jc w:val="right"/>
              <w:rPr/>
            </w:pPr>
            <w:r>
              <w:rPr/>
              <w:t>P value</w:t>
            </w:r>
          </w:p>
        </w:tc>
      </w:tr>
      <w:tr>
        <w:trPr/>
        <w:tc>
          <w:tcPr>
            <w:tcW w:w="2125" w:type="dxa"/>
            <w:tcBorders>
              <w:left w:val="nil"/>
              <w:bottom w:val="nil"/>
              <w:right w:val="nil"/>
            </w:tcBorders>
          </w:tcPr>
          <w:p>
            <w:pPr>
              <w:pStyle w:val="Normal"/>
              <w:widowControl/>
              <w:suppressAutoHyphens w:val="true"/>
              <w:bidi w:val="0"/>
              <w:spacing w:lineRule="auto" w:line="276" w:before="0" w:after="200"/>
              <w:jc w:val="left"/>
              <w:rPr/>
            </w:pPr>
            <w:r>
              <w:rPr/>
            </w:r>
          </w:p>
        </w:tc>
        <w:tc>
          <w:tcPr>
            <w:tcW w:w="1844" w:type="dxa"/>
            <w:tcBorders>
              <w:left w:val="nil"/>
              <w:bottom w:val="nil"/>
              <w:right w:val="nil"/>
            </w:tcBorders>
          </w:tcPr>
          <w:p>
            <w:pPr>
              <w:pStyle w:val="Normal"/>
              <w:spacing w:before="0" w:after="200"/>
              <w:jc w:val="center"/>
              <w:rPr/>
            </w:pPr>
            <w:r>
              <w:rPr/>
              <w:t>[0, 3[ days</w:t>
            </w:r>
          </w:p>
        </w:tc>
        <w:tc>
          <w:tcPr>
            <w:tcW w:w="1701" w:type="dxa"/>
            <w:tcBorders>
              <w:left w:val="nil"/>
              <w:bottom w:val="nil"/>
              <w:right w:val="nil"/>
            </w:tcBorders>
          </w:tcPr>
          <w:p>
            <w:pPr>
              <w:pStyle w:val="Normal"/>
              <w:spacing w:before="0" w:after="200"/>
              <w:jc w:val="center"/>
              <w:rPr/>
            </w:pPr>
            <w:r>
              <w:rPr/>
              <w:t>[3, 6[ days</w:t>
            </w:r>
          </w:p>
        </w:tc>
        <w:tc>
          <w:tcPr>
            <w:tcW w:w="1843" w:type="dxa"/>
            <w:tcBorders>
              <w:left w:val="nil"/>
              <w:bottom w:val="nil"/>
              <w:right w:val="nil"/>
            </w:tcBorders>
          </w:tcPr>
          <w:p>
            <w:pPr>
              <w:pStyle w:val="Normal"/>
              <w:spacing w:before="0" w:after="200"/>
              <w:jc w:val="center"/>
              <w:rPr/>
            </w:pPr>
            <w:r>
              <w:rPr/>
              <w:t>[6,7] days</w:t>
            </w:r>
          </w:p>
        </w:tc>
        <w:tc>
          <w:tcPr>
            <w:tcW w:w="1549" w:type="dxa"/>
            <w:tcBorders>
              <w:left w:val="nil"/>
              <w:bottom w:val="nil"/>
              <w:right w:val="nil"/>
            </w:tcBorders>
          </w:tcPr>
          <w:p>
            <w:pPr>
              <w:pStyle w:val="Normal"/>
              <w:spacing w:before="0" w:after="200"/>
              <w:jc w:val="right"/>
              <w:rPr/>
            </w:pPr>
            <w:r>
              <w:rPr/>
            </w:r>
          </w:p>
        </w:tc>
      </w:tr>
      <w:tr>
        <w:trPr/>
        <w:tc>
          <w:tcPr>
            <w:tcW w:w="2125" w:type="dxa"/>
            <w:tcBorders>
              <w:top w:val="nil"/>
              <w:left w:val="nil"/>
              <w:bottom w:val="nil"/>
              <w:right w:val="nil"/>
            </w:tcBorders>
          </w:tcPr>
          <w:p>
            <w:pPr>
              <w:pStyle w:val="Normal"/>
              <w:widowControl/>
              <w:suppressAutoHyphens w:val="true"/>
              <w:bidi w:val="0"/>
              <w:spacing w:lineRule="auto" w:line="276" w:before="0" w:after="200"/>
              <w:jc w:val="left"/>
              <w:rPr/>
            </w:pPr>
            <w:r>
              <w:rPr/>
              <w:t>MPO+ NETs</w:t>
            </w:r>
          </w:p>
        </w:tc>
        <w:tc>
          <w:tcPr>
            <w:tcW w:w="1844" w:type="dxa"/>
            <w:tcBorders>
              <w:top w:val="nil"/>
              <w:left w:val="nil"/>
              <w:bottom w:val="nil"/>
              <w:right w:val="nil"/>
            </w:tcBorders>
          </w:tcPr>
          <w:p>
            <w:pPr>
              <w:pStyle w:val="Normal"/>
              <w:spacing w:before="0" w:after="200"/>
              <w:jc w:val="center"/>
              <w:rPr/>
            </w:pPr>
            <w:r>
              <w:rPr/>
              <w:t>63.0 [14.5, 133.9]</w:t>
            </w:r>
          </w:p>
        </w:tc>
        <w:tc>
          <w:tcPr>
            <w:tcW w:w="1701" w:type="dxa"/>
            <w:tcBorders>
              <w:top w:val="nil"/>
              <w:left w:val="nil"/>
              <w:bottom w:val="nil"/>
              <w:right w:val="nil"/>
            </w:tcBorders>
          </w:tcPr>
          <w:p>
            <w:pPr>
              <w:pStyle w:val="Normal"/>
              <w:spacing w:before="0" w:after="200"/>
              <w:jc w:val="center"/>
              <w:rPr/>
            </w:pPr>
            <w:r>
              <w:rPr/>
              <w:t>40.7 [25.0, 76.0]</w:t>
            </w:r>
          </w:p>
        </w:tc>
        <w:tc>
          <w:tcPr>
            <w:tcW w:w="1843" w:type="dxa"/>
            <w:tcBorders>
              <w:top w:val="nil"/>
              <w:left w:val="nil"/>
              <w:bottom w:val="nil"/>
              <w:right w:val="nil"/>
            </w:tcBorders>
          </w:tcPr>
          <w:p>
            <w:pPr>
              <w:pStyle w:val="Normal"/>
              <w:spacing w:before="0" w:after="200"/>
              <w:jc w:val="center"/>
              <w:rPr/>
            </w:pPr>
            <w:r>
              <w:rPr/>
              <w:t>43.9 [22.1, 66.5]</w:t>
            </w:r>
          </w:p>
        </w:tc>
        <w:tc>
          <w:tcPr>
            <w:tcW w:w="1549" w:type="dxa"/>
            <w:tcBorders>
              <w:top w:val="nil"/>
              <w:left w:val="nil"/>
              <w:bottom w:val="nil"/>
              <w:right w:val="nil"/>
            </w:tcBorders>
          </w:tcPr>
          <w:p>
            <w:pPr>
              <w:pStyle w:val="Normal"/>
              <w:spacing w:before="0" w:after="200"/>
              <w:jc w:val="right"/>
              <w:rPr/>
            </w:pPr>
            <w:r>
              <w:rPr/>
              <w:t>0.674</w:t>
            </w:r>
          </w:p>
        </w:tc>
      </w:tr>
      <w:tr>
        <w:trPr/>
        <w:tc>
          <w:tcPr>
            <w:tcW w:w="2125" w:type="dxa"/>
            <w:tcBorders>
              <w:top w:val="nil"/>
              <w:left w:val="nil"/>
              <w:bottom w:val="nil"/>
              <w:right w:val="nil"/>
            </w:tcBorders>
          </w:tcPr>
          <w:p>
            <w:pPr>
              <w:pStyle w:val="Normal"/>
              <w:widowControl/>
              <w:suppressAutoHyphens w:val="true"/>
              <w:bidi w:val="0"/>
              <w:spacing w:lineRule="auto" w:line="276" w:before="0" w:after="200"/>
              <w:jc w:val="left"/>
              <w:rPr/>
            </w:pPr>
            <w:r>
              <w:rPr/>
              <w:t>Cit-H3+ NETs</w:t>
            </w:r>
          </w:p>
        </w:tc>
        <w:tc>
          <w:tcPr>
            <w:tcW w:w="1844" w:type="dxa"/>
            <w:tcBorders>
              <w:top w:val="nil"/>
              <w:left w:val="nil"/>
              <w:bottom w:val="nil"/>
              <w:right w:val="nil"/>
            </w:tcBorders>
          </w:tcPr>
          <w:p>
            <w:pPr>
              <w:pStyle w:val="Normal"/>
              <w:spacing w:before="0" w:after="200"/>
              <w:jc w:val="center"/>
              <w:rPr/>
            </w:pPr>
            <w:r>
              <w:rPr/>
              <w:t>2.0 [0.3, 3.4]</w:t>
            </w:r>
          </w:p>
        </w:tc>
        <w:tc>
          <w:tcPr>
            <w:tcW w:w="1701" w:type="dxa"/>
            <w:tcBorders>
              <w:top w:val="nil"/>
              <w:left w:val="nil"/>
              <w:bottom w:val="nil"/>
              <w:right w:val="nil"/>
            </w:tcBorders>
          </w:tcPr>
          <w:p>
            <w:pPr>
              <w:pStyle w:val="Normal"/>
              <w:spacing w:before="0" w:after="200"/>
              <w:jc w:val="center"/>
              <w:rPr/>
            </w:pPr>
            <w:r>
              <w:rPr/>
              <w:t>0.7 [0.0, 3.0]</w:t>
            </w:r>
          </w:p>
        </w:tc>
        <w:tc>
          <w:tcPr>
            <w:tcW w:w="1843" w:type="dxa"/>
            <w:tcBorders>
              <w:top w:val="nil"/>
              <w:left w:val="nil"/>
              <w:bottom w:val="nil"/>
              <w:right w:val="nil"/>
            </w:tcBorders>
          </w:tcPr>
          <w:p>
            <w:pPr>
              <w:pStyle w:val="Normal"/>
              <w:spacing w:before="0" w:after="200"/>
              <w:jc w:val="center"/>
              <w:rPr/>
            </w:pPr>
            <w:r>
              <w:rPr/>
              <w:t>0.9 [0.0, 4.8]</w:t>
            </w:r>
          </w:p>
        </w:tc>
        <w:tc>
          <w:tcPr>
            <w:tcW w:w="1549" w:type="dxa"/>
            <w:tcBorders>
              <w:top w:val="nil"/>
              <w:left w:val="nil"/>
              <w:bottom w:val="nil"/>
              <w:right w:val="nil"/>
            </w:tcBorders>
          </w:tcPr>
          <w:p>
            <w:pPr>
              <w:pStyle w:val="Normal"/>
              <w:spacing w:before="0" w:after="200"/>
              <w:jc w:val="right"/>
              <w:rPr/>
            </w:pPr>
            <w:r>
              <w:rPr/>
              <w:t>0.693</w:t>
            </w:r>
          </w:p>
        </w:tc>
      </w:tr>
      <w:tr>
        <w:trPr/>
        <w:tc>
          <w:tcPr>
            <w:tcW w:w="2125" w:type="dxa"/>
            <w:tcBorders>
              <w:top w:val="nil"/>
              <w:left w:val="nil"/>
              <w:right w:val="nil"/>
            </w:tcBorders>
          </w:tcPr>
          <w:p>
            <w:pPr>
              <w:pStyle w:val="Normal"/>
              <w:widowControl/>
              <w:suppressAutoHyphens w:val="true"/>
              <w:bidi w:val="0"/>
              <w:spacing w:lineRule="auto" w:line="276" w:before="0" w:after="200"/>
              <w:jc w:val="left"/>
              <w:rPr/>
            </w:pPr>
            <w:r>
              <w:rPr/>
              <w:t>MPO+ Cit-H3+ NETs</w:t>
            </w:r>
          </w:p>
        </w:tc>
        <w:tc>
          <w:tcPr>
            <w:tcW w:w="1844" w:type="dxa"/>
            <w:tcBorders>
              <w:top w:val="nil"/>
              <w:left w:val="nil"/>
              <w:right w:val="nil"/>
            </w:tcBorders>
          </w:tcPr>
          <w:p>
            <w:pPr>
              <w:pStyle w:val="Normal"/>
              <w:spacing w:before="0" w:after="200"/>
              <w:jc w:val="center"/>
              <w:rPr/>
            </w:pPr>
            <w:r>
              <w:rPr/>
              <w:t>4.7 [2.4, 13.3]</w:t>
            </w:r>
          </w:p>
        </w:tc>
        <w:tc>
          <w:tcPr>
            <w:tcW w:w="1701" w:type="dxa"/>
            <w:tcBorders>
              <w:top w:val="nil"/>
              <w:left w:val="nil"/>
              <w:right w:val="nil"/>
            </w:tcBorders>
          </w:tcPr>
          <w:p>
            <w:pPr>
              <w:pStyle w:val="Normal"/>
              <w:spacing w:before="0" w:after="200"/>
              <w:jc w:val="center"/>
              <w:rPr/>
            </w:pPr>
            <w:r>
              <w:rPr/>
              <w:t>4.9 [1.3, 13.2]</w:t>
            </w:r>
          </w:p>
        </w:tc>
        <w:tc>
          <w:tcPr>
            <w:tcW w:w="1843" w:type="dxa"/>
            <w:tcBorders>
              <w:top w:val="nil"/>
              <w:left w:val="nil"/>
              <w:right w:val="nil"/>
            </w:tcBorders>
          </w:tcPr>
          <w:p>
            <w:pPr>
              <w:pStyle w:val="Normal"/>
              <w:spacing w:before="0" w:after="200"/>
              <w:jc w:val="center"/>
              <w:rPr/>
            </w:pPr>
            <w:r>
              <w:rPr/>
              <w:t>5.8 [1.0, 15.2]</w:t>
            </w:r>
          </w:p>
        </w:tc>
        <w:tc>
          <w:tcPr>
            <w:tcW w:w="1549" w:type="dxa"/>
            <w:tcBorders>
              <w:top w:val="nil"/>
              <w:left w:val="nil"/>
              <w:right w:val="nil"/>
            </w:tcBorders>
          </w:tcPr>
          <w:p>
            <w:pPr>
              <w:pStyle w:val="Normal"/>
              <w:spacing w:before="0" w:after="200"/>
              <w:jc w:val="right"/>
              <w:rPr/>
            </w:pPr>
            <w:r>
              <w:rPr/>
              <w:t>0.956</w:t>
            </w:r>
          </w:p>
        </w:tc>
      </w:tr>
    </w:tbl>
    <w:p>
      <w:pPr>
        <w:pStyle w:val="Normal"/>
        <w:rPr/>
      </w:pPr>
      <w:r>
        <w:rPr/>
      </w:r>
    </w:p>
    <w:p>
      <w:pPr>
        <w:pStyle w:val="Normal"/>
        <w:spacing w:lineRule="auto" w:line="259" w:before="0" w:after="160"/>
        <w:rPr/>
      </w:pPr>
      <w:r>
        <w:rPr/>
      </w:r>
      <w:r>
        <w:br w:type="page"/>
      </w:r>
    </w:p>
    <w:p>
      <w:pPr>
        <w:pStyle w:val="Caption1"/>
        <w:rPr>
          <w:lang w:val="en-US"/>
        </w:rPr>
      </w:pPr>
      <w:r>
        <w:rPr>
          <w:lang w:val="en-US"/>
        </w:rPr>
        <w:t xml:space="preserve">eTable </w:t>
      </w:r>
      <w:r>
        <w:rPr/>
        <w:fldChar w:fldCharType="begin"/>
      </w:r>
      <w:r>
        <w:rPr/>
        <w:instrText> SEQ eTable \* ARABIC </w:instrText>
      </w:r>
      <w:r>
        <w:rPr/>
        <w:fldChar w:fldCharType="separate"/>
      </w:r>
      <w:r>
        <w:rPr/>
        <w:t>2</w:t>
      </w:r>
      <w:r>
        <w:rPr/>
        <w:fldChar w:fldCharType="end"/>
      </w:r>
      <w:r>
        <w:rPr/>
        <w:t xml:space="preserve"> </w:t>
      </w:r>
      <w:bookmarkStart w:id="0" w:name="_GoBack"/>
      <w:bookmarkEnd w:id="0"/>
      <w:r>
        <w:rPr>
          <w:lang w:val="en-US"/>
        </w:rPr>
        <w:t>Number of days with severe hypoxemia within day-7 according to quartiles of blood levels of NETs at day-1</w:t>
      </w:r>
    </w:p>
    <w:p>
      <w:pPr>
        <w:pStyle w:val="Normal"/>
        <w:rPr>
          <w:lang w:val="en-US"/>
        </w:rPr>
      </w:pPr>
      <w:r>
        <w:rPr>
          <w:lang w:val="en-US"/>
        </w:rPr>
      </w:r>
    </w:p>
    <w:tbl>
      <w:tblPr>
        <w:tblStyle w:val="Grilledutableau"/>
        <w:tblW w:w="9062" w:type="dxa"/>
        <w:jc w:val="left"/>
        <w:tblInd w:w="0" w:type="dxa"/>
        <w:tblCellMar>
          <w:top w:w="0" w:type="dxa"/>
          <w:left w:w="108" w:type="dxa"/>
          <w:bottom w:w="0" w:type="dxa"/>
          <w:right w:w="108" w:type="dxa"/>
        </w:tblCellMar>
        <w:tblLook w:val="04a0" w:noHBand="0" w:noVBand="1" w:firstColumn="1" w:lastRow="0" w:lastColumn="0" w:firstRow="1"/>
      </w:tblPr>
      <w:tblGrid>
        <w:gridCol w:w="1468"/>
        <w:gridCol w:w="1517"/>
        <w:gridCol w:w="1519"/>
        <w:gridCol w:w="1524"/>
        <w:gridCol w:w="1517"/>
        <w:gridCol w:w="1516"/>
      </w:tblGrid>
      <w:tr>
        <w:trPr/>
        <w:tc>
          <w:tcPr>
            <w:tcW w:w="1468" w:type="dxa"/>
            <w:tcBorders>
              <w:left w:val="nil"/>
              <w:right w:val="nil"/>
            </w:tcBorders>
          </w:tcPr>
          <w:p>
            <w:pPr>
              <w:pStyle w:val="Normal"/>
              <w:spacing w:before="0" w:after="200"/>
              <w:rPr>
                <w:lang w:val="en-US"/>
              </w:rPr>
            </w:pPr>
            <w:r>
              <w:rPr>
                <w:lang w:val="en-US"/>
              </w:rPr>
            </w:r>
          </w:p>
        </w:tc>
        <w:tc>
          <w:tcPr>
            <w:tcW w:w="1517" w:type="dxa"/>
            <w:tcBorders>
              <w:left w:val="nil"/>
              <w:right w:val="nil"/>
            </w:tcBorders>
          </w:tcPr>
          <w:p>
            <w:pPr>
              <w:pStyle w:val="Normal"/>
              <w:widowControl/>
              <w:suppressAutoHyphens w:val="true"/>
              <w:bidi w:val="0"/>
              <w:spacing w:lineRule="auto" w:line="276" w:before="0" w:after="200"/>
              <w:jc w:val="left"/>
              <w:rPr/>
            </w:pPr>
            <w:r>
              <w:rPr/>
              <w:t>Quartile 1</w:t>
            </w:r>
          </w:p>
        </w:tc>
        <w:tc>
          <w:tcPr>
            <w:tcW w:w="1519" w:type="dxa"/>
            <w:tcBorders>
              <w:left w:val="nil"/>
              <w:right w:val="nil"/>
            </w:tcBorders>
          </w:tcPr>
          <w:p>
            <w:pPr>
              <w:pStyle w:val="Normal"/>
              <w:widowControl/>
              <w:suppressAutoHyphens w:val="true"/>
              <w:bidi w:val="0"/>
              <w:spacing w:lineRule="auto" w:line="276" w:before="0" w:after="200"/>
              <w:jc w:val="left"/>
              <w:rPr/>
            </w:pPr>
            <w:r>
              <w:rPr/>
              <w:t>Quartile 2</w:t>
            </w:r>
          </w:p>
        </w:tc>
        <w:tc>
          <w:tcPr>
            <w:tcW w:w="1524" w:type="dxa"/>
            <w:tcBorders>
              <w:left w:val="nil"/>
              <w:right w:val="nil"/>
            </w:tcBorders>
          </w:tcPr>
          <w:p>
            <w:pPr>
              <w:pStyle w:val="Normal"/>
              <w:widowControl/>
              <w:suppressAutoHyphens w:val="true"/>
              <w:bidi w:val="0"/>
              <w:spacing w:lineRule="auto" w:line="276" w:before="0" w:after="200"/>
              <w:jc w:val="left"/>
              <w:rPr/>
            </w:pPr>
            <w:r>
              <w:rPr/>
              <w:t>Quartile 3</w:t>
            </w:r>
          </w:p>
        </w:tc>
        <w:tc>
          <w:tcPr>
            <w:tcW w:w="1517" w:type="dxa"/>
            <w:tcBorders>
              <w:left w:val="nil"/>
              <w:right w:val="nil"/>
            </w:tcBorders>
          </w:tcPr>
          <w:p>
            <w:pPr>
              <w:pStyle w:val="Normal"/>
              <w:widowControl/>
              <w:suppressAutoHyphens w:val="true"/>
              <w:bidi w:val="0"/>
              <w:spacing w:lineRule="auto" w:line="276" w:before="0" w:after="200"/>
              <w:jc w:val="left"/>
              <w:rPr/>
            </w:pPr>
            <w:r>
              <w:rPr/>
              <w:t>Quartile 4</w:t>
            </w:r>
          </w:p>
        </w:tc>
        <w:tc>
          <w:tcPr>
            <w:tcW w:w="1516" w:type="dxa"/>
            <w:tcBorders>
              <w:left w:val="nil"/>
              <w:right w:val="nil"/>
            </w:tcBorders>
          </w:tcPr>
          <w:p>
            <w:pPr>
              <w:pStyle w:val="Normal"/>
              <w:widowControl/>
              <w:suppressAutoHyphens w:val="true"/>
              <w:bidi w:val="0"/>
              <w:spacing w:lineRule="auto" w:line="276" w:before="0" w:after="200"/>
              <w:jc w:val="left"/>
              <w:rPr/>
            </w:pPr>
            <w:r>
              <w:rPr/>
              <w:t>P value</w:t>
            </w:r>
          </w:p>
        </w:tc>
      </w:tr>
      <w:tr>
        <w:trPr/>
        <w:tc>
          <w:tcPr>
            <w:tcW w:w="1468" w:type="dxa"/>
            <w:tcBorders>
              <w:left w:val="nil"/>
              <w:bottom w:val="nil"/>
              <w:right w:val="nil"/>
            </w:tcBorders>
          </w:tcPr>
          <w:p>
            <w:pPr>
              <w:pStyle w:val="Normal"/>
              <w:widowControl/>
              <w:suppressAutoHyphens w:val="true"/>
              <w:bidi w:val="0"/>
              <w:spacing w:lineRule="auto" w:line="276" w:before="0" w:after="200"/>
              <w:jc w:val="left"/>
              <w:rPr/>
            </w:pPr>
            <w:r>
              <w:rPr/>
              <w:t>MPO+</w:t>
            </w:r>
          </w:p>
        </w:tc>
        <w:tc>
          <w:tcPr>
            <w:tcW w:w="1517" w:type="dxa"/>
            <w:tcBorders>
              <w:left w:val="nil"/>
              <w:bottom w:val="nil"/>
              <w:right w:val="nil"/>
            </w:tcBorders>
          </w:tcPr>
          <w:p>
            <w:pPr>
              <w:pStyle w:val="Normal"/>
              <w:widowControl/>
              <w:suppressAutoHyphens w:val="true"/>
              <w:bidi w:val="0"/>
              <w:spacing w:lineRule="auto" w:line="276" w:before="0" w:after="200"/>
              <w:jc w:val="left"/>
              <w:rPr/>
            </w:pPr>
            <w:r>
              <w:rPr/>
              <w:t>4 [2, 6]</w:t>
            </w:r>
          </w:p>
        </w:tc>
        <w:tc>
          <w:tcPr>
            <w:tcW w:w="1519" w:type="dxa"/>
            <w:tcBorders>
              <w:left w:val="nil"/>
              <w:bottom w:val="nil"/>
              <w:right w:val="nil"/>
            </w:tcBorders>
          </w:tcPr>
          <w:p>
            <w:pPr>
              <w:pStyle w:val="Normal"/>
              <w:widowControl/>
              <w:suppressAutoHyphens w:val="true"/>
              <w:bidi w:val="0"/>
              <w:spacing w:lineRule="auto" w:line="276" w:before="0" w:after="200"/>
              <w:jc w:val="left"/>
              <w:rPr/>
            </w:pPr>
            <w:r>
              <w:rPr/>
              <w:t>4.5 [4, 6]</w:t>
            </w:r>
          </w:p>
        </w:tc>
        <w:tc>
          <w:tcPr>
            <w:tcW w:w="1524" w:type="dxa"/>
            <w:tcBorders>
              <w:left w:val="nil"/>
              <w:bottom w:val="nil"/>
              <w:right w:val="nil"/>
            </w:tcBorders>
          </w:tcPr>
          <w:p>
            <w:pPr>
              <w:pStyle w:val="Normal"/>
              <w:widowControl/>
              <w:suppressAutoHyphens w:val="true"/>
              <w:bidi w:val="0"/>
              <w:spacing w:lineRule="auto" w:line="276" w:before="0" w:after="200"/>
              <w:jc w:val="left"/>
              <w:rPr/>
            </w:pPr>
            <w:r>
              <w:rPr/>
              <w:t>4 [4, 6]</w:t>
            </w:r>
          </w:p>
        </w:tc>
        <w:tc>
          <w:tcPr>
            <w:tcW w:w="1517" w:type="dxa"/>
            <w:tcBorders>
              <w:left w:val="nil"/>
              <w:bottom w:val="nil"/>
              <w:right w:val="nil"/>
            </w:tcBorders>
          </w:tcPr>
          <w:p>
            <w:pPr>
              <w:pStyle w:val="Normal"/>
              <w:widowControl/>
              <w:suppressAutoHyphens w:val="true"/>
              <w:bidi w:val="0"/>
              <w:spacing w:lineRule="auto" w:line="276" w:before="0" w:after="200"/>
              <w:jc w:val="left"/>
              <w:rPr/>
            </w:pPr>
            <w:r>
              <w:rPr/>
              <w:t>2.5 [0, 5.8]</w:t>
            </w:r>
          </w:p>
        </w:tc>
        <w:tc>
          <w:tcPr>
            <w:tcW w:w="1516" w:type="dxa"/>
            <w:tcBorders>
              <w:left w:val="nil"/>
              <w:bottom w:val="nil"/>
              <w:right w:val="nil"/>
            </w:tcBorders>
          </w:tcPr>
          <w:p>
            <w:pPr>
              <w:pStyle w:val="Normal"/>
              <w:widowControl/>
              <w:suppressAutoHyphens w:val="true"/>
              <w:bidi w:val="0"/>
              <w:spacing w:lineRule="auto" w:line="276" w:before="0" w:after="200"/>
              <w:jc w:val="left"/>
              <w:rPr/>
            </w:pPr>
            <w:r>
              <w:rPr/>
              <w:t>0.12</w:t>
            </w:r>
          </w:p>
        </w:tc>
      </w:tr>
      <w:tr>
        <w:trPr/>
        <w:tc>
          <w:tcPr>
            <w:tcW w:w="1468" w:type="dxa"/>
            <w:tcBorders>
              <w:top w:val="nil"/>
              <w:left w:val="nil"/>
              <w:bottom w:val="nil"/>
              <w:right w:val="nil"/>
            </w:tcBorders>
          </w:tcPr>
          <w:p>
            <w:pPr>
              <w:pStyle w:val="Normal"/>
              <w:widowControl/>
              <w:suppressAutoHyphens w:val="true"/>
              <w:bidi w:val="0"/>
              <w:spacing w:lineRule="auto" w:line="276" w:before="0" w:after="200"/>
              <w:jc w:val="left"/>
              <w:rPr/>
            </w:pPr>
            <w:r>
              <w:rPr/>
              <w:t>Cit-H3 +</w:t>
            </w:r>
          </w:p>
        </w:tc>
        <w:tc>
          <w:tcPr>
            <w:tcW w:w="1517" w:type="dxa"/>
            <w:tcBorders>
              <w:top w:val="nil"/>
              <w:left w:val="nil"/>
              <w:bottom w:val="nil"/>
              <w:right w:val="nil"/>
            </w:tcBorders>
          </w:tcPr>
          <w:p>
            <w:pPr>
              <w:pStyle w:val="Normal"/>
              <w:widowControl/>
              <w:suppressAutoHyphens w:val="true"/>
              <w:bidi w:val="0"/>
              <w:spacing w:lineRule="auto" w:line="276" w:before="0" w:after="200"/>
              <w:jc w:val="left"/>
              <w:rPr/>
            </w:pPr>
            <w:r>
              <w:rPr/>
              <w:t>4 [2.5, 6]</w:t>
            </w:r>
          </w:p>
        </w:tc>
        <w:tc>
          <w:tcPr>
            <w:tcW w:w="1519" w:type="dxa"/>
            <w:tcBorders>
              <w:top w:val="nil"/>
              <w:left w:val="nil"/>
              <w:bottom w:val="nil"/>
              <w:right w:val="nil"/>
            </w:tcBorders>
          </w:tcPr>
          <w:p>
            <w:pPr>
              <w:pStyle w:val="Normal"/>
              <w:widowControl/>
              <w:suppressAutoHyphens w:val="true"/>
              <w:bidi w:val="0"/>
              <w:spacing w:lineRule="auto" w:line="276" w:before="0" w:after="200"/>
              <w:jc w:val="left"/>
              <w:rPr/>
            </w:pPr>
            <w:r>
              <w:rPr/>
              <w:t>5 [4, 6.3]</w:t>
            </w:r>
          </w:p>
        </w:tc>
        <w:tc>
          <w:tcPr>
            <w:tcW w:w="1524" w:type="dxa"/>
            <w:tcBorders>
              <w:top w:val="nil"/>
              <w:left w:val="nil"/>
              <w:bottom w:val="nil"/>
              <w:right w:val="nil"/>
            </w:tcBorders>
          </w:tcPr>
          <w:p>
            <w:pPr>
              <w:pStyle w:val="Normal"/>
              <w:widowControl/>
              <w:suppressAutoHyphens w:val="true"/>
              <w:bidi w:val="0"/>
              <w:spacing w:lineRule="auto" w:line="276" w:before="0" w:after="200"/>
              <w:jc w:val="left"/>
              <w:rPr/>
            </w:pPr>
            <w:r>
              <w:rPr/>
              <w:t>3 [2, 5]</w:t>
            </w:r>
          </w:p>
        </w:tc>
        <w:tc>
          <w:tcPr>
            <w:tcW w:w="1517" w:type="dxa"/>
            <w:tcBorders>
              <w:top w:val="nil"/>
              <w:left w:val="nil"/>
              <w:bottom w:val="nil"/>
              <w:right w:val="nil"/>
            </w:tcBorders>
          </w:tcPr>
          <w:p>
            <w:pPr>
              <w:pStyle w:val="Normal"/>
              <w:widowControl/>
              <w:suppressAutoHyphens w:val="true"/>
              <w:bidi w:val="0"/>
              <w:spacing w:lineRule="auto" w:line="276" w:before="0" w:after="200"/>
              <w:jc w:val="left"/>
              <w:rPr/>
            </w:pPr>
            <w:r>
              <w:rPr/>
              <w:t>4 [0.5, 6]</w:t>
            </w:r>
          </w:p>
        </w:tc>
        <w:tc>
          <w:tcPr>
            <w:tcW w:w="1516" w:type="dxa"/>
            <w:tcBorders>
              <w:top w:val="nil"/>
              <w:left w:val="nil"/>
              <w:bottom w:val="nil"/>
              <w:right w:val="nil"/>
            </w:tcBorders>
          </w:tcPr>
          <w:p>
            <w:pPr>
              <w:pStyle w:val="Normal"/>
              <w:widowControl/>
              <w:suppressAutoHyphens w:val="true"/>
              <w:bidi w:val="0"/>
              <w:spacing w:lineRule="auto" w:line="276" w:before="0" w:after="200"/>
              <w:jc w:val="left"/>
              <w:rPr/>
            </w:pPr>
            <w:r>
              <w:rPr/>
              <w:t>0.63</w:t>
            </w:r>
          </w:p>
        </w:tc>
      </w:tr>
      <w:tr>
        <w:trPr/>
        <w:tc>
          <w:tcPr>
            <w:tcW w:w="1468" w:type="dxa"/>
            <w:tcBorders>
              <w:top w:val="nil"/>
              <w:left w:val="nil"/>
              <w:right w:val="nil"/>
            </w:tcBorders>
          </w:tcPr>
          <w:p>
            <w:pPr>
              <w:pStyle w:val="Normal"/>
              <w:widowControl/>
              <w:suppressAutoHyphens w:val="true"/>
              <w:bidi w:val="0"/>
              <w:spacing w:lineRule="auto" w:line="276" w:before="0" w:after="200"/>
              <w:jc w:val="left"/>
              <w:rPr/>
            </w:pPr>
            <w:r>
              <w:rPr/>
              <w:t>MPO+ Cit-H3+</w:t>
            </w:r>
          </w:p>
        </w:tc>
        <w:tc>
          <w:tcPr>
            <w:tcW w:w="1517" w:type="dxa"/>
            <w:tcBorders>
              <w:top w:val="nil"/>
              <w:left w:val="nil"/>
              <w:right w:val="nil"/>
            </w:tcBorders>
          </w:tcPr>
          <w:p>
            <w:pPr>
              <w:pStyle w:val="Normal"/>
              <w:widowControl/>
              <w:suppressAutoHyphens w:val="true"/>
              <w:bidi w:val="0"/>
              <w:spacing w:lineRule="auto" w:line="276" w:before="0" w:after="200"/>
              <w:jc w:val="left"/>
              <w:rPr/>
            </w:pPr>
            <w:r>
              <w:rPr/>
              <w:t>6 [4, 6]</w:t>
            </w:r>
          </w:p>
        </w:tc>
        <w:tc>
          <w:tcPr>
            <w:tcW w:w="1519" w:type="dxa"/>
            <w:tcBorders>
              <w:top w:val="nil"/>
              <w:left w:val="nil"/>
              <w:right w:val="nil"/>
            </w:tcBorders>
          </w:tcPr>
          <w:p>
            <w:pPr>
              <w:pStyle w:val="Normal"/>
              <w:widowControl/>
              <w:suppressAutoHyphens w:val="true"/>
              <w:bidi w:val="0"/>
              <w:spacing w:lineRule="auto" w:line="276" w:before="0" w:after="200"/>
              <w:jc w:val="left"/>
              <w:rPr/>
            </w:pPr>
            <w:r>
              <w:rPr/>
              <w:t>2.5 [0, 4]</w:t>
            </w:r>
          </w:p>
        </w:tc>
        <w:tc>
          <w:tcPr>
            <w:tcW w:w="1524" w:type="dxa"/>
            <w:tcBorders>
              <w:top w:val="nil"/>
              <w:left w:val="nil"/>
              <w:right w:val="nil"/>
            </w:tcBorders>
          </w:tcPr>
          <w:p>
            <w:pPr>
              <w:pStyle w:val="Normal"/>
              <w:widowControl/>
              <w:suppressAutoHyphens w:val="true"/>
              <w:bidi w:val="0"/>
              <w:spacing w:lineRule="auto" w:line="276" w:before="0" w:after="200"/>
              <w:jc w:val="left"/>
              <w:rPr/>
            </w:pPr>
            <w:r>
              <w:rPr/>
              <w:t>4 [4, 6]</w:t>
            </w:r>
          </w:p>
        </w:tc>
        <w:tc>
          <w:tcPr>
            <w:tcW w:w="1517" w:type="dxa"/>
            <w:tcBorders>
              <w:top w:val="nil"/>
              <w:left w:val="nil"/>
              <w:right w:val="nil"/>
            </w:tcBorders>
          </w:tcPr>
          <w:p>
            <w:pPr>
              <w:pStyle w:val="Normal"/>
              <w:widowControl/>
              <w:suppressAutoHyphens w:val="true"/>
              <w:bidi w:val="0"/>
              <w:spacing w:lineRule="auto" w:line="276" w:before="0" w:after="200"/>
              <w:jc w:val="left"/>
              <w:rPr/>
            </w:pPr>
            <w:r>
              <w:rPr/>
              <w:t>3.5 [2, 6]</w:t>
            </w:r>
          </w:p>
        </w:tc>
        <w:tc>
          <w:tcPr>
            <w:tcW w:w="1516" w:type="dxa"/>
            <w:tcBorders>
              <w:top w:val="nil"/>
              <w:left w:val="nil"/>
              <w:right w:val="nil"/>
            </w:tcBorders>
          </w:tcPr>
          <w:p>
            <w:pPr>
              <w:pStyle w:val="Normal"/>
              <w:widowControl/>
              <w:suppressAutoHyphens w:val="true"/>
              <w:bidi w:val="0"/>
              <w:spacing w:lineRule="auto" w:line="276" w:before="0" w:after="200"/>
              <w:jc w:val="left"/>
              <w:rPr/>
            </w:pPr>
            <w:r>
              <w:rPr/>
              <w:t>0.59</w:t>
            </w:r>
          </w:p>
        </w:tc>
      </w:tr>
    </w:tbl>
    <w:p>
      <w:pPr>
        <w:pStyle w:val="Normal"/>
        <w:rPr>
          <w:sz w:val="18"/>
          <w:lang w:val="en-US"/>
        </w:rPr>
      </w:pPr>
      <w:r>
        <w:rPr>
          <w:sz w:val="18"/>
          <w:lang w:val="en-US"/>
        </w:rPr>
        <w:t>Comparison of ordered categories has been performed using a Jockheere test</w:t>
      </w:r>
    </w:p>
    <w:p>
      <w:pPr>
        <w:pStyle w:val="Normal"/>
        <w:spacing w:before="0" w:after="200"/>
        <w:rPr>
          <w:lang w:val="en-US"/>
        </w:rPr>
      </w:pPr>
      <w:r>
        <w:rPr/>
      </w:r>
    </w:p>
    <w:sectPr>
      <w:type w:val="nextPage"/>
      <w:pgSz w:w="11906" w:h="16838"/>
      <w:pgMar w:left="1417" w:right="1417" w:header="0" w:top="1417" w:footer="0"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Segoe UI">
    <w:charset w:val="01"/>
    <w:family w:val="roman"/>
    <w:pitch w:val="variable"/>
  </w:font>
  <w:font w:name="Liberation Sans">
    <w:altName w:val="Arial"/>
    <w:charset w:val="01"/>
    <w:family w:val="roman"/>
    <w:pitch w:val="variable"/>
  </w:font>
</w:fonts>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fr-FR"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ab5d7c"/>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fr-FR" w:eastAsia="en-US" w:bidi="ar-SA"/>
    </w:rPr>
  </w:style>
  <w:style w:type="character" w:styleId="DefaultParagraphFont" w:default="1">
    <w:name w:val="Default Paragraph Font"/>
    <w:uiPriority w:val="1"/>
    <w:semiHidden/>
    <w:unhideWhenUsed/>
    <w:qFormat/>
    <w:rPr/>
  </w:style>
  <w:style w:type="character" w:styleId="TextedebullesCar" w:customStyle="1">
    <w:name w:val="Texte de bulles Car"/>
    <w:basedOn w:val="DefaultParagraphFont"/>
    <w:link w:val="Textedebulles"/>
    <w:uiPriority w:val="99"/>
    <w:semiHidden/>
    <w:qFormat/>
    <w:rsid w:val="00151ead"/>
    <w:rPr>
      <w:rFonts w:ascii="Segoe UI" w:hAnsi="Segoe UI" w:cs="Segoe UI"/>
      <w:sz w:val="18"/>
      <w:szCs w:val="18"/>
    </w:rPr>
  </w:style>
  <w:style w:type="paragraph" w:styleId="Heading" w:customStyle="1">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customStyle="1">
    <w:name w:val="Index"/>
    <w:basedOn w:val="Normal"/>
    <w:qFormat/>
    <w:pPr>
      <w:suppressLineNumbers/>
    </w:pPr>
    <w:rPr>
      <w:rFonts w:cs="Lohit Devanagari"/>
    </w:rPr>
  </w:style>
  <w:style w:type="paragraph" w:styleId="Caption1">
    <w:name w:val="caption"/>
    <w:basedOn w:val="Normal"/>
    <w:next w:val="Normal"/>
    <w:uiPriority w:val="35"/>
    <w:unhideWhenUsed/>
    <w:qFormat/>
    <w:rsid w:val="00ab5d7c"/>
    <w:pPr>
      <w:spacing w:lineRule="auto" w:line="240"/>
    </w:pPr>
    <w:rPr>
      <w:i/>
      <w:iCs/>
      <w:color w:val="44546A" w:themeColor="text2"/>
      <w:sz w:val="18"/>
      <w:szCs w:val="18"/>
    </w:rPr>
  </w:style>
  <w:style w:type="paragraph" w:styleId="BalloonText">
    <w:name w:val="Balloon Text"/>
    <w:basedOn w:val="Normal"/>
    <w:link w:val="TextedebullesCar"/>
    <w:uiPriority w:val="99"/>
    <w:semiHidden/>
    <w:unhideWhenUsed/>
    <w:qFormat/>
    <w:rsid w:val="00151ead"/>
    <w:pPr>
      <w:spacing w:lineRule="auto" w:line="240" w:before="0" w:after="0"/>
    </w:pPr>
    <w:rPr>
      <w:rFonts w:ascii="Segoe UI" w:hAnsi="Segoe UI" w:cs="Segoe UI"/>
      <w:sz w:val="18"/>
      <w:szCs w:val="18"/>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styleId="Grilledutableau">
    <w:name w:val="Table Grid"/>
    <w:basedOn w:val="TableauNormal"/>
    <w:uiPriority w:val="39"/>
    <w:rsid w:val="0039395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wmf"/><Relationship Id="rId10" Type="http://schemas.openxmlformats.org/officeDocument/2006/relationships/image" Target="media/image9.png"/><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2A710-64CC-4CD2-BE8F-5A80C3CA5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Application>LibreOffice/6.4.6.2$Linux_X86_64 LibreOffice_project/40$Build-2</Application>
  <Pages>12</Pages>
  <Words>472</Words>
  <Characters>2332</Characters>
  <CharactersWithSpaces>2747</CharactersWithSpaces>
  <Paragraphs>61</Paragraphs>
  <Company>APHP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2020-12-17T11:28:00Z</dcterms:created>
  <dc:creator>GERI Guillaume</dc:creator>
  <dc:description/>
  <dc:language>fr-FR</dc:language>
  <cp:lastModifiedBy>GODEMENT Mathieu</cp:lastModifiedBy>
  <cp:lastPrinted>2020-12-17T08:02:00Z</cp:lastPrinted>
  <dcterms:modified xsi:type="dcterms:W3CDTF">2020-12-18T14:27:00Z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APHP</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