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F4A2" w14:textId="77777777" w:rsidR="008C0BB2" w:rsidRPr="00817FBC" w:rsidRDefault="008C0BB2" w:rsidP="008C0BB2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</w:pPr>
      <w:r w:rsidRPr="00817FBC">
        <w:rPr>
          <w:rFonts w:asciiTheme="majorBidi" w:hAnsiTheme="majorBidi" w:cstheme="majorBidi"/>
          <w:b/>
          <w:bCs/>
          <w:sz w:val="24"/>
          <w:szCs w:val="24"/>
          <w:lang w:val="en-GB" w:bidi="ar-EG"/>
        </w:rPr>
        <w:t>Suppl.1</w:t>
      </w:r>
    </w:p>
    <w:p w14:paraId="3A75B5A1" w14:textId="77777777" w:rsidR="008C0BB2" w:rsidRPr="00817FBC" w:rsidRDefault="008C0BB2" w:rsidP="008C0BB2">
      <w:pPr>
        <w:spacing w:after="0"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817FBC">
        <w:rPr>
          <w:rStyle w:val="fontstyle01"/>
          <w:rFonts w:asciiTheme="majorBidi" w:hAnsiTheme="majorBidi" w:cstheme="majorBidi"/>
          <w:sz w:val="24"/>
          <w:szCs w:val="24"/>
        </w:rPr>
        <w:t>Chemical structure of FDA drugs used in the present study.</w:t>
      </w:r>
    </w:p>
    <w:p w14:paraId="6B39ED93" w14:textId="388F7D8B" w:rsidR="00FD46E9" w:rsidRDefault="008C0BB2">
      <w:r>
        <w:rPr>
          <w:noProof/>
        </w:rPr>
        <w:drawing>
          <wp:inline distT="0" distB="0" distL="0" distR="0" wp14:anchorId="73D01BAE" wp14:editId="2EA50C0B">
            <wp:extent cx="5943600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TimesB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0BB2"/>
    <w:rsid w:val="008C0BB2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3094"/>
  <w15:chartTrackingRefBased/>
  <w15:docId w15:val="{CE3DC7F8-309C-4BDE-87D8-0B751F1C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0BB2"/>
    <w:rPr>
      <w:rFonts w:ascii="AdvPTimesB" w:hAnsi="AdvPTimes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EDC3-D98C-4E34-A188-E7AE95CB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Ahmed S. Abdel-Moneim</dc:creator>
  <cp:keywords/>
  <dc:description/>
  <cp:lastModifiedBy>Prof. Ahmed S. Abdel-Moneim</cp:lastModifiedBy>
  <cp:revision>1</cp:revision>
  <dcterms:created xsi:type="dcterms:W3CDTF">2020-12-19T17:30:00Z</dcterms:created>
  <dcterms:modified xsi:type="dcterms:W3CDTF">2020-12-19T17:31:00Z</dcterms:modified>
</cp:coreProperties>
</file>