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FE" w:rsidRPr="00DD3BFE" w:rsidRDefault="00DD3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3BFE">
        <w:rPr>
          <w:rFonts w:ascii="Times New Roman" w:hAnsi="Times New Roman" w:cs="Times New Roman"/>
          <w:sz w:val="24"/>
          <w:szCs w:val="24"/>
          <w:lang w:val="en-US"/>
        </w:rPr>
        <w:t>Appendix D</w:t>
      </w:r>
    </w:p>
    <w:tbl>
      <w:tblPr>
        <w:tblStyle w:val="Tabellrutenett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608"/>
        <w:gridCol w:w="1050"/>
        <w:gridCol w:w="1071"/>
        <w:gridCol w:w="1147"/>
      </w:tblGrid>
      <w:tr w:rsidR="00DD3BFE" w:rsidRPr="00F12627" w:rsidTr="00DD3BFE">
        <w:tc>
          <w:tcPr>
            <w:tcW w:w="9221" w:type="dxa"/>
            <w:gridSpan w:val="5"/>
            <w:tcBorders>
              <w:bottom w:val="single" w:sz="4" w:space="0" w:color="auto"/>
            </w:tcBorders>
          </w:tcPr>
          <w:p w:rsidR="00DD3BFE" w:rsidRPr="00F12627" w:rsidRDefault="00DD3BFE" w:rsidP="00DD3BFE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126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Table D1 </w:t>
            </w:r>
          </w:p>
          <w:p w:rsidR="00DD3BFE" w:rsidRPr="00F12627" w:rsidRDefault="00DD3BFE" w:rsidP="00F50E1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</w:pPr>
            <w:r w:rsidRPr="00F1262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Correlations between work-factor questions that are commonly treated as independent and dependent factors, respectively, as a function of mood induction phases (all subjects </w:t>
            </w:r>
            <w:r w:rsidR="007A1BBD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are </w:t>
            </w:r>
            <w:r w:rsidRPr="00F1262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included, N = 67).</w:t>
            </w:r>
          </w:p>
        </w:tc>
      </w:tr>
      <w:tr w:rsidR="00EE325F" w:rsidRPr="00DD3BFE" w:rsidTr="00DD3BFE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2D1C" w:rsidRPr="00DD3BFE" w:rsidRDefault="00571B09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Work factors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B2D1C" w:rsidRPr="00DD3BFE" w:rsidRDefault="00571B09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Outcome factors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7B2D1C" w:rsidRPr="00DD3BFE" w:rsidRDefault="00DD3BFE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Positive mood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B2D1C" w:rsidRPr="00DD3BFE" w:rsidRDefault="00DD3BFE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Neutral mood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7B2D1C" w:rsidRPr="00DD3BFE" w:rsidRDefault="00DD3BFE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Negative</w:t>
            </w:r>
          </w:p>
          <w:p w:rsidR="00DD3BFE" w:rsidRPr="00DD3BFE" w:rsidRDefault="00DD3BFE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mood</w:t>
            </w:r>
          </w:p>
        </w:tc>
      </w:tr>
      <w:tr w:rsidR="00EE325F" w:rsidRPr="00DD3BFE" w:rsidTr="00DD3BFE">
        <w:tc>
          <w:tcPr>
            <w:tcW w:w="3345" w:type="dxa"/>
            <w:tcBorders>
              <w:top w:val="single" w:sz="4" w:space="0" w:color="auto"/>
            </w:tcBorders>
          </w:tcPr>
          <w:p w:rsidR="007B2D1C" w:rsidRPr="00DD3BFE" w:rsidRDefault="00B45CF4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Quantitative demands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– </w:t>
            </w:r>
            <w:r w:rsidR="00F21DE8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une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General health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-.240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-.167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-.157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8E18CD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Spontaneous pain</w:t>
            </w:r>
          </w:p>
        </w:tc>
        <w:tc>
          <w:tcPr>
            <w:tcW w:w="1050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.196</w:t>
            </w:r>
          </w:p>
        </w:tc>
        <w:tc>
          <w:tcPr>
            <w:tcW w:w="1071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.211</w:t>
            </w:r>
          </w:p>
        </w:tc>
        <w:tc>
          <w:tcPr>
            <w:tcW w:w="1147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.241*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rowth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.114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.108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.168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eneral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.000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.043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.066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C44851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Quantitative demands - overload</w:t>
            </w: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General health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-.191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-.215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-.214*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8E18CD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Spontaneous pain</w:t>
            </w:r>
          </w:p>
        </w:tc>
        <w:tc>
          <w:tcPr>
            <w:tcW w:w="1050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.058</w:t>
            </w:r>
          </w:p>
        </w:tc>
        <w:tc>
          <w:tcPr>
            <w:tcW w:w="1071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.157</w:t>
            </w:r>
          </w:p>
        </w:tc>
        <w:tc>
          <w:tcPr>
            <w:tcW w:w="1147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.098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rowth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.140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.056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.057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eneral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.137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.129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.113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Role conflict</w:t>
            </w: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General health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-.145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-.079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-.118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8E18CD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Spontaneous pain</w:t>
            </w:r>
          </w:p>
        </w:tc>
        <w:tc>
          <w:tcPr>
            <w:tcW w:w="1050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.098</w:t>
            </w:r>
          </w:p>
        </w:tc>
        <w:tc>
          <w:tcPr>
            <w:tcW w:w="1071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.016</w:t>
            </w:r>
          </w:p>
        </w:tc>
        <w:tc>
          <w:tcPr>
            <w:tcW w:w="1147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.091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D93A0F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rowth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-.200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-.374**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-.231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eneral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-.313**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-.358**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-.323**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Control over work intensity</w:t>
            </w: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General health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.250*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.082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.116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8E18CD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Spontaneous pain</w:t>
            </w:r>
          </w:p>
        </w:tc>
        <w:tc>
          <w:tcPr>
            <w:tcW w:w="1050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-.009</w:t>
            </w:r>
          </w:p>
        </w:tc>
        <w:tc>
          <w:tcPr>
            <w:tcW w:w="1071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.076</w:t>
            </w:r>
          </w:p>
        </w:tc>
        <w:tc>
          <w:tcPr>
            <w:tcW w:w="1147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-.078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rowth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.246*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.123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.217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eneral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.143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.075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.084</w:t>
            </w:r>
          </w:p>
        </w:tc>
        <w:bookmarkStart w:id="0" w:name="_GoBack"/>
        <w:bookmarkEnd w:id="0"/>
      </w:tr>
      <w:tr w:rsidR="00EE325F" w:rsidRPr="00DD3BFE" w:rsidTr="00DD3BFE">
        <w:tc>
          <w:tcPr>
            <w:tcW w:w="3345" w:type="dxa"/>
          </w:tcPr>
          <w:p w:rsidR="007B2D1C" w:rsidRPr="00DD3BFE" w:rsidRDefault="00EE325F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Control over de</w:t>
            </w:r>
            <w:r w:rsidR="007B2D1C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cisions</w:t>
            </w: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General health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.066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.142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-.017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8E18CD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Spontaneous pain</w:t>
            </w:r>
          </w:p>
        </w:tc>
        <w:tc>
          <w:tcPr>
            <w:tcW w:w="1050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-.070</w:t>
            </w:r>
          </w:p>
        </w:tc>
        <w:tc>
          <w:tcPr>
            <w:tcW w:w="1071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-.084</w:t>
            </w:r>
          </w:p>
        </w:tc>
        <w:tc>
          <w:tcPr>
            <w:tcW w:w="1147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-.029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satisfaction 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rowth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.198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.207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.124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D93A0F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eneral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.037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.086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-.034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C44851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Support from l</w:t>
            </w:r>
            <w:r w:rsidR="00B45CF4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eader</w:t>
            </w: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- </w:t>
            </w:r>
            <w:r w:rsidR="00B45CF4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help</w:t>
            </w: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General health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.201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.201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.144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8E18CD" w:rsidP="00DD3BFE">
            <w:pPr>
              <w:tabs>
                <w:tab w:val="right" w:pos="2392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Spontaneous pain</w:t>
            </w:r>
          </w:p>
        </w:tc>
        <w:tc>
          <w:tcPr>
            <w:tcW w:w="1050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-.318**</w:t>
            </w:r>
          </w:p>
        </w:tc>
        <w:tc>
          <w:tcPr>
            <w:tcW w:w="1071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-.280*</w:t>
            </w:r>
          </w:p>
        </w:tc>
        <w:tc>
          <w:tcPr>
            <w:tcW w:w="1147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-.215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rowth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.473**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.396**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.236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eneral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.476**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.393**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.275*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C44851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Support from leader</w:t>
            </w:r>
            <w:r w:rsidR="00B45CF4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- </w:t>
            </w:r>
            <w:r w:rsidR="00B45CF4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apprecia</w:t>
            </w:r>
            <w:r w:rsidR="00EE325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</w:t>
            </w: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ion</w:t>
            </w: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General health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.205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.144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.140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8E18CD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Spontaneous pain</w:t>
            </w:r>
          </w:p>
        </w:tc>
        <w:tc>
          <w:tcPr>
            <w:tcW w:w="1050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-.266*</w:t>
            </w:r>
          </w:p>
        </w:tc>
        <w:tc>
          <w:tcPr>
            <w:tcW w:w="1071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-.227</w:t>
            </w:r>
          </w:p>
        </w:tc>
        <w:tc>
          <w:tcPr>
            <w:tcW w:w="1147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-.255*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rowth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.516**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.450**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.368**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eneral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.510**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.473**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.428**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Getting co-worker support</w:t>
            </w: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General health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.001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.110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.149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8E18CD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Spontaneous pain</w:t>
            </w:r>
          </w:p>
        </w:tc>
        <w:tc>
          <w:tcPr>
            <w:tcW w:w="1050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-.155</w:t>
            </w:r>
          </w:p>
        </w:tc>
        <w:tc>
          <w:tcPr>
            <w:tcW w:w="1071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-.175</w:t>
            </w:r>
          </w:p>
        </w:tc>
        <w:tc>
          <w:tcPr>
            <w:tcW w:w="1147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-.147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rowth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.146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.244*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.146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eneral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.273*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.292*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.244*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Giving co-worker support</w:t>
            </w: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General health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.176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.134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.141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8E18CD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Spontaneous pain</w:t>
            </w:r>
          </w:p>
        </w:tc>
        <w:tc>
          <w:tcPr>
            <w:tcW w:w="1050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-.116</w:t>
            </w:r>
          </w:p>
        </w:tc>
        <w:tc>
          <w:tcPr>
            <w:tcW w:w="1071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-.017</w:t>
            </w:r>
          </w:p>
        </w:tc>
        <w:tc>
          <w:tcPr>
            <w:tcW w:w="1147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-.170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rowth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.063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.054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.076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eneral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.121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.055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.131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Empowering leadership</w:t>
            </w: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General health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.284*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.272*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.221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8E18CD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Spontaneous pain</w:t>
            </w:r>
          </w:p>
        </w:tc>
        <w:tc>
          <w:tcPr>
            <w:tcW w:w="1050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-.319**</w:t>
            </w:r>
          </w:p>
        </w:tc>
        <w:tc>
          <w:tcPr>
            <w:tcW w:w="1071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-.199</w:t>
            </w:r>
          </w:p>
        </w:tc>
        <w:tc>
          <w:tcPr>
            <w:tcW w:w="1147" w:type="dxa"/>
          </w:tcPr>
          <w:p w:rsidR="007B2D1C" w:rsidRPr="00DD3BFE" w:rsidRDefault="00DB4A4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-.262*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rowth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.347**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.372**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.293*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eneral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.363**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.296*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.312*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Social climate</w:t>
            </w:r>
          </w:p>
        </w:tc>
        <w:tc>
          <w:tcPr>
            <w:tcW w:w="2608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General health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.192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.187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.251*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8E18CD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Spontaneous pain</w:t>
            </w:r>
          </w:p>
        </w:tc>
        <w:tc>
          <w:tcPr>
            <w:tcW w:w="1050" w:type="dxa"/>
          </w:tcPr>
          <w:p w:rsidR="007B2D1C" w:rsidRPr="00DD3BFE" w:rsidRDefault="008E18C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-.158</w:t>
            </w:r>
          </w:p>
        </w:tc>
        <w:tc>
          <w:tcPr>
            <w:tcW w:w="1071" w:type="dxa"/>
          </w:tcPr>
          <w:p w:rsidR="007B2D1C" w:rsidRPr="00DD3BFE" w:rsidRDefault="008E18C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-.093</w:t>
            </w:r>
          </w:p>
        </w:tc>
        <w:tc>
          <w:tcPr>
            <w:tcW w:w="1147" w:type="dxa"/>
          </w:tcPr>
          <w:p w:rsidR="007B2D1C" w:rsidRPr="00DD3BFE" w:rsidRDefault="008E18CD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-.173</w:t>
            </w:r>
          </w:p>
        </w:tc>
      </w:tr>
      <w:tr w:rsidR="00EE325F" w:rsidRPr="00DD3BFE" w:rsidTr="00DD3BFE">
        <w:tc>
          <w:tcPr>
            <w:tcW w:w="3345" w:type="dxa"/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</w:tcPr>
          <w:p w:rsidR="007B2D1C" w:rsidRPr="00DD3BFE" w:rsidRDefault="00D93A0F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–g</w:t>
            </w: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rowth</w:t>
            </w:r>
          </w:p>
        </w:tc>
        <w:tc>
          <w:tcPr>
            <w:tcW w:w="1050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.453**</w:t>
            </w:r>
          </w:p>
        </w:tc>
        <w:tc>
          <w:tcPr>
            <w:tcW w:w="1071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.295*</w:t>
            </w:r>
          </w:p>
        </w:tc>
        <w:tc>
          <w:tcPr>
            <w:tcW w:w="1147" w:type="dxa"/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.324**</w:t>
            </w:r>
          </w:p>
        </w:tc>
      </w:tr>
      <w:tr w:rsidR="00EE325F" w:rsidRPr="00DD3BFE" w:rsidTr="00DD3BFE">
        <w:tc>
          <w:tcPr>
            <w:tcW w:w="3345" w:type="dxa"/>
            <w:tcBorders>
              <w:bottom w:val="single" w:sz="4" w:space="0" w:color="auto"/>
            </w:tcBorders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B2D1C" w:rsidRPr="00DD3BFE" w:rsidRDefault="007B2D1C" w:rsidP="00DD3BF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Job satisfaction </w:t>
            </w:r>
            <w:r w:rsidR="00C44851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g</w:t>
            </w:r>
            <w:r w:rsidR="00D93A0F"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eneral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.515**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.417**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B2D1C" w:rsidRPr="00DD3BFE" w:rsidRDefault="007B2D1C" w:rsidP="001B0BF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.444**</w:t>
            </w:r>
          </w:p>
        </w:tc>
      </w:tr>
      <w:tr w:rsidR="00DD3BFE" w:rsidRPr="00F12627" w:rsidTr="00DD3BFE">
        <w:tc>
          <w:tcPr>
            <w:tcW w:w="9221" w:type="dxa"/>
            <w:gridSpan w:val="5"/>
            <w:tcBorders>
              <w:top w:val="single" w:sz="4" w:space="0" w:color="auto"/>
            </w:tcBorders>
          </w:tcPr>
          <w:p w:rsidR="00DD3BFE" w:rsidRPr="00DD3BFE" w:rsidRDefault="00DD3BFE" w:rsidP="008E18CD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3BFE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Note.</w:t>
            </w: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F50E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Spearman’s rho </w:t>
            </w:r>
            <w:proofErr w:type="gramStart"/>
            <w:r w:rsidR="00F50E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was used</w:t>
            </w:r>
            <w:proofErr w:type="gramEnd"/>
            <w:r w:rsidR="00F50E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to estimate correlations between </w:t>
            </w:r>
            <w:r w:rsidR="008E18C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spontaneous pain </w:t>
            </w:r>
            <w:r w:rsidR="00F50E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and work factor items as </w:t>
            </w:r>
            <w:r w:rsidR="00192CC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the </w:t>
            </w:r>
            <w:r w:rsidR="00F50E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pain</w:t>
            </w:r>
            <w:r w:rsidR="00192CC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measure</w:t>
            </w:r>
            <w:r w:rsidR="00F50E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violated the assumptions of normal distribution. Other correlations was tested </w:t>
            </w:r>
            <w:r w:rsidR="008E18C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estimated with</w:t>
            </w:r>
            <w:r w:rsidR="00F50E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Pearson’s r. </w:t>
            </w:r>
            <w:r w:rsidRPr="00DD3B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* denotes two-tailed test statistically significant at p &lt; .05, ** denotes two-tailed test statistically significant at p &lt; .01. </w:t>
            </w:r>
          </w:p>
        </w:tc>
      </w:tr>
    </w:tbl>
    <w:p w:rsidR="006D3E92" w:rsidRPr="00DD3BFE" w:rsidRDefault="006D3E92" w:rsidP="00DD3B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D3E92" w:rsidRPr="00DD3BFE" w:rsidSect="00DD3BFE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7"/>
    <w:rsid w:val="00096289"/>
    <w:rsid w:val="000C0F79"/>
    <w:rsid w:val="00192CCE"/>
    <w:rsid w:val="001B0BFA"/>
    <w:rsid w:val="00245840"/>
    <w:rsid w:val="00330269"/>
    <w:rsid w:val="003A7A04"/>
    <w:rsid w:val="00417A4C"/>
    <w:rsid w:val="00445367"/>
    <w:rsid w:val="004A39D0"/>
    <w:rsid w:val="00571B09"/>
    <w:rsid w:val="006D3E92"/>
    <w:rsid w:val="007A1BBD"/>
    <w:rsid w:val="007A7C8B"/>
    <w:rsid w:val="007B2D1C"/>
    <w:rsid w:val="007D6F18"/>
    <w:rsid w:val="008B4B8D"/>
    <w:rsid w:val="008E18CD"/>
    <w:rsid w:val="008F13B5"/>
    <w:rsid w:val="00B33BAB"/>
    <w:rsid w:val="00B45CF4"/>
    <w:rsid w:val="00C44851"/>
    <w:rsid w:val="00C96CB2"/>
    <w:rsid w:val="00CB1A94"/>
    <w:rsid w:val="00D93A0F"/>
    <w:rsid w:val="00DB4A4D"/>
    <w:rsid w:val="00DD3BFE"/>
    <w:rsid w:val="00EE325F"/>
    <w:rsid w:val="00F12627"/>
    <w:rsid w:val="00F21DE8"/>
    <w:rsid w:val="00F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12DD-0DB9-4E03-8B9A-14F70042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C0F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A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Askim</dc:creator>
  <cp:keywords/>
  <dc:description/>
  <cp:lastModifiedBy>Stein Knardahl</cp:lastModifiedBy>
  <cp:revision>2</cp:revision>
  <cp:lastPrinted>2020-06-10T09:50:00Z</cp:lastPrinted>
  <dcterms:created xsi:type="dcterms:W3CDTF">2021-01-25T15:50:00Z</dcterms:created>
  <dcterms:modified xsi:type="dcterms:W3CDTF">2021-01-25T15:50:00Z</dcterms:modified>
</cp:coreProperties>
</file>