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86B5" w14:textId="080FC44E" w:rsidR="009C59EB" w:rsidRPr="009C59EB" w:rsidRDefault="009C59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59E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32E1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C59E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D270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C59EB">
        <w:rPr>
          <w:rFonts w:ascii="Times New Roman" w:hAnsi="Times New Roman" w:cs="Times New Roman"/>
          <w:b/>
          <w:bCs/>
          <w:sz w:val="24"/>
          <w:szCs w:val="24"/>
        </w:rPr>
        <w:t>he top10 GSEA outcomes in low TMB</w:t>
      </w:r>
    </w:p>
    <w:p w14:paraId="536E3662" w14:textId="35E05472" w:rsidR="009C59EB" w:rsidRDefault="009C59EB"/>
    <w:tbl>
      <w:tblPr>
        <w:tblStyle w:val="a7"/>
        <w:tblW w:w="917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850"/>
        <w:gridCol w:w="851"/>
        <w:gridCol w:w="850"/>
        <w:gridCol w:w="986"/>
      </w:tblGrid>
      <w:tr w:rsidR="009C59EB" w:rsidRPr="00AC3218" w14:paraId="7EC4D412" w14:textId="77777777" w:rsidTr="000A4070">
        <w:trPr>
          <w:trHeight w:val="613"/>
        </w:trPr>
        <w:tc>
          <w:tcPr>
            <w:tcW w:w="40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CFC3A39" w14:textId="03EBEDF5" w:rsidR="009C59EB" w:rsidRPr="00AC3218" w:rsidRDefault="009C59EB" w:rsidP="000B27E6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7E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scription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3526B01" w14:textId="77777777" w:rsidR="009C59EB" w:rsidRPr="00AC3218" w:rsidRDefault="009C59EB" w:rsidP="000B27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BDFFE72" w14:textId="77777777" w:rsidR="009C59EB" w:rsidRPr="00AC3218" w:rsidRDefault="009C59EB" w:rsidP="000B27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B3149A3" w14:textId="77777777" w:rsidR="009C59EB" w:rsidRPr="00AC3218" w:rsidRDefault="009C59EB" w:rsidP="000B27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CE2AD2E" w14:textId="77777777" w:rsidR="009C59EB" w:rsidRPr="00AC3218" w:rsidRDefault="009C59EB" w:rsidP="000B27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F1ABC0B" w14:textId="77777777" w:rsidR="009C59EB" w:rsidRPr="00AC3218" w:rsidRDefault="009C59EB" w:rsidP="000B27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9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FACAF10" w14:textId="77777777" w:rsidR="009C59EB" w:rsidRPr="00AC3218" w:rsidRDefault="009C59EB" w:rsidP="000B2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 at max</w:t>
            </w:r>
          </w:p>
        </w:tc>
      </w:tr>
      <w:tr w:rsidR="00AC3218" w:rsidRPr="00AC3218" w14:paraId="7898F5C3" w14:textId="77777777" w:rsidTr="000A4070">
        <w:trPr>
          <w:trHeight w:val="300"/>
        </w:trPr>
        <w:tc>
          <w:tcPr>
            <w:tcW w:w="4077" w:type="dxa"/>
            <w:tcBorders>
              <w:top w:val="single" w:sz="12" w:space="0" w:color="000000" w:themeColor="text1"/>
            </w:tcBorders>
            <w:vAlign w:val="center"/>
          </w:tcPr>
          <w:p w14:paraId="6008BFE2" w14:textId="76D02D3F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ECM receptor interaction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14:paraId="4AB618FE" w14:textId="22E2F807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14:paraId="46E9A496" w14:textId="399E6934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14:paraId="0C5BDFF1" w14:textId="47E2190C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-1.89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14:paraId="3BAAE509" w14:textId="0796A1A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14:paraId="262164DC" w14:textId="4DB7656B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986" w:type="dxa"/>
            <w:tcBorders>
              <w:top w:val="single" w:sz="12" w:space="0" w:color="000000" w:themeColor="text1"/>
            </w:tcBorders>
            <w:vAlign w:val="center"/>
          </w:tcPr>
          <w:p w14:paraId="6A27168C" w14:textId="18C05396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10194</w:t>
            </w:r>
          </w:p>
        </w:tc>
      </w:tr>
      <w:tr w:rsidR="00AC3218" w:rsidRPr="00AC3218" w14:paraId="2526E8B1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1F19322D" w14:textId="4318E44B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Vascular smooth muscle contraction</w:t>
            </w:r>
          </w:p>
        </w:tc>
        <w:tc>
          <w:tcPr>
            <w:tcW w:w="709" w:type="dxa"/>
            <w:vAlign w:val="center"/>
          </w:tcPr>
          <w:p w14:paraId="24A6B766" w14:textId="7A48A1E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14:paraId="2AD68FBC" w14:textId="07259C4B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850" w:type="dxa"/>
            <w:vAlign w:val="center"/>
          </w:tcPr>
          <w:p w14:paraId="0454E44F" w14:textId="1F224F6B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-1.77</w:t>
            </w:r>
          </w:p>
        </w:tc>
        <w:tc>
          <w:tcPr>
            <w:tcW w:w="851" w:type="dxa"/>
            <w:vAlign w:val="center"/>
          </w:tcPr>
          <w:p w14:paraId="47C76957" w14:textId="0DE4A80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850" w:type="dxa"/>
            <w:vAlign w:val="center"/>
          </w:tcPr>
          <w:p w14:paraId="482102C0" w14:textId="06707FE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986" w:type="dxa"/>
            <w:vAlign w:val="center"/>
          </w:tcPr>
          <w:p w14:paraId="357358EA" w14:textId="09B2F6FA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10325</w:t>
            </w:r>
          </w:p>
        </w:tc>
      </w:tr>
      <w:tr w:rsidR="00AC3218" w:rsidRPr="00AC3218" w14:paraId="2BA58B21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60B9A66A" w14:textId="6ACC6FED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Ether lipid metabolism</w:t>
            </w:r>
          </w:p>
        </w:tc>
        <w:tc>
          <w:tcPr>
            <w:tcW w:w="709" w:type="dxa"/>
            <w:vAlign w:val="center"/>
          </w:tcPr>
          <w:p w14:paraId="4D3221B9" w14:textId="59E139D1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14:paraId="1744A1A8" w14:textId="46F1829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850" w:type="dxa"/>
            <w:vAlign w:val="center"/>
          </w:tcPr>
          <w:p w14:paraId="3EFA6FA4" w14:textId="726FFB9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-1.71</w:t>
            </w:r>
          </w:p>
        </w:tc>
        <w:tc>
          <w:tcPr>
            <w:tcW w:w="851" w:type="dxa"/>
            <w:vAlign w:val="center"/>
          </w:tcPr>
          <w:p w14:paraId="2899B69A" w14:textId="6C3B319F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850" w:type="dxa"/>
            <w:vAlign w:val="center"/>
          </w:tcPr>
          <w:p w14:paraId="2BFF0B7C" w14:textId="43792E9E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986" w:type="dxa"/>
            <w:vAlign w:val="center"/>
          </w:tcPr>
          <w:p w14:paraId="72687035" w14:textId="33DCF23C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12106</w:t>
            </w:r>
          </w:p>
        </w:tc>
      </w:tr>
      <w:tr w:rsidR="00AC3218" w:rsidRPr="00AC3218" w14:paraId="5D09342D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08D73DCB" w14:textId="46F2A5A2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Taste transduction</w:t>
            </w:r>
          </w:p>
        </w:tc>
        <w:tc>
          <w:tcPr>
            <w:tcW w:w="709" w:type="dxa"/>
            <w:vAlign w:val="center"/>
          </w:tcPr>
          <w:p w14:paraId="446A4F31" w14:textId="6CAD00E5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14:paraId="3D6CD85A" w14:textId="2376030D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850" w:type="dxa"/>
            <w:vAlign w:val="center"/>
          </w:tcPr>
          <w:p w14:paraId="13B4CE76" w14:textId="747928B0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851" w:type="dxa"/>
            <w:vAlign w:val="center"/>
          </w:tcPr>
          <w:p w14:paraId="1A614F93" w14:textId="2A9C602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850" w:type="dxa"/>
            <w:vAlign w:val="center"/>
          </w:tcPr>
          <w:p w14:paraId="2236718D" w14:textId="24BCD32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986" w:type="dxa"/>
            <w:vAlign w:val="center"/>
          </w:tcPr>
          <w:p w14:paraId="1DAEFC13" w14:textId="11A1843D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11197</w:t>
            </w:r>
          </w:p>
        </w:tc>
      </w:tr>
      <w:tr w:rsidR="00AC3218" w:rsidRPr="00AC3218" w14:paraId="2B4FCFCB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452382EE" w14:textId="74F402E5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Cytokine-cytokine receptor interaction</w:t>
            </w:r>
          </w:p>
        </w:tc>
        <w:tc>
          <w:tcPr>
            <w:tcW w:w="709" w:type="dxa"/>
            <w:vAlign w:val="center"/>
          </w:tcPr>
          <w:p w14:paraId="7E62C377" w14:textId="092DFAA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1" w:type="dxa"/>
            <w:vAlign w:val="center"/>
          </w:tcPr>
          <w:p w14:paraId="2DF1B8B9" w14:textId="522EF096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850" w:type="dxa"/>
            <w:vAlign w:val="center"/>
          </w:tcPr>
          <w:p w14:paraId="2D485ADD" w14:textId="0A184F24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-1.69</w:t>
            </w:r>
          </w:p>
        </w:tc>
        <w:tc>
          <w:tcPr>
            <w:tcW w:w="851" w:type="dxa"/>
            <w:vAlign w:val="center"/>
          </w:tcPr>
          <w:p w14:paraId="4BD298F7" w14:textId="275F579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50" w:type="dxa"/>
            <w:vAlign w:val="center"/>
          </w:tcPr>
          <w:p w14:paraId="69431CE9" w14:textId="4C75E5F5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986" w:type="dxa"/>
            <w:vAlign w:val="center"/>
          </w:tcPr>
          <w:p w14:paraId="4EB90709" w14:textId="45289C85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10851</w:t>
            </w:r>
          </w:p>
        </w:tc>
      </w:tr>
      <w:tr w:rsidR="00AC3218" w:rsidRPr="00AC3218" w14:paraId="64F8CC52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2FE36B53" w14:textId="561B4E82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GNRH signaling pathway</w:t>
            </w:r>
          </w:p>
        </w:tc>
        <w:tc>
          <w:tcPr>
            <w:tcW w:w="709" w:type="dxa"/>
            <w:vAlign w:val="center"/>
          </w:tcPr>
          <w:p w14:paraId="42991B0E" w14:textId="471DF0BF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vAlign w:val="center"/>
          </w:tcPr>
          <w:p w14:paraId="06AFC201" w14:textId="729437F8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850" w:type="dxa"/>
            <w:vAlign w:val="center"/>
          </w:tcPr>
          <w:p w14:paraId="1FB252A4" w14:textId="7317DC7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-1.68</w:t>
            </w:r>
          </w:p>
        </w:tc>
        <w:tc>
          <w:tcPr>
            <w:tcW w:w="851" w:type="dxa"/>
            <w:vAlign w:val="center"/>
          </w:tcPr>
          <w:p w14:paraId="171932D9" w14:textId="38C36D10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850" w:type="dxa"/>
            <w:vAlign w:val="center"/>
          </w:tcPr>
          <w:p w14:paraId="3CC07D6F" w14:textId="45754A0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986" w:type="dxa"/>
            <w:vAlign w:val="center"/>
          </w:tcPr>
          <w:p w14:paraId="3F98D38E" w14:textId="014C621A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12095</w:t>
            </w:r>
          </w:p>
        </w:tc>
      </w:tr>
      <w:tr w:rsidR="00AC3218" w:rsidRPr="00AC3218" w14:paraId="07ED4A3F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37C3488C" w14:textId="423AD180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Focal adhesion</w:t>
            </w:r>
          </w:p>
        </w:tc>
        <w:tc>
          <w:tcPr>
            <w:tcW w:w="709" w:type="dxa"/>
            <w:vAlign w:val="center"/>
          </w:tcPr>
          <w:p w14:paraId="59C2E5C5" w14:textId="2385B3F5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1" w:type="dxa"/>
            <w:vAlign w:val="center"/>
          </w:tcPr>
          <w:p w14:paraId="24F59846" w14:textId="5AD822BC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850" w:type="dxa"/>
            <w:vAlign w:val="center"/>
          </w:tcPr>
          <w:p w14:paraId="7CDF89DF" w14:textId="107980F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-1.66</w:t>
            </w:r>
          </w:p>
        </w:tc>
        <w:tc>
          <w:tcPr>
            <w:tcW w:w="851" w:type="dxa"/>
            <w:vAlign w:val="center"/>
          </w:tcPr>
          <w:p w14:paraId="26B9250D" w14:textId="315B8A3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850" w:type="dxa"/>
            <w:vAlign w:val="center"/>
          </w:tcPr>
          <w:p w14:paraId="27CF3313" w14:textId="63E049AF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986" w:type="dxa"/>
            <w:vAlign w:val="center"/>
          </w:tcPr>
          <w:p w14:paraId="52E72117" w14:textId="6DCF9CC4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9255</w:t>
            </w:r>
          </w:p>
        </w:tc>
      </w:tr>
      <w:tr w:rsidR="00AC3218" w:rsidRPr="00AC3218" w14:paraId="757E8E09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35461307" w14:textId="630ABFFD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Dilated cardiomyopathy</w:t>
            </w:r>
          </w:p>
        </w:tc>
        <w:tc>
          <w:tcPr>
            <w:tcW w:w="709" w:type="dxa"/>
            <w:vAlign w:val="center"/>
          </w:tcPr>
          <w:p w14:paraId="5C54B999" w14:textId="7B1CC8C1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14:paraId="39611C6B" w14:textId="539885A7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850" w:type="dxa"/>
            <w:vAlign w:val="center"/>
          </w:tcPr>
          <w:p w14:paraId="5D8BF5AF" w14:textId="0B1DC03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-1.66</w:t>
            </w:r>
          </w:p>
        </w:tc>
        <w:tc>
          <w:tcPr>
            <w:tcW w:w="851" w:type="dxa"/>
            <w:vAlign w:val="center"/>
          </w:tcPr>
          <w:p w14:paraId="5D5D18FB" w14:textId="3C3BD4E8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850" w:type="dxa"/>
            <w:vAlign w:val="center"/>
          </w:tcPr>
          <w:p w14:paraId="5794504A" w14:textId="3F974FBA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986" w:type="dxa"/>
            <w:vAlign w:val="center"/>
          </w:tcPr>
          <w:p w14:paraId="6FD9116E" w14:textId="263E4127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12404</w:t>
            </w:r>
          </w:p>
        </w:tc>
      </w:tr>
      <w:tr w:rsidR="00AC3218" w:rsidRPr="00AC3218" w14:paraId="69D2F1F8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131BF0D3" w14:textId="2CEEDB53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JAK-STAT signaling pathway</w:t>
            </w:r>
          </w:p>
        </w:tc>
        <w:tc>
          <w:tcPr>
            <w:tcW w:w="709" w:type="dxa"/>
            <w:vAlign w:val="center"/>
          </w:tcPr>
          <w:p w14:paraId="31F28461" w14:textId="513E346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vAlign w:val="center"/>
          </w:tcPr>
          <w:p w14:paraId="3FCD39C8" w14:textId="0F7E751E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850" w:type="dxa"/>
            <w:vAlign w:val="center"/>
          </w:tcPr>
          <w:p w14:paraId="3F2E7E81" w14:textId="0D683CBA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-1.65</w:t>
            </w:r>
          </w:p>
        </w:tc>
        <w:tc>
          <w:tcPr>
            <w:tcW w:w="851" w:type="dxa"/>
            <w:vAlign w:val="center"/>
          </w:tcPr>
          <w:p w14:paraId="75B7F453" w14:textId="57E1DDA8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850" w:type="dxa"/>
            <w:vAlign w:val="center"/>
          </w:tcPr>
          <w:p w14:paraId="2D250FB6" w14:textId="1A88F248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986" w:type="dxa"/>
            <w:vAlign w:val="center"/>
          </w:tcPr>
          <w:p w14:paraId="01D880D4" w14:textId="30BD8CF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15883</w:t>
            </w:r>
          </w:p>
        </w:tc>
      </w:tr>
      <w:tr w:rsidR="00AC3218" w:rsidRPr="00AC3218" w14:paraId="7581BE2C" w14:textId="77777777" w:rsidTr="00F84BAA">
        <w:trPr>
          <w:trHeight w:val="716"/>
        </w:trPr>
        <w:tc>
          <w:tcPr>
            <w:tcW w:w="4077" w:type="dxa"/>
            <w:vAlign w:val="center"/>
          </w:tcPr>
          <w:p w14:paraId="5C99B6B3" w14:textId="61917809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</w:t>
            </w:r>
            <w:r w:rsidR="00CE593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ORSO</w:t>
            </w: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ventral axis formation</w:t>
            </w:r>
          </w:p>
        </w:tc>
        <w:tc>
          <w:tcPr>
            <w:tcW w:w="709" w:type="dxa"/>
            <w:vAlign w:val="center"/>
          </w:tcPr>
          <w:p w14:paraId="1002C852" w14:textId="10724E67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55CBBCB7" w14:textId="4F855AA4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850" w:type="dxa"/>
            <w:vAlign w:val="center"/>
          </w:tcPr>
          <w:p w14:paraId="0413AAE6" w14:textId="4017062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-1.63</w:t>
            </w:r>
          </w:p>
        </w:tc>
        <w:tc>
          <w:tcPr>
            <w:tcW w:w="851" w:type="dxa"/>
            <w:vAlign w:val="center"/>
          </w:tcPr>
          <w:p w14:paraId="018FFB0C" w14:textId="420B5C8B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850" w:type="dxa"/>
            <w:vAlign w:val="center"/>
          </w:tcPr>
          <w:p w14:paraId="0B9EA566" w14:textId="6FEF668D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986" w:type="dxa"/>
            <w:vAlign w:val="center"/>
          </w:tcPr>
          <w:p w14:paraId="603BE9B5" w14:textId="6EBD9B7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2959</w:t>
            </w:r>
          </w:p>
        </w:tc>
      </w:tr>
    </w:tbl>
    <w:p w14:paraId="706CFAA1" w14:textId="77777777" w:rsidR="000301E9" w:rsidRDefault="000301E9"/>
    <w:sectPr w:rsidR="00030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ED68" w14:textId="77777777" w:rsidR="00E93811" w:rsidRDefault="00E93811" w:rsidP="009C59EB">
      <w:r>
        <w:separator/>
      </w:r>
    </w:p>
  </w:endnote>
  <w:endnote w:type="continuationSeparator" w:id="0">
    <w:p w14:paraId="62CC13A4" w14:textId="77777777" w:rsidR="00E93811" w:rsidRDefault="00E93811" w:rsidP="009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08DF" w14:textId="77777777" w:rsidR="00E93811" w:rsidRDefault="00E93811" w:rsidP="009C59EB">
      <w:r>
        <w:separator/>
      </w:r>
    </w:p>
  </w:footnote>
  <w:footnote w:type="continuationSeparator" w:id="0">
    <w:p w14:paraId="241320B4" w14:textId="77777777" w:rsidR="00E93811" w:rsidRDefault="00E93811" w:rsidP="009C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35D8"/>
    <w:rsid w:val="000301E9"/>
    <w:rsid w:val="000A4070"/>
    <w:rsid w:val="00115D24"/>
    <w:rsid w:val="00132E10"/>
    <w:rsid w:val="005B2732"/>
    <w:rsid w:val="007E32F6"/>
    <w:rsid w:val="008A686E"/>
    <w:rsid w:val="008D2701"/>
    <w:rsid w:val="009C59EB"/>
    <w:rsid w:val="00AC3218"/>
    <w:rsid w:val="00BF1AC0"/>
    <w:rsid w:val="00CE593D"/>
    <w:rsid w:val="00D735D8"/>
    <w:rsid w:val="00E93811"/>
    <w:rsid w:val="00F84BAA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316B9"/>
  <w15:chartTrackingRefBased/>
  <w15:docId w15:val="{AD0AE147-0B01-45B6-B4D8-E0BCEEA6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9EB"/>
    <w:rPr>
      <w:sz w:val="18"/>
      <w:szCs w:val="18"/>
    </w:rPr>
  </w:style>
  <w:style w:type="table" w:styleId="a7">
    <w:name w:val="Table Grid"/>
    <w:basedOn w:val="a1"/>
    <w:uiPriority w:val="59"/>
    <w:rsid w:val="009C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dcterms:created xsi:type="dcterms:W3CDTF">2020-08-08T00:20:00Z</dcterms:created>
  <dcterms:modified xsi:type="dcterms:W3CDTF">2020-10-16T11:44:00Z</dcterms:modified>
</cp:coreProperties>
</file>