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6E6815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660F1E33" w:rsidR="00EA3D3C" w:rsidRPr="00994A3D" w:rsidRDefault="00654E8F" w:rsidP="006E6815">
      <w:pPr>
        <w:pStyle w:val="Heading1"/>
      </w:pPr>
      <w:r w:rsidRPr="00994A3D">
        <w:t>Supplementary Data</w:t>
      </w:r>
      <w:r w:rsidR="002E23DD">
        <w:t xml:space="preserve"> o</w:t>
      </w:r>
      <w:r w:rsidR="00181ABD">
        <w:t>n</w:t>
      </w:r>
      <w:r w:rsidR="002E23DD">
        <w:t xml:space="preserve"> Lithofacies </w:t>
      </w:r>
    </w:p>
    <w:p w14:paraId="000277F7" w14:textId="77777777" w:rsidR="006E6815" w:rsidRPr="00E8304F" w:rsidRDefault="006E6815" w:rsidP="006E6815">
      <w:pPr>
        <w:pStyle w:val="BodyText"/>
        <w:spacing w:after="120"/>
        <w:ind w:left="0" w:right="96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8304F">
        <w:rPr>
          <w:rFonts w:ascii="Times New Roman" w:hAnsi="Times New Roman" w:cs="Times New Roman"/>
          <w:b/>
          <w:sz w:val="24"/>
          <w:szCs w:val="24"/>
        </w:rPr>
        <w:t>Upper Abrahamskraal Formation</w:t>
      </w:r>
      <w:r w:rsidRPr="00E8304F">
        <w:rPr>
          <w:rStyle w:val="Heading3Char"/>
          <w:rFonts w:cs="Times New Roman"/>
        </w:rPr>
        <w:t>.---</w:t>
      </w:r>
      <w:r w:rsidRPr="00E830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In the SW-MKB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, the gravel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facies are confined to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small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79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elongated</w:t>
      </w:r>
      <w:r w:rsidRPr="00E8304F">
        <w:rPr>
          <w:rFonts w:ascii="Times New Roman" w:hAnsi="Times New Roman" w:cs="Times New Roman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lenticular ribbon-like</w:t>
      </w:r>
      <w:r w:rsidRPr="00E8304F">
        <w:rPr>
          <w:rFonts w:ascii="Times New Roman" w:hAnsi="Times New Roman" w:cs="Times New Roman"/>
          <w:sz w:val="24"/>
          <w:szCs w:val="24"/>
        </w:rPr>
        <w:t xml:space="preserve"> beds that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 xml:space="preserve">are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0.4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to </w:t>
      </w:r>
      <w:r w:rsidRPr="00E8304F">
        <w:rPr>
          <w:rFonts w:ascii="Times New Roman" w:hAnsi="Times New Roman" w:cs="Times New Roman"/>
          <w:sz w:val="24"/>
          <w:szCs w:val="24"/>
        </w:rPr>
        <w:t>1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thick</w:t>
      </w:r>
      <w:r w:rsidRPr="00E8304F">
        <w:rPr>
          <w:rFonts w:ascii="Times New Roman" w:hAnsi="Times New Roman" w:cs="Times New Roman"/>
          <w:sz w:val="24"/>
          <w:szCs w:val="24"/>
        </w:rPr>
        <w:t xml:space="preserve"> and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1 m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 ~15</w:t>
      </w:r>
      <w:r w:rsidRPr="00E8304F">
        <w:rPr>
          <w:rFonts w:ascii="Times New Roman" w:hAnsi="Times New Roman" w:cs="Times New Roman"/>
          <w:sz w:val="24"/>
          <w:szCs w:val="24"/>
        </w:rPr>
        <w:t xml:space="preserve"> m in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 xml:space="preserve">wide, usually at the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base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of upward-fining successions (see below) that rest on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irregular</w:t>
      </w:r>
      <w:r w:rsidRPr="00E8304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scour</w:t>
      </w:r>
      <w:r w:rsidRPr="00E8304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surfaces</w:t>
      </w:r>
      <w:r w:rsidRPr="00E8304F">
        <w:rPr>
          <w:rFonts w:ascii="Times New Roman" w:hAnsi="Times New Roman" w:cs="Times New Roman"/>
          <w:spacing w:val="-2"/>
          <w:sz w:val="24"/>
          <w:szCs w:val="24"/>
        </w:rPr>
        <w:t xml:space="preserve">. </w:t>
      </w:r>
      <w:proofErr w:type="gramStart"/>
      <w:r w:rsidRPr="00E8304F">
        <w:rPr>
          <w:rFonts w:ascii="Times New Roman" w:hAnsi="Times New Roman" w:cs="Times New Roman"/>
          <w:spacing w:val="-1"/>
          <w:sz w:val="24"/>
          <w:szCs w:val="24"/>
        </w:rPr>
        <w:t>Poorly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>-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sorted</w:t>
      </w:r>
      <w:proofErr w:type="gramEnd"/>
      <w:r w:rsidRPr="00E8304F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E8304F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massive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matrix-supported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breccias</w:t>
      </w:r>
      <w:r w:rsidRPr="00E8304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(Gmm1</w:t>
      </w:r>
      <w:r w:rsidRPr="00E8304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Gmm2) are more common than clast-supported, horizontally</w:t>
      </w:r>
      <w:r w:rsidRPr="00E8304F">
        <w:rPr>
          <w:rFonts w:ascii="Times New Roman" w:hAnsi="Times New Roman" w:cs="Times New Roman"/>
          <w:spacing w:val="10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bedded facies 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Gch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Table 1, Fig. 4).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Compositionally,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gramStart"/>
      <w:r w:rsidRPr="00E8304F">
        <w:rPr>
          <w:rFonts w:ascii="Times New Roman" w:hAnsi="Times New Roman" w:cs="Times New Roman"/>
          <w:sz w:val="24"/>
          <w:szCs w:val="24"/>
        </w:rPr>
        <w:t>poorly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>-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sorted</w:t>
      </w:r>
      <w:proofErr w:type="gramEnd"/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clasts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mudstones,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sandstones,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fossilised</w:t>
      </w:r>
      <w:proofErr w:type="spellEnd"/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wood,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small</w:t>
      </w:r>
      <w:r w:rsidRPr="00E8304F">
        <w:rPr>
          <w:rFonts w:ascii="Times New Roman" w:hAnsi="Times New Roman" w:cs="Times New Roman"/>
          <w:spacing w:val="9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bones</w:t>
      </w:r>
      <w:r w:rsidRPr="00E8304F">
        <w:rPr>
          <w:rFonts w:ascii="Times New Roman" w:hAnsi="Times New Roman" w:cs="Times New Roman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carbonate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nodules.</w:t>
      </w:r>
      <w:r w:rsidRPr="00E8304F">
        <w:rPr>
          <w:rFonts w:ascii="Times New Roman" w:hAnsi="Times New Roman" w:cs="Times New Roman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Clast-size</w:t>
      </w:r>
      <w:r w:rsidRPr="00E8304F">
        <w:rPr>
          <w:rFonts w:ascii="Times New Roman" w:hAnsi="Times New Roman" w:cs="Times New Roman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ranges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from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2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z w:val="24"/>
          <w:szCs w:val="24"/>
        </w:rPr>
        <w:t xml:space="preserve"> 20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cm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 xml:space="preserve">(av.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~5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cm).</w:t>
      </w:r>
      <w:r w:rsidRPr="00E8304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The matrix</w:t>
      </w:r>
      <w:r w:rsidRPr="00E8304F">
        <w:rPr>
          <w:rFonts w:ascii="Times New Roman" w:hAnsi="Times New Roman" w:cs="Times New Roman"/>
          <w:spacing w:val="83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is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mainly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made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up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of</w:t>
      </w:r>
      <w:r w:rsidRPr="00E8304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fine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sand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very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fine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dark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grey,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clayey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sediment. The sandstone facies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1 m thick and 6-15 m wide ribbons with lenticular or wedge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shaped cross-sections. They comprise a</w:t>
      </w:r>
      <w:r w:rsidRPr="00E8304F">
        <w:rPr>
          <w:rFonts w:ascii="Times New Roman" w:hAnsi="Times New Roman" w:cs="Times New Roman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large range of facies from the most common trough cross-bedded sandstones (St) to horizontally and ripple cross-laminated sandstones, as well as massive and low-angle cross bedded sandstones 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Sh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, Sr1,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Sm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,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Sl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-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Table 1, Fig. 4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) and from classical upward-fining successions. These have gravels facies (e.g., Gmm1) and/or coarse-grained, cross-bedded St,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Sl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) sandstones in their lower parts. Their middle portion is dominated by cross-bedded (St,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Sp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), laminated 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Sh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) and massive 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Sm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) sandstones, that are invariably capped by ripple cross-laminated sandstones (Sr). This vertical suit of facies is also coupled with an upward decrease in grain-size. The fine-grained facies are mainly massive (occasionally laminated) olive green grey siltstones (and less commonly, red purple, massive and horizontally laminated mudstones (Fl1; Fl2; Fsm2; 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>Table 1, Fig. 4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). </w:t>
      </w:r>
      <w:r w:rsidRPr="00E8304F">
        <w:rPr>
          <w:rFonts w:ascii="Times New Roman" w:hAnsi="Times New Roman" w:cs="Times New Roman"/>
          <w:i/>
          <w:spacing w:val="-1"/>
          <w:sz w:val="24"/>
          <w:szCs w:val="24"/>
        </w:rPr>
        <w:t xml:space="preserve">In situ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carbonate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nodules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locally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proofErr w:type="gramStart"/>
      <w:r w:rsidRPr="00E8304F">
        <w:rPr>
          <w:rFonts w:ascii="Times New Roman" w:hAnsi="Times New Roman" w:cs="Times New Roman"/>
          <w:spacing w:val="-1"/>
          <w:sz w:val="24"/>
          <w:szCs w:val="24"/>
        </w:rPr>
        <w:t>abundant, and</w:t>
      </w:r>
      <w:proofErr w:type="gram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occur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as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dark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grey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or</w:t>
      </w:r>
      <w:r w:rsidRPr="00E8304F">
        <w:rPr>
          <w:rFonts w:ascii="Times New Roman" w:hAnsi="Times New Roman" w:cs="Times New Roman"/>
          <w:spacing w:val="95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dark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brown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nodules that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in</w:t>
      </w:r>
      <w:r w:rsidRPr="00E8304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size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from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2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60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cm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in</w:t>
      </w:r>
      <w:r w:rsidRPr="00E8304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diameter.</w:t>
      </w:r>
      <w:r w:rsidRPr="00E8304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Occasionally,</w:t>
      </w:r>
      <w:r w:rsidRPr="00E8304F">
        <w:rPr>
          <w:rFonts w:ascii="Times New Roman" w:hAnsi="Times New Roman" w:cs="Times New Roman"/>
          <w:spacing w:val="89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gramStart"/>
      <w:r w:rsidRPr="00E8304F">
        <w:rPr>
          <w:rFonts w:ascii="Times New Roman" w:hAnsi="Times New Roman" w:cs="Times New Roman"/>
          <w:i/>
          <w:spacing w:val="-2"/>
          <w:sz w:val="24"/>
          <w:szCs w:val="24"/>
        </w:rPr>
        <w:t>in situ</w:t>
      </w:r>
      <w:proofErr w:type="gramEnd"/>
      <w:r w:rsidRPr="00E8304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carbonate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nodules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found</w:t>
      </w:r>
      <w:r w:rsidRPr="00E8304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concentrated in layers, and together with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desiccation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cracks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Fmd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therapsid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fossils form part of paleosol (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>Table 1, Fig. 4)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.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Rare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fossilised</w:t>
      </w:r>
      <w:proofErr w:type="spellEnd"/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wood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fragments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 trace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fossils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also</w:t>
      </w:r>
      <w:r w:rsidRPr="00E8304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present.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The ichnofossils are exclusive to the upper bedding planes of thin, fine-grained sandstone interbeds, and are simple, unlined, unbranched, gently curving, cylindrical (diameters ~0.5 cm) infilled invertebrate burrows. The lithology of their massive fill is </w:t>
      </w:r>
      <w:proofErr w:type="gramStart"/>
      <w:r w:rsidRPr="00E8304F">
        <w:rPr>
          <w:rFonts w:ascii="Times New Roman" w:hAnsi="Times New Roman" w:cs="Times New Roman"/>
          <w:spacing w:val="-7"/>
          <w:sz w:val="24"/>
          <w:szCs w:val="24"/>
        </w:rPr>
        <w:t>in essence identical</w:t>
      </w:r>
      <w:proofErr w:type="gramEnd"/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to the fine-grained sandstone host rock.</w:t>
      </w:r>
    </w:p>
    <w:p w14:paraId="79C0EB4F" w14:textId="5F7BFBC8" w:rsidR="006E6815" w:rsidRPr="00E8304F" w:rsidRDefault="006E6815" w:rsidP="006E6815">
      <w:pPr>
        <w:pStyle w:val="BodyText"/>
        <w:spacing w:after="120"/>
        <w:ind w:left="0" w:right="96"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8304F">
        <w:rPr>
          <w:rFonts w:ascii="Times New Roman" w:hAnsi="Times New Roman" w:cs="Times New Roman"/>
          <w:sz w:val="24"/>
          <w:szCs w:val="24"/>
        </w:rPr>
        <w:t>In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 xml:space="preserve">S-MKB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(Fig. 1), the gravel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facies in the 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>upper Abrahamskraal Formation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are confined to </w:t>
      </w:r>
      <w:r w:rsidRPr="00E8304F">
        <w:rPr>
          <w:rFonts w:ascii="Times New Roman" w:hAnsi="Times New Roman" w:cs="Times New Roman"/>
          <w:sz w:val="24"/>
          <w:szCs w:val="24"/>
        </w:rPr>
        <w:t>beds that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broad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ribbons</w:t>
      </w:r>
      <w:r w:rsidRPr="00E8304F">
        <w:rPr>
          <w:rFonts w:ascii="Times New Roman" w:hAnsi="Times New Roman" w:cs="Times New Roman"/>
          <w:spacing w:val="81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narrow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sheets, which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on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0.5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10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wide.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Resting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on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erosive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irregular</w:t>
      </w:r>
      <w:r w:rsidRPr="00E8304F">
        <w:rPr>
          <w:rFonts w:ascii="Times New Roman" w:hAnsi="Times New Roman" w:cs="Times New Roman"/>
          <w:spacing w:val="95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lower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contacts,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they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found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at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base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of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channel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grade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into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overlying</w:t>
      </w:r>
      <w:r w:rsidRPr="00E8304F">
        <w:rPr>
          <w:rFonts w:ascii="Times New Roman" w:hAnsi="Times New Roman" w:cs="Times New Roman"/>
          <w:spacing w:val="74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sandstones forming classical upward-fining successions (described above).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The coarse-grained litho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facies </w:t>
      </w:r>
      <w:r w:rsidRPr="00E8304F">
        <w:rPr>
          <w:rFonts w:ascii="Times New Roman" w:hAnsi="Times New Roman" w:cs="Times New Roman"/>
          <w:sz w:val="24"/>
          <w:szCs w:val="24"/>
        </w:rPr>
        <w:t>vary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from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clast-supported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conglomerates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breccias 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Gcm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,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Gch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matrix-supported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breccias with intraformational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rip-up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clasts</w:t>
      </w:r>
      <w:r w:rsidRPr="00E8304F">
        <w:rPr>
          <w:rFonts w:ascii="Times New Roman" w:hAnsi="Times New Roman" w:cs="Times New Roman"/>
          <w:spacing w:val="104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(Gmm2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-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hyperlink w:anchor="_bookmark17" w:history="1">
        <w:r w:rsidRPr="00E8304F">
          <w:rPr>
            <w:rFonts w:ascii="Times New Roman" w:hAnsi="Times New Roman" w:cs="Times New Roman"/>
            <w:spacing w:val="-1"/>
            <w:sz w:val="24"/>
            <w:szCs w:val="24"/>
          </w:rPr>
          <w:t>Table</w:t>
        </w:r>
        <w:r w:rsidRPr="00E8304F">
          <w:rPr>
            <w:rFonts w:ascii="Times New Roman" w:hAnsi="Times New Roman" w:cs="Times New Roman"/>
            <w:spacing w:val="16"/>
            <w:sz w:val="24"/>
            <w:szCs w:val="24"/>
          </w:rPr>
          <w:t xml:space="preserve"> </w:t>
        </w:r>
        <w:r w:rsidRPr="00E8304F">
          <w:rPr>
            <w:rFonts w:ascii="Times New Roman" w:hAnsi="Times New Roman" w:cs="Times New Roman"/>
            <w:spacing w:val="-1"/>
            <w:sz w:val="24"/>
            <w:szCs w:val="24"/>
          </w:rPr>
          <w:t>1</w:t>
        </w:r>
      </w:hyperlink>
      <w:r w:rsidRPr="00E8304F">
        <w:rPr>
          <w:rFonts w:ascii="Times New Roman" w:hAnsi="Times New Roman" w:cs="Times New Roman"/>
          <w:spacing w:val="-1"/>
          <w:sz w:val="24"/>
          <w:szCs w:val="24"/>
        </w:rPr>
        <w:t>; Fig. 4).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Well-sorted,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clast-supported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massive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conglomerates</w:t>
      </w:r>
      <w:r w:rsidRPr="00E8304F">
        <w:rPr>
          <w:rFonts w:ascii="Times New Roman" w:hAnsi="Times New Roman" w:cs="Times New Roman"/>
          <w:spacing w:val="99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Gcm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more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common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than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horizontally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bedded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gravels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Gch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).</w:t>
      </w:r>
      <w:r w:rsidRPr="00E8304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Intraformational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clasts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also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common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within sandstone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beds,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where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they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either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form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small,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1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4 m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wide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lenses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or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stingers</w:t>
      </w:r>
      <w:r w:rsidRPr="00E8304F">
        <w:rPr>
          <w:rFonts w:ascii="Times New Roman" w:hAnsi="Times New Roman" w:cs="Times New Roman"/>
          <w:spacing w:val="75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E8304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&lt;10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cm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thick. Sandstones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bodies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vary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from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single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storey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multi-storey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deposits that are on</w:t>
      </w:r>
      <w:r w:rsidRPr="00E8304F">
        <w:rPr>
          <w:rFonts w:ascii="Times New Roman" w:hAnsi="Times New Roman" w:cs="Times New Roman"/>
          <w:spacing w:val="95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average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~4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120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wide.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Individual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beds</w:t>
      </w:r>
      <w:r w:rsidRPr="00E8304F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tend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form</w:t>
      </w:r>
      <w:r w:rsidRPr="00E8304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vertically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stacked</w:t>
      </w:r>
      <w:r w:rsidRPr="00E8304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lenses, and</w:t>
      </w:r>
      <w:r w:rsidRPr="00E8304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occasionally</w:t>
      </w:r>
      <w:r w:rsidRPr="00E8304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laterally</w:t>
      </w:r>
      <w:r w:rsidRPr="00E8304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accreted</w:t>
      </w:r>
      <w:r w:rsidRPr="00E8304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sheets.</w:t>
      </w:r>
      <w:r w:rsidRPr="00E8304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Grain</w:t>
      </w:r>
      <w:r w:rsidRPr="00E8304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sizes</w:t>
      </w:r>
      <w:r w:rsidRPr="00E8304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range</w:t>
      </w:r>
      <w:r w:rsidRPr="00E8304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from</w:t>
      </w:r>
      <w:r w:rsidRPr="00E8304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fine-</w:t>
      </w:r>
      <w:r w:rsidRPr="00E8304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coarse</w:t>
      </w:r>
      <w:r w:rsidRPr="00E8304F">
        <w:rPr>
          <w:rFonts w:ascii="Times New Roman" w:hAnsi="Times New Roman" w:cs="Times New Roman"/>
          <w:spacing w:val="18"/>
          <w:sz w:val="24"/>
          <w:szCs w:val="24"/>
        </w:rPr>
        <w:t>-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grained with</w:t>
      </w:r>
      <w:r w:rsidRPr="00E8304F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medium-grained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sandstones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dominating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outcrops.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Horizontal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lamination 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Sh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>)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planar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gramStart"/>
      <w:r w:rsidRPr="00E8304F">
        <w:rPr>
          <w:rFonts w:ascii="Times New Roman" w:hAnsi="Times New Roman" w:cs="Times New Roman"/>
          <w:spacing w:val="-1"/>
          <w:sz w:val="24"/>
          <w:szCs w:val="24"/>
        </w:rPr>
        <w:t>cross-bedding</w:t>
      </w:r>
      <w:proofErr w:type="gram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(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Sp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)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common;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however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ripple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cross-laminations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(Sr)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dominant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sedimentary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structure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in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the eastern Abrahamskraal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Formation.</w:t>
      </w:r>
      <w:r w:rsidRPr="00E8304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Well-defined</w:t>
      </w:r>
      <w:r w:rsidRPr="00E8304F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by</w:t>
      </w:r>
      <w:r w:rsidRPr="00E8304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mud</w:t>
      </w:r>
      <w:r w:rsidRPr="00E8304F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drapes,</w:t>
      </w:r>
      <w:r w:rsidRPr="00E8304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Sr</w:t>
      </w:r>
      <w:r w:rsidRPr="00E8304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facies</w:t>
      </w:r>
      <w:r w:rsidRPr="00E8304F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vary</w:t>
      </w:r>
      <w:r w:rsidRPr="00E8304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from</w:t>
      </w:r>
      <w:r w:rsidRPr="00E8304F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climbing</w:t>
      </w:r>
      <w:r w:rsidRPr="00E8304F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ripples</w:t>
      </w:r>
      <w:r w:rsidRPr="00E8304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(Sr1)</w:t>
      </w:r>
      <w:r w:rsidRPr="00E8304F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87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trough-shaped</w:t>
      </w:r>
      <w:r w:rsidRPr="00E8304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flaser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ripples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(Sr2)</w:t>
      </w:r>
      <w:r w:rsidRPr="00E8304F">
        <w:rPr>
          <w:rFonts w:ascii="Times New Roman" w:hAnsi="Times New Roman" w:cs="Times New Roman"/>
          <w:sz w:val="24"/>
          <w:szCs w:val="24"/>
        </w:rPr>
        <w:t xml:space="preserve">.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mudstone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s, which are </w:t>
      </w:r>
      <w:r w:rsidRPr="00E8304F">
        <w:rPr>
          <w:rFonts w:ascii="Times New Roman" w:hAnsi="Times New Roman" w:cs="Times New Roman"/>
          <w:sz w:val="24"/>
          <w:szCs w:val="24"/>
        </w:rPr>
        <w:t>slightly coarser than in the SW-MKB,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form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lateral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extensive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sheet-like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deposits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that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up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20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thick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99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extend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for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100s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lastRenderedPageBreak/>
        <w:t>of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metres. The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mudstone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>s form</w:t>
      </w:r>
      <w:r w:rsidRPr="00E8304F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alternating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successions</w:t>
      </w:r>
      <w:r w:rsidRPr="00E8304F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of</w:t>
      </w:r>
      <w:r w:rsidRPr="00E8304F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laminated,</w:t>
      </w:r>
      <w:r w:rsidRPr="00E8304F">
        <w:rPr>
          <w:rFonts w:ascii="Times New Roman" w:hAnsi="Times New Roman" w:cs="Times New Roman"/>
          <w:spacing w:val="83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purple-red</w:t>
      </w:r>
      <w:r w:rsidRPr="00E8304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mudrocks</w:t>
      </w:r>
      <w:proofErr w:type="spellEnd"/>
      <w:r w:rsidRPr="00E8304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(Fl1)</w:t>
      </w:r>
      <w:r w:rsidRPr="00E8304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olive</w:t>
      </w:r>
      <w:r w:rsidRPr="00E8304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green-grey,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massive</w:t>
      </w:r>
      <w:r w:rsidRPr="00E8304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siltstones</w:t>
      </w:r>
      <w:r w:rsidRPr="00E8304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(Fsm2</w:t>
      </w:r>
      <w:r w:rsidRPr="00E8304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-</w:t>
      </w:r>
      <w:r w:rsidRPr="00E8304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hyperlink w:anchor="_bookmark17" w:history="1">
        <w:r w:rsidRPr="00E8304F">
          <w:rPr>
            <w:rFonts w:ascii="Times New Roman" w:hAnsi="Times New Roman" w:cs="Times New Roman"/>
            <w:spacing w:val="-1"/>
            <w:sz w:val="24"/>
            <w:szCs w:val="24"/>
          </w:rPr>
          <w:t>Table</w:t>
        </w:r>
        <w:r w:rsidRPr="00E8304F">
          <w:rPr>
            <w:rFonts w:ascii="Times New Roman" w:hAnsi="Times New Roman" w:cs="Times New Roman"/>
            <w:spacing w:val="21"/>
            <w:sz w:val="24"/>
            <w:szCs w:val="24"/>
          </w:rPr>
          <w:t xml:space="preserve"> </w:t>
        </w:r>
        <w:r w:rsidRPr="00E8304F">
          <w:rPr>
            <w:rFonts w:ascii="Times New Roman" w:hAnsi="Times New Roman" w:cs="Times New Roman"/>
            <w:sz w:val="24"/>
            <w:szCs w:val="24"/>
          </w:rPr>
          <w:t>1,</w:t>
        </w:r>
      </w:hyperlink>
      <w:r w:rsidRPr="00E8304F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Fig. 4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).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mottling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texture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is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common</w:t>
      </w:r>
      <w:r w:rsidRPr="00E8304F">
        <w:rPr>
          <w:rFonts w:ascii="Times New Roman" w:hAnsi="Times New Roman" w:cs="Times New Roman"/>
          <w:sz w:val="24"/>
          <w:szCs w:val="24"/>
        </w:rPr>
        <w:t xml:space="preserve"> in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all</w:t>
      </w:r>
      <w:r w:rsidRPr="00E8304F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mudrocks</w:t>
      </w:r>
      <w:proofErr w:type="spellEnd"/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(Fr).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i/>
          <w:spacing w:val="-1"/>
          <w:sz w:val="24"/>
          <w:szCs w:val="24"/>
        </w:rPr>
        <w:t xml:space="preserve">In situ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carbonate nodule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horizons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(facies P) and laminated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tuffs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(T)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common. </w:t>
      </w:r>
    </w:p>
    <w:p w14:paraId="791038D2" w14:textId="66E4F15C" w:rsidR="006E6815" w:rsidRDefault="006E6815" w:rsidP="006E6815">
      <w:pPr>
        <w:pStyle w:val="BodyText"/>
        <w:spacing w:after="120"/>
        <w:ind w:left="0" w:right="96" w:firstLine="720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E8304F">
        <w:rPr>
          <w:rFonts w:ascii="Times New Roman" w:hAnsi="Times New Roman" w:cs="Times New Roman"/>
          <w:b/>
          <w:sz w:val="24"/>
          <w:szCs w:val="24"/>
        </w:rPr>
        <w:t xml:space="preserve">Lower Teekloof </w:t>
      </w:r>
      <w:proofErr w:type="gramStart"/>
      <w:r w:rsidRPr="00E8304F">
        <w:rPr>
          <w:rFonts w:ascii="Times New Roman" w:hAnsi="Times New Roman" w:cs="Times New Roman"/>
          <w:b/>
          <w:sz w:val="24"/>
          <w:szCs w:val="24"/>
        </w:rPr>
        <w:t>Formation</w:t>
      </w:r>
      <w:r w:rsidRPr="00E8304F">
        <w:rPr>
          <w:rStyle w:val="Heading3Char"/>
          <w:rFonts w:cs="Times New Roman"/>
        </w:rPr>
        <w:t>.---</w:t>
      </w:r>
      <w:proofErr w:type="gramEnd"/>
      <w:r w:rsidRPr="00E830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In the SW-MKB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, the gravel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facies is rare and confined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to narrow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broad</w:t>
      </w:r>
      <w:r w:rsidRPr="00E8304F">
        <w:rPr>
          <w:rFonts w:ascii="Times New Roman" w:hAnsi="Times New Roman" w:cs="Times New Roman"/>
          <w:spacing w:val="93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ribbons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(~50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cm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thick,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5-8</w:t>
      </w:r>
      <w:r w:rsidRPr="00E8304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wide)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at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base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of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upward-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fining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successions. Matrix-supported</w:t>
      </w:r>
      <w:r w:rsidRPr="00E8304F">
        <w:rPr>
          <w:rFonts w:ascii="Times New Roman" w:hAnsi="Times New Roman" w:cs="Times New Roman"/>
          <w:spacing w:val="88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breccias</w:t>
      </w:r>
      <w:r w:rsidRPr="00E8304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(Gmm2)</w:t>
      </w:r>
      <w:r w:rsidRPr="00E8304F">
        <w:rPr>
          <w:rFonts w:ascii="Times New Roman" w:hAnsi="Times New Roman" w:cs="Times New Roman"/>
          <w:spacing w:val="24"/>
          <w:sz w:val="24"/>
          <w:szCs w:val="24"/>
        </w:rPr>
        <w:t xml:space="preserve"> dominate </w:t>
      </w:r>
      <w:r w:rsidRPr="00E8304F">
        <w:rPr>
          <w:rFonts w:ascii="Times New Roman" w:hAnsi="Times New Roman" w:cs="Times New Roman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compromise</w:t>
      </w:r>
      <w:r w:rsidRPr="00E8304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E8304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angular</w:t>
      </w:r>
      <w:r w:rsidRPr="00E8304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mudstone</w:t>
      </w:r>
      <w:r w:rsidRPr="00E8304F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clasts,</w:t>
      </w:r>
      <w:r w:rsidRPr="00E8304F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sub-rounded to sub-angular</w:t>
      </w:r>
      <w:r w:rsidRPr="00E8304F">
        <w:rPr>
          <w:rFonts w:ascii="Times New Roman" w:hAnsi="Times New Roman" w:cs="Times New Roman"/>
          <w:spacing w:val="101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sandstone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pebbles</w:t>
      </w:r>
      <w:r w:rsidRPr="00E8304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 xml:space="preserve">many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carbonate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nodules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set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in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sandy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matrix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(</w:t>
      </w:r>
      <w:hyperlink w:anchor="_bookmark17" w:history="1">
        <w:r w:rsidRPr="00E8304F">
          <w:rPr>
            <w:rFonts w:ascii="Times New Roman" w:hAnsi="Times New Roman" w:cs="Times New Roman"/>
            <w:spacing w:val="-1"/>
            <w:sz w:val="24"/>
            <w:szCs w:val="24"/>
          </w:rPr>
          <w:t>Table</w:t>
        </w:r>
        <w:r w:rsidRPr="00E8304F">
          <w:rPr>
            <w:rFonts w:ascii="Times New Roman" w:hAnsi="Times New Roman" w:cs="Times New Roman"/>
            <w:spacing w:val="-6"/>
            <w:sz w:val="24"/>
            <w:szCs w:val="24"/>
          </w:rPr>
          <w:t xml:space="preserve"> </w:t>
        </w:r>
        <w:r w:rsidRPr="00E8304F">
          <w:rPr>
            <w:rFonts w:ascii="Times New Roman" w:hAnsi="Times New Roman" w:cs="Times New Roman"/>
            <w:sz w:val="24"/>
            <w:szCs w:val="24"/>
          </w:rPr>
          <w:t>1</w:t>
        </w:r>
      </w:hyperlink>
      <w:r w:rsidRPr="00E8304F">
        <w:rPr>
          <w:rFonts w:ascii="Times New Roman" w:hAnsi="Times New Roman" w:cs="Times New Roman"/>
          <w:sz w:val="24"/>
          <w:szCs w:val="24"/>
        </w:rPr>
        <w:t xml:space="preserve">).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Confined to laterally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accreted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wedges, the sandstone facies in the western lower Teekloof</w:t>
      </w:r>
      <w:r w:rsidRPr="00E8304F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Formation are highly diverse and cover the entire lithofacies spectrum of sandstone facies, </w:t>
      </w:r>
      <w:proofErr w:type="gramStart"/>
      <w:r w:rsidRPr="00E8304F">
        <w:rPr>
          <w:rFonts w:ascii="Times New Roman" w:hAnsi="Times New Roman" w:cs="Times New Roman"/>
          <w:spacing w:val="-1"/>
          <w:sz w:val="24"/>
          <w:szCs w:val="24"/>
        </w:rPr>
        <w:t>with the exception of</w:t>
      </w:r>
      <w:proofErr w:type="gram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 xml:space="preserve">facies Sr2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(Table 1).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From most to least abundant, these lithofacies </w:t>
      </w:r>
      <w:proofErr w:type="gramStart"/>
      <w:r w:rsidRPr="00E8304F">
        <w:rPr>
          <w:rFonts w:ascii="Times New Roman" w:hAnsi="Times New Roman" w:cs="Times New Roman"/>
          <w:spacing w:val="8"/>
          <w:sz w:val="24"/>
          <w:szCs w:val="24"/>
        </w:rPr>
        <w:t>are:</w:t>
      </w:r>
      <w:proofErr w:type="gramEnd"/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 St, </w:t>
      </w:r>
      <w:proofErr w:type="spellStart"/>
      <w:r w:rsidRPr="00E8304F">
        <w:rPr>
          <w:rFonts w:ascii="Times New Roman" w:hAnsi="Times New Roman" w:cs="Times New Roman"/>
          <w:spacing w:val="8"/>
          <w:sz w:val="24"/>
          <w:szCs w:val="24"/>
        </w:rPr>
        <w:t>Sl</w:t>
      </w:r>
      <w:proofErr w:type="spellEnd"/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, </w:t>
      </w:r>
      <w:proofErr w:type="spellStart"/>
      <w:r w:rsidRPr="00E8304F">
        <w:rPr>
          <w:rFonts w:ascii="Times New Roman" w:hAnsi="Times New Roman" w:cs="Times New Roman"/>
          <w:spacing w:val="8"/>
          <w:sz w:val="24"/>
          <w:szCs w:val="24"/>
        </w:rPr>
        <w:t>Sm</w:t>
      </w:r>
      <w:proofErr w:type="spellEnd"/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, </w:t>
      </w:r>
      <w:proofErr w:type="spellStart"/>
      <w:r w:rsidRPr="00E8304F">
        <w:rPr>
          <w:rFonts w:ascii="Times New Roman" w:hAnsi="Times New Roman" w:cs="Times New Roman"/>
          <w:spacing w:val="8"/>
          <w:sz w:val="24"/>
          <w:szCs w:val="24"/>
        </w:rPr>
        <w:t>Sp</w:t>
      </w:r>
      <w:proofErr w:type="spellEnd"/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, </w:t>
      </w:r>
      <w:proofErr w:type="spellStart"/>
      <w:r w:rsidRPr="00E8304F">
        <w:rPr>
          <w:rFonts w:ascii="Times New Roman" w:hAnsi="Times New Roman" w:cs="Times New Roman"/>
          <w:spacing w:val="8"/>
          <w:sz w:val="24"/>
          <w:szCs w:val="24"/>
        </w:rPr>
        <w:t>Sh</w:t>
      </w:r>
      <w:proofErr w:type="spellEnd"/>
      <w:r w:rsidRPr="00E8304F">
        <w:rPr>
          <w:rFonts w:ascii="Times New Roman" w:hAnsi="Times New Roman" w:cs="Times New Roman"/>
          <w:spacing w:val="8"/>
          <w:sz w:val="24"/>
          <w:szCs w:val="24"/>
        </w:rPr>
        <w:t xml:space="preserve">, Sr1 and Sb; they occur in classical 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>upward-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fining</w:t>
      </w:r>
      <w:r w:rsidRPr="00E8304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successions described above</w:t>
      </w:r>
      <w:r w:rsidRPr="00E8304F">
        <w:rPr>
          <w:rFonts w:ascii="Times New Roman" w:hAnsi="Times New Roman" w:cs="Times New Roman"/>
          <w:spacing w:val="8"/>
          <w:sz w:val="24"/>
          <w:szCs w:val="24"/>
        </w:rPr>
        <w:t>. T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he fine-grained facies alternate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between</w:t>
      </w:r>
      <w:r w:rsidRPr="00E8304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massive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and/or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laminated</w:t>
      </w:r>
      <w:r w:rsidRPr="00E8304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proofErr w:type="gramStart"/>
      <w:r w:rsidRPr="00E8304F">
        <w:rPr>
          <w:rFonts w:ascii="Times New Roman" w:hAnsi="Times New Roman" w:cs="Times New Roman"/>
          <w:spacing w:val="-1"/>
          <w:sz w:val="24"/>
          <w:szCs w:val="24"/>
        </w:rPr>
        <w:t>red-maroon</w:t>
      </w:r>
      <w:proofErr w:type="gramEnd"/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claystones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(Fl1;</w:t>
      </w:r>
      <w:r w:rsidRPr="00E8304F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Fsm1)</w:t>
      </w:r>
      <w:r w:rsidRPr="00E8304F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and</w:t>
      </w:r>
      <w:r w:rsidRPr="00E8304F">
        <w:rPr>
          <w:rFonts w:ascii="Times New Roman" w:hAnsi="Times New Roman" w:cs="Times New Roman"/>
          <w:spacing w:val="105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more common</w:t>
      </w:r>
      <w:r w:rsidRPr="00E8304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massive</w:t>
      </w:r>
      <w:r w:rsidRPr="00E8304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olive</w:t>
      </w:r>
      <w:r w:rsidRPr="00E8304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green</w:t>
      </w:r>
      <w:r w:rsidRPr="00E8304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grey</w:t>
      </w:r>
      <w:r w:rsidRPr="00E8304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claystones/siltstones</w:t>
      </w:r>
      <w:r w:rsidRPr="00E8304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(Fsm2).</w:t>
      </w:r>
      <w:r w:rsidRPr="00E8304F">
        <w:rPr>
          <w:rFonts w:ascii="Times New Roman" w:hAnsi="Times New Roman" w:cs="Times New Roman"/>
          <w:i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i/>
          <w:spacing w:val="-1"/>
          <w:sz w:val="24"/>
          <w:szCs w:val="24"/>
        </w:rPr>
        <w:t xml:space="preserve">In situ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carbonate</w:t>
      </w:r>
      <w:r w:rsidRPr="00E8304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nodules</w:t>
      </w:r>
      <w:r w:rsidRPr="00E8304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(P) of a few cm in </w:t>
      </w:r>
      <w:proofErr w:type="spellStart"/>
      <w:r w:rsidRPr="00E8304F">
        <w:rPr>
          <w:rFonts w:ascii="Times New Roman" w:hAnsi="Times New Roman" w:cs="Times New Roman"/>
          <w:spacing w:val="-1"/>
          <w:sz w:val="24"/>
          <w:szCs w:val="24"/>
        </w:rPr>
        <w:t>diametre</w:t>
      </w:r>
      <w:proofErr w:type="spellEnd"/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very</w:t>
      </w:r>
      <w:r w:rsidRPr="00E8304F">
        <w:rPr>
          <w:rFonts w:ascii="Times New Roman" w:hAnsi="Times New Roman" w:cs="Times New Roman"/>
          <w:spacing w:val="83"/>
          <w:w w:val="9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common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 xml:space="preserve">in the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fine-grained facies</w:t>
      </w:r>
      <w:r w:rsidRPr="00E8304F">
        <w:rPr>
          <w:rFonts w:ascii="Times New Roman" w:hAnsi="Times New Roman" w:cs="Times New Roman"/>
          <w:sz w:val="24"/>
          <w:szCs w:val="24"/>
        </w:rPr>
        <w:t>.</w:t>
      </w:r>
      <w:r w:rsidRPr="00E8304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In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S-MKB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, t</w:t>
      </w:r>
      <w:r w:rsidRPr="00E8304F">
        <w:rPr>
          <w:rFonts w:ascii="Times New Roman" w:hAnsi="Times New Roman" w:cs="Times New Roman"/>
          <w:sz w:val="24"/>
          <w:szCs w:val="24"/>
        </w:rPr>
        <w:t>he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lithofacies abundances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in the lower</w:t>
      </w:r>
      <w:r w:rsidRPr="00E8304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Teekloof</w:t>
      </w:r>
      <w:r w:rsidRPr="00E8304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Formation</w:t>
      </w:r>
      <w:r w:rsidRPr="00E8304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are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identical</w:t>
      </w:r>
      <w:r w:rsidRPr="00E8304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to</w:t>
      </w:r>
      <w:r w:rsidRPr="00E8304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underlying </w:t>
      </w:r>
      <w:r w:rsidRPr="00E8304F">
        <w:rPr>
          <w:rFonts w:ascii="Times New Roman" w:hAnsi="Times New Roman" w:cs="Times New Roman"/>
          <w:sz w:val="24"/>
          <w:szCs w:val="24"/>
        </w:rPr>
        <w:t>Abrahamskraal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Formation of the S-MKB (Table 1),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with</w:t>
      </w:r>
      <w:r w:rsidRPr="00E8304F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exception</w:t>
      </w:r>
      <w:r w:rsidRPr="00E8304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z w:val="24"/>
          <w:szCs w:val="24"/>
        </w:rPr>
        <w:t>of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the</w:t>
      </w:r>
      <w:r w:rsidRPr="00E8304F">
        <w:rPr>
          <w:rFonts w:ascii="Times New Roman" w:hAnsi="Times New Roman" w:cs="Times New Roman"/>
          <w:spacing w:val="15"/>
          <w:sz w:val="24"/>
          <w:szCs w:val="24"/>
        </w:rPr>
        <w:t xml:space="preserve"> gravel facies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 and the ripple cross-laminations with mud</w:t>
      </w:r>
      <w:r w:rsidRPr="00E8304F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drapes</w:t>
      </w:r>
      <w:r w:rsidRPr="00E8304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(Sr2)</w:t>
      </w:r>
      <w:r w:rsidRPr="00E8304F">
        <w:rPr>
          <w:rFonts w:ascii="Times New Roman" w:hAnsi="Times New Roman" w:cs="Times New Roman"/>
          <w:spacing w:val="-6"/>
          <w:sz w:val="24"/>
          <w:szCs w:val="24"/>
        </w:rPr>
        <w:t xml:space="preserve">, the former being more common (but still rare – see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 xml:space="preserve">next section) </w:t>
      </w:r>
      <w:r w:rsidRPr="00E8304F">
        <w:rPr>
          <w:rFonts w:ascii="Times New Roman" w:hAnsi="Times New Roman" w:cs="Times New Roman"/>
          <w:spacing w:val="-6"/>
          <w:sz w:val="24"/>
          <w:szCs w:val="24"/>
        </w:rPr>
        <w:t xml:space="preserve">and the latter absent in the lower </w:t>
      </w:r>
      <w:r w:rsidRPr="00E8304F">
        <w:rPr>
          <w:rFonts w:ascii="Times New Roman" w:hAnsi="Times New Roman" w:cs="Times New Roman"/>
          <w:spacing w:val="-1"/>
          <w:sz w:val="24"/>
          <w:szCs w:val="24"/>
        </w:rPr>
        <w:t>Teekloof Formation of the S-MKB.</w:t>
      </w:r>
    </w:p>
    <w:p w14:paraId="780C3B92" w14:textId="77777777" w:rsidR="006E6815" w:rsidRDefault="006E6815">
      <w:pPr>
        <w:spacing w:before="0" w:after="200" w:line="276" w:lineRule="auto"/>
        <w:rPr>
          <w:rFonts w:eastAsia="Calibri" w:cs="Times New Roman"/>
          <w:spacing w:val="-1"/>
          <w:szCs w:val="24"/>
        </w:rPr>
      </w:pPr>
      <w:r>
        <w:rPr>
          <w:rFonts w:cs="Times New Roman"/>
          <w:spacing w:val="-1"/>
          <w:szCs w:val="24"/>
        </w:rPr>
        <w:br w:type="page"/>
      </w:r>
    </w:p>
    <w:p w14:paraId="33B161F2" w14:textId="78C13514" w:rsidR="0081027E" w:rsidRPr="0081027E" w:rsidRDefault="0081027E" w:rsidP="006E6815">
      <w:pPr>
        <w:pStyle w:val="Heading1"/>
        <w:rPr>
          <w:b w:val="0"/>
        </w:rPr>
      </w:pPr>
      <w:bookmarkStart w:id="0" w:name="_Hlk52805343"/>
      <w:r w:rsidRPr="00994A3D">
        <w:t xml:space="preserve">Supplementary </w:t>
      </w:r>
      <w:r>
        <w:t>Figure 1</w:t>
      </w:r>
      <w:bookmarkEnd w:id="0"/>
      <w:r>
        <w:t xml:space="preserve"> </w:t>
      </w:r>
      <w:r w:rsidRPr="0081027E">
        <w:t>—</w:t>
      </w:r>
      <w:r w:rsidRPr="0081027E">
        <w:rPr>
          <w:b w:val="0"/>
        </w:rPr>
        <w:t xml:space="preserve">Example of a channel belt exposure used in facies quantification </w:t>
      </w:r>
      <w:r>
        <w:rPr>
          <w:b w:val="0"/>
        </w:rPr>
        <w:t xml:space="preserve">from </w:t>
      </w:r>
      <w:r w:rsidRPr="0081027E">
        <w:rPr>
          <w:b w:val="0"/>
        </w:rPr>
        <w:t>the Abrahamskraal Formation at location M</w:t>
      </w:r>
      <w:r>
        <w:rPr>
          <w:b w:val="0"/>
        </w:rPr>
        <w:t xml:space="preserve"> in southwestern main Karoo Basin (study area W2)</w:t>
      </w:r>
      <w:r w:rsidRPr="0081027E">
        <w:rPr>
          <w:b w:val="0"/>
        </w:rPr>
        <w:t xml:space="preserve">. Lithofacies maps </w:t>
      </w:r>
      <w:r>
        <w:rPr>
          <w:b w:val="0"/>
        </w:rPr>
        <w:t xml:space="preserve">of the outcrops </w:t>
      </w:r>
      <w:r w:rsidRPr="0081027E">
        <w:rPr>
          <w:b w:val="0"/>
        </w:rPr>
        <w:t xml:space="preserve">in </w:t>
      </w:r>
      <w:r>
        <w:rPr>
          <w:b w:val="0"/>
        </w:rPr>
        <w:t>(</w:t>
      </w:r>
      <w:r w:rsidRPr="0081027E">
        <w:rPr>
          <w:b w:val="0"/>
        </w:rPr>
        <w:t xml:space="preserve">A) and </w:t>
      </w:r>
      <w:r>
        <w:rPr>
          <w:b w:val="0"/>
        </w:rPr>
        <w:t>(</w:t>
      </w:r>
      <w:r w:rsidRPr="0081027E">
        <w:rPr>
          <w:b w:val="0"/>
        </w:rPr>
        <w:t xml:space="preserve">B) show that downward accretion </w:t>
      </w:r>
      <w:r>
        <w:rPr>
          <w:b w:val="0"/>
        </w:rPr>
        <w:t xml:space="preserve">architectural </w:t>
      </w:r>
      <w:r w:rsidRPr="0081027E">
        <w:rPr>
          <w:b w:val="0"/>
        </w:rPr>
        <w:t>elements (DA</w:t>
      </w:r>
      <w:r>
        <w:rPr>
          <w:b w:val="0"/>
        </w:rPr>
        <w:t>s</w:t>
      </w:r>
      <w:r w:rsidRPr="0081027E">
        <w:rPr>
          <w:b w:val="0"/>
        </w:rPr>
        <w:t>)</w:t>
      </w:r>
      <w:r>
        <w:rPr>
          <w:b w:val="0"/>
        </w:rPr>
        <w:t xml:space="preserve"> </w:t>
      </w:r>
      <w:r w:rsidRPr="0081027E">
        <w:rPr>
          <w:b w:val="0"/>
        </w:rPr>
        <w:t>dominate</w:t>
      </w:r>
      <w:r>
        <w:rPr>
          <w:b w:val="0"/>
        </w:rPr>
        <w:t xml:space="preserve"> at this location</w:t>
      </w:r>
      <w:r w:rsidRPr="0081027E">
        <w:rPr>
          <w:b w:val="0"/>
        </w:rPr>
        <w:t>. A and B show perpendicular sections of the same channel belt as well as the overall vertical stacking of the elongated, ribbon-like DAs. Note that the palaeocurrent direction (PC) is perpendicular to the outcrop in A and parallel to the outcrop in B. Light yellow = channel elements, light grey = floodplain elements (FF); bounding surface</w:t>
      </w:r>
      <w:r>
        <w:rPr>
          <w:b w:val="0"/>
        </w:rPr>
        <w:t>s</w:t>
      </w:r>
      <w:r w:rsidRPr="0081027E">
        <w:rPr>
          <w:b w:val="0"/>
        </w:rPr>
        <w:t xml:space="preserve"> are numbered. </w:t>
      </w:r>
      <w:r>
        <w:rPr>
          <w:b w:val="0"/>
        </w:rPr>
        <w:t>(</w:t>
      </w:r>
      <w:r w:rsidRPr="0081027E">
        <w:rPr>
          <w:b w:val="0"/>
        </w:rPr>
        <w:t>C) Sedimentary log at location M showing the vertical distribution of the lithofacies and architectural elements (e.g., GB, CR, CS, which are not indicated in A and B for simplicity). Relative proportions of architectural elements derived from C are incorporated into the facies quantification analysis.</w:t>
      </w:r>
    </w:p>
    <w:p w14:paraId="21B3AEE8" w14:textId="44A37F6E" w:rsidR="0081027E" w:rsidRDefault="0081027E" w:rsidP="0081027E">
      <w:r>
        <w:rPr>
          <w:noProof/>
        </w:rPr>
        <w:drawing>
          <wp:inline distT="0" distB="0" distL="0" distR="0" wp14:anchorId="4AED8336" wp14:editId="529935AA">
            <wp:extent cx="6208395" cy="303784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5 Paiva &amp; Bordy_Fluv archi Karoo site M 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C7A26" w14:textId="77777777" w:rsidR="0081027E" w:rsidRDefault="0081027E">
      <w:pPr>
        <w:spacing w:before="0" w:after="200" w:line="276" w:lineRule="auto"/>
      </w:pPr>
      <w:r>
        <w:br w:type="page"/>
      </w:r>
    </w:p>
    <w:p w14:paraId="4272CA1C" w14:textId="570E1BCE" w:rsidR="00181ABD" w:rsidRDefault="00181ABD" w:rsidP="00181ABD">
      <w:pPr>
        <w:pStyle w:val="Heading1"/>
      </w:pPr>
      <w:r w:rsidRPr="00181ABD">
        <w:t xml:space="preserve">Supplementary </w:t>
      </w:r>
      <w:r>
        <w:t xml:space="preserve">data on </w:t>
      </w:r>
      <w:r w:rsidR="009C75BB">
        <w:t>channel belt</w:t>
      </w:r>
      <w:r w:rsidRPr="00181ABD">
        <w:t xml:space="preserve"> dimensions </w:t>
      </w:r>
    </w:p>
    <w:p w14:paraId="08119AD6" w14:textId="2A60BB76" w:rsidR="009C75BB" w:rsidRPr="002D452E" w:rsidRDefault="009C75BB" w:rsidP="00181ABD">
      <w:pPr>
        <w:rPr>
          <w:rFonts w:cs="Times New Roman"/>
          <w:szCs w:val="24"/>
        </w:rPr>
      </w:pPr>
      <w:r w:rsidRPr="009C75BB">
        <w:rPr>
          <w:rFonts w:cs="Times New Roman"/>
          <w:szCs w:val="24"/>
        </w:rPr>
        <w:t>To quantify the dimensions of the sandstone bodies</w:t>
      </w:r>
      <w:r w:rsidR="00A27027">
        <w:rPr>
          <w:rFonts w:cs="Times New Roman"/>
          <w:szCs w:val="24"/>
        </w:rPr>
        <w:t xml:space="preserve"> </w:t>
      </w:r>
      <w:r w:rsidR="002D452E">
        <w:rPr>
          <w:rFonts w:cs="Times New Roman"/>
          <w:szCs w:val="24"/>
        </w:rPr>
        <w:t xml:space="preserve">confined to </w:t>
      </w:r>
      <w:r w:rsidR="00A27027">
        <w:rPr>
          <w:rFonts w:cs="Times New Roman"/>
          <w:szCs w:val="24"/>
        </w:rPr>
        <w:t>channel belt</w:t>
      </w:r>
      <w:r w:rsidR="002D452E">
        <w:rPr>
          <w:rFonts w:cs="Times New Roman"/>
          <w:szCs w:val="24"/>
        </w:rPr>
        <w:t>s</w:t>
      </w:r>
      <w:r w:rsidRPr="009C75BB">
        <w:rPr>
          <w:rFonts w:cs="Times New Roman"/>
          <w:szCs w:val="24"/>
        </w:rPr>
        <w:t xml:space="preserve"> in the Abrahamskraal and Teekloof Formations, width and thickness measurements were taken and the calculated width-thickness ratios, after being corrected for obliquity to palaeoflow, were compared to a global dataset presented in Gibling (2006). Although the outcrops are often well over 100 </w:t>
      </w:r>
      <w:r w:rsidR="002D452E">
        <w:rPr>
          <w:rFonts w:cs="Times New Roman"/>
          <w:szCs w:val="24"/>
        </w:rPr>
        <w:t xml:space="preserve">m </w:t>
      </w:r>
      <w:r w:rsidRPr="009C75BB">
        <w:rPr>
          <w:rFonts w:cs="Times New Roman"/>
          <w:szCs w:val="24"/>
        </w:rPr>
        <w:t xml:space="preserve">wide and several 10s’ of metres high, </w:t>
      </w:r>
      <w:r w:rsidRPr="00AB3096">
        <w:rPr>
          <w:rFonts w:cs="Times New Roman"/>
          <w:i/>
          <w:iCs/>
          <w:szCs w:val="24"/>
        </w:rPr>
        <w:t>occasionally</w:t>
      </w:r>
      <w:r w:rsidRPr="009C75BB">
        <w:rPr>
          <w:rFonts w:cs="Times New Roman"/>
          <w:szCs w:val="24"/>
        </w:rPr>
        <w:t xml:space="preserve">, where the </w:t>
      </w:r>
      <w:r w:rsidR="00A27027">
        <w:rPr>
          <w:rFonts w:cs="Times New Roman"/>
          <w:szCs w:val="24"/>
        </w:rPr>
        <w:t>channel belt</w:t>
      </w:r>
      <w:r w:rsidRPr="009C75BB">
        <w:rPr>
          <w:rFonts w:cs="Times New Roman"/>
          <w:szCs w:val="24"/>
        </w:rPr>
        <w:t xml:space="preserve"> is wider than the outcrop, the width measurements are partial, and thus the width-thickness ratios cannot be accurately constrained. In this study, no qualitative distinction was made between the single storey, isolated and multi-storey, amalgamated sandstone bodies, and thus the measurements refer to the maximum lateral and vertical dimensions of a given sandstone-dominated </w:t>
      </w:r>
      <w:r w:rsidR="00A27027">
        <w:rPr>
          <w:rFonts w:cs="Times New Roman"/>
          <w:szCs w:val="24"/>
        </w:rPr>
        <w:t>channel belt</w:t>
      </w:r>
      <w:r w:rsidR="002D452E">
        <w:rPr>
          <w:rFonts w:cs="Times New Roman"/>
          <w:szCs w:val="24"/>
        </w:rPr>
        <w:t xml:space="preserve"> (see Fig. 2)</w:t>
      </w:r>
      <w:r w:rsidRPr="009C75BB">
        <w:rPr>
          <w:rFonts w:cs="Times New Roman"/>
          <w:szCs w:val="24"/>
        </w:rPr>
        <w:t>, irrespective of how many or what type of lithofacies or lithofacies associations are stacked in it laterally</w:t>
      </w:r>
      <w:r w:rsidRPr="002D452E">
        <w:rPr>
          <w:rFonts w:cs="Times New Roman"/>
          <w:szCs w:val="24"/>
        </w:rPr>
        <w:t xml:space="preserve"> or vertically. </w:t>
      </w:r>
      <w:r w:rsidR="002D452E" w:rsidRPr="002D452E">
        <w:rPr>
          <w:rFonts w:cs="Times New Roman"/>
          <w:szCs w:val="24"/>
        </w:rPr>
        <w:t>In other words, d</w:t>
      </w:r>
      <w:r w:rsidRPr="002D452E">
        <w:rPr>
          <w:rFonts w:cs="Times New Roman"/>
          <w:szCs w:val="24"/>
        </w:rPr>
        <w:t xml:space="preserve">ata on width-thickness ratios are thus representative of fluvial hierarchies at </w:t>
      </w:r>
      <w:r w:rsidR="00AB3096" w:rsidRPr="002D452E">
        <w:rPr>
          <w:rFonts w:cs="Times New Roman"/>
          <w:szCs w:val="24"/>
        </w:rPr>
        <w:t xml:space="preserve">the level of </w:t>
      </w:r>
      <w:r w:rsidRPr="002D452E">
        <w:rPr>
          <w:rFonts w:cs="Times New Roman"/>
          <w:szCs w:val="24"/>
        </w:rPr>
        <w:t>Channel Belts</w:t>
      </w:r>
      <w:r w:rsidR="002D452E" w:rsidRPr="002D452E">
        <w:rPr>
          <w:rFonts w:cs="Times New Roman"/>
          <w:szCs w:val="24"/>
        </w:rPr>
        <w:t>, irrespective of what their architectural types are</w:t>
      </w:r>
      <w:r w:rsidRPr="002D452E">
        <w:rPr>
          <w:rFonts w:cs="Times New Roman"/>
          <w:szCs w:val="24"/>
        </w:rPr>
        <w:t>.</w:t>
      </w:r>
    </w:p>
    <w:p w14:paraId="3E8F3027" w14:textId="2DAC6776" w:rsidR="00181ABD" w:rsidRDefault="00181ABD" w:rsidP="00181ABD">
      <w:pPr>
        <w:rPr>
          <w:rFonts w:cs="Times New Roman"/>
          <w:szCs w:val="24"/>
        </w:rPr>
      </w:pPr>
      <w:r w:rsidRPr="002D452E">
        <w:rPr>
          <w:rFonts w:cs="Times New Roman"/>
          <w:szCs w:val="24"/>
        </w:rPr>
        <w:t xml:space="preserve">The width (W) and thickness (T) measurements of the sandstone bodies in the study area and the derived W/T ratios are shown </w:t>
      </w:r>
      <w:r w:rsidR="00A27027" w:rsidRPr="002D452E">
        <w:rPr>
          <w:rFonts w:cs="Times New Roman"/>
          <w:szCs w:val="24"/>
        </w:rPr>
        <w:t>in Supplementary Figure 2</w:t>
      </w:r>
      <w:r w:rsidRPr="002D452E">
        <w:rPr>
          <w:rFonts w:cs="Times New Roman"/>
          <w:szCs w:val="24"/>
        </w:rPr>
        <w:t>. The maxi</w:t>
      </w:r>
      <w:r w:rsidRPr="00181ABD">
        <w:rPr>
          <w:rFonts w:cs="Times New Roman"/>
          <w:szCs w:val="24"/>
        </w:rPr>
        <w:t>mum width values of the sandsto</w:t>
      </w:r>
      <w:r w:rsidRPr="002D452E">
        <w:rPr>
          <w:rFonts w:cs="Times New Roman"/>
          <w:szCs w:val="24"/>
        </w:rPr>
        <w:t>ne bodies in the upper Abrahamskraal Formation are ~3.5 and ~2 times smaller than in the lower Teekloof Formation, which are ~773 m and 230 m in the SW-MKB and S-MKB, respectively. Similarly, the mean widths in the lower Teekloof Formation (~130 m and ~91 m in the SW-MKB and S-MKB, respectively) are greater than in the upper Abrahamskraal Formation (</w:t>
      </w:r>
      <w:r w:rsidR="00A27027" w:rsidRPr="002D452E">
        <w:rPr>
          <w:rFonts w:cs="Times New Roman"/>
          <w:szCs w:val="24"/>
        </w:rPr>
        <w:t xml:space="preserve">S </w:t>
      </w:r>
      <w:r w:rsidRPr="002D452E">
        <w:rPr>
          <w:rFonts w:cs="Times New Roman"/>
          <w:szCs w:val="24"/>
        </w:rPr>
        <w:t xml:space="preserve">Fig. </w:t>
      </w:r>
      <w:r w:rsidR="00A27027" w:rsidRPr="002D452E">
        <w:rPr>
          <w:rFonts w:cs="Times New Roman"/>
          <w:szCs w:val="24"/>
        </w:rPr>
        <w:t>2</w:t>
      </w:r>
      <w:r w:rsidRPr="002D452E">
        <w:rPr>
          <w:rFonts w:cs="Times New Roman"/>
          <w:szCs w:val="24"/>
        </w:rPr>
        <w:t xml:space="preserve">D). Thicknesses trends seem to be more variable, with the Teekloof Formation being thicker in the S-MKB with a maximum of 30 m (mean ~5.8 m) versus a maximum of 5.6 m (mean ~3.8 m) for the upper Abrahamskraal Formation. In contrast, the SW-MKB shows the opposite thickness trend (Fig. 10D). </w:t>
      </w:r>
      <w:r w:rsidRPr="002D452E">
        <w:rPr>
          <w:rFonts w:cs="Times New Roman"/>
          <w:szCs w:val="24"/>
          <w:lang w:val="en-ZA"/>
        </w:rPr>
        <w:t>In brief</w:t>
      </w:r>
      <w:r w:rsidRPr="002D452E">
        <w:rPr>
          <w:rFonts w:cs="Times New Roman"/>
          <w:szCs w:val="24"/>
        </w:rPr>
        <w:t xml:space="preserve">, the maximum and mean values indicate that in both formations the sandstone bodies are wider in the SW-MKB, and, especially in the lower Teekloof Formation, thicker in the S-MKB. Moreover, </w:t>
      </w:r>
      <w:r w:rsidR="00A27027" w:rsidRPr="002D452E">
        <w:rPr>
          <w:rFonts w:cs="Times New Roman"/>
          <w:szCs w:val="24"/>
        </w:rPr>
        <w:t>Supplementary Figure 2</w:t>
      </w:r>
      <w:r w:rsidRPr="002D452E">
        <w:rPr>
          <w:rFonts w:cs="Times New Roman"/>
          <w:szCs w:val="24"/>
        </w:rPr>
        <w:t xml:space="preserve"> also shows a positive correlation between width and thickness values and that most of the data plot between the W/T = 10 and W/T = 100 lines, indicating that the sandstone bodies in the study area tend to be narrow sheets, and occasionally broad ribbons. Furthermore, most measurements plot in a region where many river style envelopes of Gibling (2006) overlap, and therefore inferences connecting W/T values to a specific river style are difficult to be made. However, most of the data points (</w:t>
      </w:r>
      <w:r w:rsidR="00A27027" w:rsidRPr="002D452E">
        <w:rPr>
          <w:rFonts w:cs="Times New Roman"/>
          <w:szCs w:val="24"/>
        </w:rPr>
        <w:t xml:space="preserve">S </w:t>
      </w:r>
      <w:r w:rsidRPr="002D452E">
        <w:rPr>
          <w:rFonts w:cs="Times New Roman"/>
          <w:szCs w:val="24"/>
        </w:rPr>
        <w:t xml:space="preserve">Fig. </w:t>
      </w:r>
      <w:r w:rsidR="00A27027" w:rsidRPr="002D452E">
        <w:rPr>
          <w:rFonts w:cs="Times New Roman"/>
          <w:szCs w:val="24"/>
        </w:rPr>
        <w:t>2</w:t>
      </w:r>
      <w:r w:rsidRPr="002D452E">
        <w:rPr>
          <w:rFonts w:cs="Times New Roman"/>
          <w:szCs w:val="24"/>
        </w:rPr>
        <w:t xml:space="preserve">A) are concentrated in the population envelope that is for “crevasse channels and avulsion deposits” of Gibling (2006). The few outliers (nine in total </w:t>
      </w:r>
      <w:r w:rsidR="00A27027" w:rsidRPr="002D452E">
        <w:rPr>
          <w:rFonts w:cs="Times New Roman"/>
          <w:szCs w:val="24"/>
        </w:rPr>
        <w:t>–</w:t>
      </w:r>
      <w:r w:rsidRPr="002D452E">
        <w:rPr>
          <w:rFonts w:cs="Times New Roman"/>
          <w:szCs w:val="24"/>
        </w:rPr>
        <w:t xml:space="preserve"> </w:t>
      </w:r>
      <w:r w:rsidR="00A27027" w:rsidRPr="002D452E">
        <w:rPr>
          <w:rFonts w:cs="Times New Roman"/>
          <w:szCs w:val="24"/>
        </w:rPr>
        <w:t xml:space="preserve">S </w:t>
      </w:r>
      <w:r w:rsidRPr="002D452E">
        <w:rPr>
          <w:rFonts w:cs="Times New Roman"/>
          <w:szCs w:val="24"/>
        </w:rPr>
        <w:t xml:space="preserve">Fig. </w:t>
      </w:r>
      <w:r w:rsidR="00A27027" w:rsidRPr="002D452E">
        <w:rPr>
          <w:rFonts w:cs="Times New Roman"/>
          <w:szCs w:val="24"/>
        </w:rPr>
        <w:t>2</w:t>
      </w:r>
      <w:r w:rsidRPr="002D452E">
        <w:rPr>
          <w:rFonts w:cs="Times New Roman"/>
          <w:szCs w:val="24"/>
        </w:rPr>
        <w:t>B, C) are mainly from the lower Teekloof Formation in the SW-MKB.</w:t>
      </w:r>
    </w:p>
    <w:p w14:paraId="6011175D" w14:textId="0B3B6E5E" w:rsidR="00AB3096" w:rsidRPr="00970C07" w:rsidRDefault="00AB3096" w:rsidP="00AB3096">
      <w:pPr>
        <w:spacing w:before="0"/>
        <w:ind w:right="96"/>
        <w:rPr>
          <w:rFonts w:cs="Times New Roman"/>
          <w:strike/>
          <w:szCs w:val="24"/>
        </w:rPr>
      </w:pPr>
      <w:r>
        <w:rPr>
          <w:b/>
          <w:bCs/>
          <w:noProof/>
        </w:rPr>
        <w:drawing>
          <wp:inline distT="0" distB="0" distL="0" distR="0" wp14:anchorId="0205C10D" wp14:editId="5C8194C7">
            <wp:extent cx="6208395" cy="5370830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10 Bordy &amp; Paiva_Fluv archi Karoo  WTs s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3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ABD" w:rsidRPr="00181ABD">
        <w:rPr>
          <w:b/>
          <w:bCs/>
        </w:rPr>
        <w:t xml:space="preserve">Supplementary Figure </w:t>
      </w:r>
      <w:r w:rsidR="00181ABD">
        <w:rPr>
          <w:b/>
          <w:bCs/>
        </w:rPr>
        <w:t>2</w:t>
      </w:r>
      <w:r w:rsidR="00181ABD" w:rsidRPr="00181ABD">
        <w:rPr>
          <w:b/>
          <w:bCs/>
        </w:rPr>
        <w:t xml:space="preserve"> —</w:t>
      </w:r>
      <w:r w:rsidRPr="00AB3096">
        <w:rPr>
          <w:rFonts w:cs="Times New Roman"/>
          <w:strike/>
          <w:szCs w:val="24"/>
        </w:rPr>
        <w:t xml:space="preserve"> </w:t>
      </w:r>
      <w:r w:rsidRPr="00AB3096">
        <w:rPr>
          <w:rFonts w:cs="Times New Roman"/>
          <w:szCs w:val="24"/>
        </w:rPr>
        <w:t xml:space="preserve">Width (W) vs. thickness (T) plot for sandstone body measurements for all outcrops (A); in upper Abrahamskraal (B) and lower Teekloof (C) formations. Note the positive correlation between W and T. Most measurements plot in the area demarcated by 10 &lt; W/T &lt; 100, indicating that sandstone bodies tend to be narrow sheets and broad ribbons. Envelope polygons corresponding to different river styles are taken from </w:t>
      </w:r>
      <w:r w:rsidRPr="00AB3096">
        <w:rPr>
          <w:rFonts w:cs="Times New Roman"/>
          <w:szCs w:val="24"/>
        </w:rPr>
        <w:fldChar w:fldCharType="begin" w:fldLock="1"/>
      </w:r>
      <w:r w:rsidRPr="00AB3096">
        <w:rPr>
          <w:rFonts w:cs="Times New Roman"/>
          <w:szCs w:val="24"/>
        </w:rPr>
        <w:instrText>ADDIN CSL_CITATION { "citationItems" : [ { "id" : "ITEM-1", "itemData" : { "DOI" : "10.2110/jsr.2006.060", "ISSN" : "1527-1404", "author" : [ { "dropping-particle" : "", "family" : "Gibling", "given" : "M. R.", "non-dropping-particle" : "", "parse-names" : false, "suffix" : "" } ], "container-title" : "Journal of Sedimentary Research", "id" : "ITEM-1", "issue" : "5", "issued" : { "date-parts" : [ [ "2006", "6", "21" ] ] }, "language" : "en", "page" : "731-770", "publisher" : "SEPM Society for Sedimentary Geology", "title" : "Width and Thickness of Fluvial Channel Bodies and Valley Fills in the Geological Record: A Literature Compilation and Classification", "type" : "article-journal", "volume" : "76" }, "uris" : [ "http://www.mendeley.com/documents/?uuid=50b2c1d7-786b-42ac-96aa-30d6ab5767da" ] } ], "mendeley" : { "formattedCitation" : "(Gibling, 2006)", "manualFormatting" : "Gibling (2006)", "plainTextFormattedCitation" : "(Gibling, 2006)", "previouslyFormattedCitation" : "(Gibling, 2006)" }, "properties" : { "noteIndex" : 0 }, "schema" : "https://github.com/citation-style-language/schema/raw/master/csl-citation.json" }</w:instrText>
      </w:r>
      <w:r w:rsidRPr="00AB3096">
        <w:rPr>
          <w:rFonts w:cs="Times New Roman"/>
          <w:szCs w:val="24"/>
        </w:rPr>
        <w:fldChar w:fldCharType="separate"/>
      </w:r>
      <w:r w:rsidRPr="00AB3096">
        <w:rPr>
          <w:rFonts w:cs="Times New Roman"/>
          <w:noProof/>
          <w:szCs w:val="24"/>
        </w:rPr>
        <w:t>Gibling (2006)</w:t>
      </w:r>
      <w:r w:rsidRPr="00AB3096">
        <w:rPr>
          <w:rFonts w:cs="Times New Roman"/>
          <w:szCs w:val="24"/>
        </w:rPr>
        <w:fldChar w:fldCharType="end"/>
      </w:r>
      <w:r w:rsidRPr="00AB3096">
        <w:rPr>
          <w:rFonts w:cs="Times New Roman"/>
          <w:szCs w:val="24"/>
        </w:rPr>
        <w:t>. Note the logarithmic scale. (D) Summary of the W and T values of the sandstone bodies in the studied stratigraphic interval.</w:t>
      </w:r>
      <w:r w:rsidRPr="00AB3096">
        <w:rPr>
          <w:rFonts w:cs="Times New Roman"/>
          <w:b/>
          <w:szCs w:val="24"/>
        </w:rPr>
        <w:t xml:space="preserve"> </w:t>
      </w:r>
      <w:r w:rsidRPr="00AB3096">
        <w:rPr>
          <w:rFonts w:cs="Times New Roman"/>
          <w:szCs w:val="24"/>
        </w:rPr>
        <w:t xml:space="preserve">No qualitative distinction was made between the single vs multistorey sandstone bodies. W/T range was obtained from data used in A–C. Abbreviations:  SW-MKB - southwestern main Karoo Basin; S-MKB - southern main Karoo Basin; </w:t>
      </w:r>
      <w:proofErr w:type="spellStart"/>
      <w:r w:rsidRPr="00AB3096">
        <w:rPr>
          <w:rFonts w:cs="Times New Roman"/>
          <w:szCs w:val="24"/>
        </w:rPr>
        <w:t>Fm</w:t>
      </w:r>
      <w:proofErr w:type="spellEnd"/>
      <w:r w:rsidRPr="00AB3096">
        <w:rPr>
          <w:rFonts w:cs="Times New Roman"/>
          <w:szCs w:val="24"/>
        </w:rPr>
        <w:t xml:space="preserve"> - formation. </w:t>
      </w:r>
    </w:p>
    <w:p w14:paraId="0CCD06F7" w14:textId="72358F86" w:rsidR="00AB3096" w:rsidRDefault="00AB3096">
      <w:pPr>
        <w:spacing w:before="0" w:after="200" w:line="276" w:lineRule="auto"/>
      </w:pPr>
      <w:r>
        <w:br w:type="page"/>
      </w:r>
    </w:p>
    <w:p w14:paraId="4D059444" w14:textId="28083182" w:rsidR="00994A3D" w:rsidRDefault="00654E8F" w:rsidP="006E6815">
      <w:pPr>
        <w:pStyle w:val="Heading1"/>
      </w:pPr>
      <w:r w:rsidRPr="00994A3D">
        <w:t>Supplementary Tables</w:t>
      </w:r>
    </w:p>
    <w:p w14:paraId="21EA44CF" w14:textId="10877050" w:rsidR="006E6815" w:rsidRPr="00E8304F" w:rsidRDefault="006E6815" w:rsidP="006E6815">
      <w:pPr>
        <w:spacing w:before="0" w:after="0"/>
        <w:rPr>
          <w:rFonts w:eastAsiaTheme="majorEastAsia" w:cs="Times New Roman"/>
          <w:b/>
          <w:bCs/>
          <w:szCs w:val="24"/>
        </w:rPr>
      </w:pPr>
      <w:r w:rsidRPr="00E8304F">
        <w:rPr>
          <w:rFonts w:eastAsia="Calibri" w:cs="Times New Roman"/>
          <w:b/>
          <w:szCs w:val="24"/>
          <w:lang w:val="en-ZA"/>
        </w:rPr>
        <w:t>Supplementary Table 1.</w:t>
      </w:r>
      <w:r>
        <w:rPr>
          <w:rFonts w:eastAsia="Calibri" w:cs="Times New Roman"/>
          <w:b/>
          <w:szCs w:val="24"/>
          <w:lang w:val="en-ZA"/>
        </w:rPr>
        <w:t xml:space="preserve"> </w:t>
      </w:r>
      <w:r w:rsidRPr="00E8304F">
        <w:rPr>
          <w:rFonts w:eastAsia="Calibri" w:cs="Times New Roman"/>
          <w:szCs w:val="24"/>
          <w:lang w:val="en-ZA"/>
        </w:rPr>
        <w:t>GPS coordinates of the sampling sites in the main Karoo Basin of South Africa</w:t>
      </w:r>
      <w:r w:rsidRPr="0081027E">
        <w:rPr>
          <w:rFonts w:eastAsia="Calibri" w:cs="Times New Roman"/>
          <w:szCs w:val="24"/>
          <w:lang w:val="en-ZA"/>
        </w:rPr>
        <w:t>.</w:t>
      </w:r>
      <w:r w:rsidR="00332F7F">
        <w:rPr>
          <w:rFonts w:eastAsia="Calibri" w:cs="Times New Roman"/>
          <w:szCs w:val="24"/>
          <w:lang w:val="en-ZA"/>
        </w:rPr>
        <w:t xml:space="preserve"> </w:t>
      </w:r>
      <w:r w:rsidR="0015225C">
        <w:rPr>
          <w:rFonts w:eastAsia="Calibri" w:cs="Times New Roman"/>
          <w:szCs w:val="24"/>
          <w:lang w:val="en-ZA"/>
        </w:rPr>
        <w:t>For map view</w:t>
      </w:r>
      <w:r w:rsidR="002D452E">
        <w:rPr>
          <w:rFonts w:eastAsia="Calibri" w:cs="Times New Roman"/>
          <w:szCs w:val="24"/>
          <w:lang w:val="en-ZA"/>
        </w:rPr>
        <w:t xml:space="preserve"> distribution of the sites</w:t>
      </w:r>
      <w:r w:rsidR="0015225C">
        <w:rPr>
          <w:rFonts w:eastAsia="Calibri" w:cs="Times New Roman"/>
          <w:szCs w:val="24"/>
          <w:lang w:val="en-ZA"/>
        </w:rPr>
        <w:t xml:space="preserve">, see </w:t>
      </w:r>
      <w:r w:rsidR="0015225C" w:rsidRPr="0015225C">
        <w:rPr>
          <w:rFonts w:eastAsia="Calibri" w:cs="Times New Roman"/>
          <w:szCs w:val="24"/>
          <w:lang w:val="en-ZA"/>
        </w:rPr>
        <w:t>Bordy (2018)</w:t>
      </w:r>
      <w:r w:rsidR="0015225C">
        <w:rPr>
          <w:rFonts w:eastAsia="Calibri" w:cs="Times New Roman"/>
          <w:szCs w:val="24"/>
          <w:lang w:val="en-ZA"/>
        </w:rPr>
        <w:t xml:space="preserve">. </w:t>
      </w:r>
      <w:bookmarkStart w:id="1" w:name="_MON_1638037653"/>
      <w:bookmarkEnd w:id="1"/>
      <w:r>
        <w:rPr>
          <w:rFonts w:cs="Times New Roman"/>
          <w:b/>
          <w:i/>
          <w:szCs w:val="24"/>
        </w:rPr>
        <w:object w:dxaOrig="9386" w:dyaOrig="10602" w14:anchorId="270C4C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75pt;height:530.1pt" o:ole="">
            <v:imagedata r:id="rId10" o:title=""/>
          </v:shape>
          <o:OLEObject Type="Embed" ProgID="Word.Document.12" ShapeID="_x0000_i1025" DrawAspect="Content" ObjectID="_1668774944" r:id="rId11">
            <o:FieldCodes>\s</o:FieldCodes>
          </o:OLEObject>
        </w:object>
      </w:r>
      <w:r w:rsidRPr="00E8304F">
        <w:rPr>
          <w:rFonts w:cs="Times New Roman"/>
          <w:b/>
          <w:i/>
          <w:szCs w:val="24"/>
        </w:rPr>
        <w:br w:type="page"/>
      </w:r>
    </w:p>
    <w:p w14:paraId="496C7043" w14:textId="24FA8B47" w:rsidR="00D7007A" w:rsidRPr="00B57098" w:rsidRDefault="00015114" w:rsidP="00D7007A">
      <w:pPr>
        <w:spacing w:before="0"/>
        <w:ind w:right="96"/>
        <w:rPr>
          <w:rFonts w:cs="Times New Roman"/>
          <w:szCs w:val="24"/>
        </w:rPr>
      </w:pPr>
      <w:r w:rsidRPr="00E8304F">
        <w:rPr>
          <w:rFonts w:cs="Times New Roman"/>
          <w:b/>
          <w:szCs w:val="24"/>
        </w:rPr>
        <w:t>Supplementary</w:t>
      </w:r>
      <w:r w:rsidRPr="00E8304F">
        <w:rPr>
          <w:rFonts w:cs="Times New Roman"/>
          <w:b/>
          <w:szCs w:val="24"/>
          <w:shd w:val="clear" w:color="auto" w:fill="FFFFFF"/>
        </w:rPr>
        <w:t xml:space="preserve"> Table 2</w:t>
      </w:r>
      <w:r w:rsidRPr="00E8304F">
        <w:rPr>
          <w:rFonts w:cs="Times New Roman"/>
          <w:szCs w:val="24"/>
          <w:shd w:val="clear" w:color="auto" w:fill="FFFFFF"/>
        </w:rPr>
        <w:t xml:space="preserve">. </w:t>
      </w:r>
      <w:r w:rsidR="001B7C0B" w:rsidRPr="001B7C0B">
        <w:rPr>
          <w:rFonts w:cs="Times New Roman"/>
          <w:szCs w:val="24"/>
          <w:shd w:val="clear" w:color="auto" w:fill="FFFFFF"/>
        </w:rPr>
        <w:t>Summary of the quantitative facies analysis results for the architectural elements in the studied stratigraphic interval.</w:t>
      </w:r>
      <w:r w:rsidR="00B82C65">
        <w:rPr>
          <w:rFonts w:cs="Times New Roman"/>
          <w:szCs w:val="24"/>
          <w:shd w:val="clear" w:color="auto" w:fill="FFFFFF"/>
        </w:rPr>
        <w:t xml:space="preserve"> </w:t>
      </w:r>
      <w:r w:rsidR="00B82C65" w:rsidRPr="00B57098">
        <w:rPr>
          <w:rFonts w:cs="Times New Roman"/>
          <w:szCs w:val="24"/>
        </w:rPr>
        <w:t xml:space="preserve">First six AEs are channel related; the rest are floodplain related (see Fig. 2). </w:t>
      </w:r>
      <w:r w:rsidR="001B7C0B" w:rsidRPr="001B7C0B">
        <w:rPr>
          <w:rFonts w:cs="Times New Roman"/>
          <w:szCs w:val="24"/>
          <w:shd w:val="clear" w:color="auto" w:fill="FFFFFF"/>
        </w:rPr>
        <w:t xml:space="preserve"> For </w:t>
      </w:r>
      <w:r w:rsidR="001B7C0B">
        <w:rPr>
          <w:rFonts w:cs="Times New Roman"/>
          <w:szCs w:val="24"/>
          <w:shd w:val="clear" w:color="auto" w:fill="FFFFFF"/>
        </w:rPr>
        <w:t>pie charts</w:t>
      </w:r>
      <w:r w:rsidR="001B7C0B" w:rsidRPr="001B7C0B">
        <w:rPr>
          <w:rFonts w:cs="Times New Roman"/>
          <w:szCs w:val="24"/>
          <w:shd w:val="clear" w:color="auto" w:fill="FFFFFF"/>
        </w:rPr>
        <w:t xml:space="preserve">, see </w:t>
      </w:r>
      <w:r w:rsidR="001B7C0B">
        <w:rPr>
          <w:rFonts w:cs="Times New Roman"/>
          <w:szCs w:val="24"/>
          <w:shd w:val="clear" w:color="auto" w:fill="FFFFFF"/>
        </w:rPr>
        <w:t>Figure 4</w:t>
      </w:r>
      <w:r w:rsidR="001B7C0B" w:rsidRPr="001B7C0B">
        <w:rPr>
          <w:rFonts w:cs="Times New Roman"/>
          <w:szCs w:val="24"/>
          <w:shd w:val="clear" w:color="auto" w:fill="FFFFFF"/>
        </w:rPr>
        <w:t>.</w:t>
      </w:r>
      <w:r w:rsidR="00D7007A">
        <w:rPr>
          <w:rFonts w:cs="Times New Roman"/>
          <w:szCs w:val="24"/>
          <w:shd w:val="clear" w:color="auto" w:fill="FFFFFF"/>
        </w:rPr>
        <w:t xml:space="preserve"> </w:t>
      </w:r>
      <w:r w:rsidR="00D7007A" w:rsidRPr="00B57098">
        <w:rPr>
          <w:rFonts w:cs="Times New Roman"/>
          <w:szCs w:val="24"/>
        </w:rPr>
        <w:t>See text, Table 2, 3 and Figures 6–8 for details. All values are in %-es. Abbreviations: AEs – architectural elements; W1 – eastern sector and W2 – western sector in the southwestern main Karoo Basin; E – southern main Karoo Basin. See Figure 1 for the relative positions of W1, W2 and E.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723"/>
        <w:gridCol w:w="640"/>
        <w:gridCol w:w="640"/>
        <w:gridCol w:w="640"/>
        <w:gridCol w:w="1076"/>
        <w:gridCol w:w="636"/>
        <w:gridCol w:w="636"/>
        <w:gridCol w:w="636"/>
        <w:gridCol w:w="1069"/>
      </w:tblGrid>
      <w:tr w:rsidR="00CA5FF3" w:rsidRPr="00CA5FF3" w14:paraId="34A3AE21" w14:textId="77777777" w:rsidTr="00CA5FF3">
        <w:trPr>
          <w:trHeight w:val="320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F66E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55F56" w14:textId="64C0E5DC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  <w:t xml:space="preserve">Abrahamskraal </w:t>
            </w:r>
            <w:r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  <w:t>F</w:t>
            </w:r>
            <w:r w:rsidRPr="00CA5FF3"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  <w:t>ormation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AC13B" w14:textId="338BC5BB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</w:pPr>
            <w:r w:rsidRPr="00CA5FF3">
              <w:rPr>
                <w:rFonts w:cs="Times New Roman"/>
                <w:b/>
                <w:bCs/>
                <w:szCs w:val="24"/>
              </w:rPr>
              <w:t>Teekloof Formation</w:t>
            </w:r>
          </w:p>
        </w:tc>
      </w:tr>
      <w:tr w:rsidR="00CA5FF3" w:rsidRPr="00CA5FF3" w14:paraId="08644353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7CB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AEs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47159E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W1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3F22C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W2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E85B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E1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C572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  <w:t>Average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9653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W1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BDB3B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W2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47C8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E1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A030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b/>
                <w:bCs/>
                <w:color w:val="000000"/>
                <w:szCs w:val="24"/>
                <w:lang w:val="en-ZA" w:eastAsia="en-ZA"/>
              </w:rPr>
              <w:t>Average</w:t>
            </w:r>
          </w:p>
        </w:tc>
      </w:tr>
      <w:tr w:rsidR="00CA5FF3" w:rsidRPr="00CA5FF3" w14:paraId="5E76869E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97777B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CH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38293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1908C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330D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5563C0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E086B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C8BF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B1939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78B9A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</w:tr>
      <w:tr w:rsidR="00CA5FF3" w:rsidRPr="00CA5FF3" w14:paraId="54957C72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417448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LA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AC9C7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8.1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AC47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FD72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17.4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DEFC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45B6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27.3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92EAB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432ABA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16.9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AD68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17.4</w:t>
            </w:r>
          </w:p>
        </w:tc>
      </w:tr>
      <w:tr w:rsidR="00CA5FF3" w:rsidRPr="00CA5FF3" w14:paraId="1CF21C6F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5D3F51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DA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6F08E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25.6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4E4E0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24.9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D3B3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69982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17.5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BDDD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AD4E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14.2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7750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204E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6.8</w:t>
            </w:r>
          </w:p>
        </w:tc>
      </w:tr>
      <w:tr w:rsidR="00CA5FF3" w:rsidRPr="00CA5FF3" w14:paraId="47401B6A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F3988F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DLA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D495AB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18.3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A855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A001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1857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6.1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AC2C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305418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16EED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58AF2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0.3</w:t>
            </w:r>
          </w:p>
        </w:tc>
      </w:tr>
      <w:tr w:rsidR="00CA5FF3" w:rsidRPr="00CA5FF3" w14:paraId="48901A46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1687F83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GB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F07B7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C500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707CE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3312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12157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CE3DB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253E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F95DCC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0.6</w:t>
            </w:r>
          </w:p>
        </w:tc>
      </w:tr>
      <w:tr w:rsidR="00CA5FF3" w:rsidRPr="00CA5FF3" w14:paraId="27383586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B4CCDF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SG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874598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59429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1CEBA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4634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16CF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F09CA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B76918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787F9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0.3</w:t>
            </w:r>
          </w:p>
        </w:tc>
      </w:tr>
      <w:tr w:rsidR="00CA5FF3" w:rsidRPr="00CA5FF3" w14:paraId="3C025607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26A15E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AC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D6BF38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296B2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EBDA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3E51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83D2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E0769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DF1A9E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0CE03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0.5</w:t>
            </w:r>
          </w:p>
        </w:tc>
      </w:tr>
      <w:tr w:rsidR="00CA5FF3" w:rsidRPr="00CA5FF3" w14:paraId="7435E6AD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0AB1F4A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LV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DC1E10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A574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7233CE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3A1B7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3D3FF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C928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DC85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B8B26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0.8</w:t>
            </w:r>
          </w:p>
        </w:tc>
      </w:tr>
      <w:tr w:rsidR="00CA5FF3" w:rsidRPr="00CA5FF3" w14:paraId="48533029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52DF6BB0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CR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332E0E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2.9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AB73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D4651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362913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286F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042A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A4F8C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A74E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0.1</w:t>
            </w:r>
          </w:p>
        </w:tc>
      </w:tr>
      <w:tr w:rsidR="00CA5FF3" w:rsidRPr="00CA5FF3" w14:paraId="28F2EE89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3A6B6CDC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CS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3C173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12.8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52F338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6.3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9703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251F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F006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17.2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ED4B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463B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397CA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10.3</w:t>
            </w:r>
          </w:p>
        </w:tc>
      </w:tr>
      <w:tr w:rsidR="00CA5FF3" w:rsidRPr="00CA5FF3" w14:paraId="315470CE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AB5C28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SF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F591AE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2C71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C48AC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19.6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CB25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7.9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3AFB9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9021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18.9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1AA1C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19.9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7D3C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12.9</w:t>
            </w:r>
          </w:p>
        </w:tc>
      </w:tr>
      <w:tr w:rsidR="00CA5FF3" w:rsidRPr="00CA5FF3" w14:paraId="02E28E96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0F785DE3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FF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6992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21.7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DE573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56.4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851C8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41.9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6639CE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446A2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50.3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D6BAE7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48.7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CCE1BF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51.3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D2E35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50.1</w:t>
            </w:r>
          </w:p>
        </w:tc>
      </w:tr>
      <w:tr w:rsidR="00CA5FF3" w:rsidRPr="00CA5FF3" w14:paraId="6E3AFA2D" w14:textId="77777777" w:rsidTr="00CA5FF3">
        <w:trPr>
          <w:trHeight w:val="320"/>
          <w:jc w:val="center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14:paraId="4884B01D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Total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65150B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4FC92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A4202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31FD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686DA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4308D1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B60468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D3D264" w14:textId="77777777" w:rsidR="00CA5FF3" w:rsidRPr="00CA5FF3" w:rsidRDefault="00CA5FF3" w:rsidP="00CA5FF3">
            <w:pPr>
              <w:spacing w:before="0" w:after="0"/>
              <w:jc w:val="center"/>
              <w:rPr>
                <w:rFonts w:eastAsia="Times New Roman" w:cs="Times New Roman"/>
                <w:color w:val="000000"/>
                <w:szCs w:val="24"/>
                <w:lang w:val="en-ZA" w:eastAsia="en-ZA"/>
              </w:rPr>
            </w:pPr>
            <w:r w:rsidRPr="00CA5FF3">
              <w:rPr>
                <w:rFonts w:eastAsia="Times New Roman" w:cs="Times New Roman"/>
                <w:color w:val="000000"/>
                <w:szCs w:val="24"/>
                <w:lang w:val="en-ZA" w:eastAsia="en-ZA"/>
              </w:rPr>
              <w:t>100</w:t>
            </w:r>
          </w:p>
        </w:tc>
      </w:tr>
    </w:tbl>
    <w:p w14:paraId="34A0B0CF" w14:textId="77777777" w:rsidR="001B7C0B" w:rsidRDefault="001B7C0B" w:rsidP="006E6815">
      <w:pPr>
        <w:spacing w:before="0" w:after="200"/>
        <w:rPr>
          <w:rFonts w:eastAsia="Calibri" w:cs="Times New Roman"/>
          <w:b/>
          <w:szCs w:val="24"/>
          <w:lang w:val="en-ZA"/>
        </w:rPr>
      </w:pPr>
    </w:p>
    <w:p w14:paraId="445F2EF2" w14:textId="77777777" w:rsidR="00720A3D" w:rsidRDefault="00720A3D">
      <w:pPr>
        <w:spacing w:before="0" w:after="200" w:line="276" w:lineRule="auto"/>
        <w:rPr>
          <w:rFonts w:eastAsia="Calibri" w:cs="Times New Roman"/>
          <w:b/>
          <w:szCs w:val="24"/>
          <w:lang w:val="en-ZA"/>
        </w:rPr>
      </w:pPr>
      <w:r>
        <w:rPr>
          <w:rFonts w:eastAsia="Calibri" w:cs="Times New Roman"/>
          <w:b/>
          <w:szCs w:val="24"/>
          <w:lang w:val="en-ZA"/>
        </w:rPr>
        <w:br w:type="page"/>
      </w:r>
    </w:p>
    <w:p w14:paraId="2A350502" w14:textId="333E6D1A" w:rsidR="00D50B80" w:rsidRDefault="001B7C0B" w:rsidP="00D50B80">
      <w:pPr>
        <w:spacing w:before="0" w:after="200"/>
        <w:rPr>
          <w:rFonts w:cs="Times New Roman"/>
          <w:szCs w:val="24"/>
          <w:shd w:val="clear" w:color="auto" w:fill="FFFFFF"/>
        </w:rPr>
      </w:pPr>
      <w:bookmarkStart w:id="2" w:name="_GoBack"/>
      <w:r w:rsidRPr="00E8304F">
        <w:rPr>
          <w:rFonts w:eastAsia="Calibri" w:cs="Times New Roman"/>
          <w:b/>
          <w:szCs w:val="24"/>
          <w:lang w:val="en-ZA"/>
        </w:rPr>
        <w:t xml:space="preserve">Supplementary Table </w:t>
      </w:r>
      <w:r>
        <w:rPr>
          <w:rFonts w:eastAsia="Calibri" w:cs="Times New Roman"/>
          <w:b/>
          <w:szCs w:val="24"/>
          <w:lang w:val="en-ZA"/>
        </w:rPr>
        <w:t>3</w:t>
      </w:r>
      <w:r w:rsidRPr="00E8304F">
        <w:rPr>
          <w:rFonts w:eastAsia="Calibri" w:cs="Times New Roman"/>
          <w:b/>
          <w:szCs w:val="24"/>
          <w:lang w:val="en-ZA"/>
        </w:rPr>
        <w:t>.</w:t>
      </w:r>
      <w:r>
        <w:rPr>
          <w:rFonts w:eastAsia="Calibri" w:cs="Times New Roman"/>
          <w:b/>
          <w:szCs w:val="24"/>
          <w:lang w:val="en-ZA"/>
        </w:rPr>
        <w:t xml:space="preserve"> </w:t>
      </w:r>
      <w:r w:rsidR="006250F0" w:rsidRPr="00E02C00">
        <w:rPr>
          <w:rFonts w:eastAsia="Calibri" w:cs="Times New Roman"/>
          <w:bCs/>
          <w:szCs w:val="24"/>
          <w:lang w:val="en-ZA"/>
        </w:rPr>
        <w:t xml:space="preserve">Thickness and width data </w:t>
      </w:r>
      <w:r w:rsidR="00D50B80">
        <w:rPr>
          <w:rFonts w:eastAsia="Calibri" w:cs="Times New Roman"/>
          <w:bCs/>
          <w:szCs w:val="24"/>
          <w:lang w:val="en-ZA"/>
        </w:rPr>
        <w:t xml:space="preserve">of the outcrops </w:t>
      </w:r>
      <w:r w:rsidR="006250F0" w:rsidRPr="00E02C00">
        <w:rPr>
          <w:rFonts w:eastAsia="Calibri" w:cs="Times New Roman"/>
          <w:bCs/>
          <w:szCs w:val="24"/>
          <w:lang w:val="en-ZA"/>
        </w:rPr>
        <w:t xml:space="preserve">used in the </w:t>
      </w:r>
      <w:r w:rsidR="006250F0" w:rsidRPr="006250F0">
        <w:rPr>
          <w:rFonts w:eastAsia="Calibri" w:cs="Times New Roman"/>
          <w:bCs/>
          <w:szCs w:val="24"/>
          <w:lang w:val="en-ZA"/>
        </w:rPr>
        <w:t xml:space="preserve">quantitative analysis </w:t>
      </w:r>
      <w:r w:rsidR="006250F0">
        <w:rPr>
          <w:rFonts w:eastAsia="Calibri" w:cs="Times New Roman"/>
          <w:bCs/>
          <w:szCs w:val="24"/>
          <w:lang w:val="en-ZA"/>
        </w:rPr>
        <w:t>of the architectural elements shown in F</w:t>
      </w:r>
      <w:r w:rsidR="006250F0" w:rsidRPr="006250F0">
        <w:rPr>
          <w:rFonts w:eastAsia="Calibri" w:cs="Times New Roman"/>
          <w:bCs/>
          <w:szCs w:val="24"/>
          <w:lang w:val="en-ZA"/>
        </w:rPr>
        <w:t>igure</w:t>
      </w:r>
      <w:r w:rsidR="006250F0">
        <w:rPr>
          <w:rFonts w:eastAsia="Calibri" w:cs="Times New Roman"/>
          <w:bCs/>
          <w:szCs w:val="24"/>
          <w:lang w:val="en-ZA"/>
        </w:rPr>
        <w:t>s</w:t>
      </w:r>
      <w:r w:rsidR="006250F0" w:rsidRPr="006250F0">
        <w:rPr>
          <w:rFonts w:eastAsia="Calibri" w:cs="Times New Roman"/>
          <w:bCs/>
          <w:szCs w:val="24"/>
          <w:lang w:val="en-ZA"/>
        </w:rPr>
        <w:t xml:space="preserve"> 4</w:t>
      </w:r>
      <w:r w:rsidR="006250F0">
        <w:rPr>
          <w:rFonts w:eastAsia="Calibri" w:cs="Times New Roman"/>
          <w:bCs/>
          <w:szCs w:val="24"/>
          <w:lang w:val="en-ZA"/>
        </w:rPr>
        <w:t xml:space="preserve"> and 5.</w:t>
      </w:r>
      <w:r w:rsidR="00D50B80">
        <w:rPr>
          <w:rFonts w:eastAsia="Calibri" w:cs="Times New Roman"/>
          <w:bCs/>
          <w:szCs w:val="24"/>
          <w:lang w:val="en-ZA"/>
        </w:rPr>
        <w:t xml:space="preserve"> </w:t>
      </w:r>
      <w:r w:rsidR="00D50B80" w:rsidRPr="00B57098">
        <w:rPr>
          <w:rFonts w:cs="Times New Roman"/>
          <w:szCs w:val="24"/>
        </w:rPr>
        <w:t>Abbreviations: W1 – eastern sector and W2 – western sector in the southwestern main Karoo Basin; E – southern main Karoo Basin. See Figure 1 for the relative positions of W1, W2 and E</w:t>
      </w:r>
      <w:r w:rsidR="00D50B80">
        <w:rPr>
          <w:rFonts w:cs="Times New Roman"/>
          <w:szCs w:val="24"/>
        </w:rPr>
        <w:t xml:space="preserve">. </w:t>
      </w:r>
      <w:r w:rsidR="00D50B80">
        <w:rPr>
          <w:rFonts w:eastAsia="Calibri" w:cs="Times New Roman"/>
          <w:szCs w:val="24"/>
          <w:lang w:val="en-ZA"/>
        </w:rPr>
        <w:t xml:space="preserve">See </w:t>
      </w:r>
      <w:r w:rsidR="00D50B80" w:rsidRPr="00D50B80">
        <w:rPr>
          <w:rFonts w:eastAsia="Calibri" w:cs="Times New Roman"/>
          <w:szCs w:val="24"/>
          <w:lang w:val="en-ZA"/>
        </w:rPr>
        <w:t xml:space="preserve">Supplementary Table </w:t>
      </w:r>
      <w:r w:rsidR="00D50B80">
        <w:rPr>
          <w:rFonts w:eastAsia="Calibri" w:cs="Times New Roman"/>
          <w:szCs w:val="24"/>
          <w:lang w:val="en-ZA"/>
        </w:rPr>
        <w:t xml:space="preserve">1 for the </w:t>
      </w:r>
      <w:r w:rsidR="00D50B80" w:rsidRPr="00E8304F">
        <w:rPr>
          <w:rFonts w:eastAsia="Calibri" w:cs="Times New Roman"/>
          <w:szCs w:val="24"/>
          <w:lang w:val="en-ZA"/>
        </w:rPr>
        <w:t xml:space="preserve">GPS coordinates of the </w:t>
      </w:r>
      <w:r w:rsidR="00D50B80">
        <w:rPr>
          <w:rFonts w:eastAsia="Calibri" w:cs="Times New Roman"/>
          <w:szCs w:val="24"/>
          <w:lang w:val="en-ZA"/>
        </w:rPr>
        <w:t>outcrop</w:t>
      </w:r>
      <w:r w:rsidR="00D50B80" w:rsidRPr="00E8304F">
        <w:rPr>
          <w:rFonts w:eastAsia="Calibri" w:cs="Times New Roman"/>
          <w:szCs w:val="24"/>
          <w:lang w:val="en-ZA"/>
        </w:rPr>
        <w:t xml:space="preserve"> sites</w:t>
      </w:r>
      <w:r w:rsidR="00D50B80">
        <w:rPr>
          <w:rFonts w:eastAsia="Calibri" w:cs="Times New Roman"/>
          <w:szCs w:val="24"/>
          <w:lang w:val="en-ZA"/>
        </w:rPr>
        <w:t>.</w:t>
      </w:r>
    </w:p>
    <w:tbl>
      <w:tblPr>
        <w:tblW w:w="806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6"/>
        <w:gridCol w:w="672"/>
        <w:gridCol w:w="1050"/>
        <w:gridCol w:w="987"/>
        <w:gridCol w:w="707"/>
        <w:gridCol w:w="987"/>
        <w:gridCol w:w="987"/>
        <w:gridCol w:w="787"/>
        <w:gridCol w:w="856"/>
      </w:tblGrid>
      <w:tr w:rsidR="006250F0" w:rsidRPr="006250F0" w14:paraId="1DE4F5C7" w14:textId="77777777" w:rsidTr="00E02C00">
        <w:trPr>
          <w:trHeight w:val="600"/>
          <w:jc w:val="center"/>
        </w:trPr>
        <w:tc>
          <w:tcPr>
            <w:tcW w:w="1036" w:type="dxa"/>
            <w:shd w:val="clear" w:color="auto" w:fill="auto"/>
            <w:noWrap/>
            <w:vAlign w:val="center"/>
            <w:hideMark/>
          </w:tcPr>
          <w:bookmarkEnd w:id="2"/>
          <w:p w14:paraId="56E3E201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Formation</w:t>
            </w:r>
          </w:p>
        </w:tc>
        <w:tc>
          <w:tcPr>
            <w:tcW w:w="672" w:type="dxa"/>
            <w:shd w:val="clear" w:color="auto" w:fill="auto"/>
            <w:noWrap/>
            <w:vAlign w:val="center"/>
            <w:hideMark/>
          </w:tcPr>
          <w:p w14:paraId="7F621242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Study area</w:t>
            </w:r>
          </w:p>
        </w:tc>
        <w:tc>
          <w:tcPr>
            <w:tcW w:w="1050" w:type="dxa"/>
            <w:shd w:val="clear" w:color="auto" w:fill="auto"/>
            <w:noWrap/>
            <w:vAlign w:val="center"/>
            <w:hideMark/>
          </w:tcPr>
          <w:p w14:paraId="70635C45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Site</w:t>
            </w:r>
          </w:p>
        </w:tc>
        <w:tc>
          <w:tcPr>
            <w:tcW w:w="987" w:type="dxa"/>
            <w:vAlign w:val="center"/>
          </w:tcPr>
          <w:p w14:paraId="0D64AA25" w14:textId="339D0032" w:rsid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Thickness</w:t>
            </w:r>
          </w:p>
        </w:tc>
        <w:tc>
          <w:tcPr>
            <w:tcW w:w="707" w:type="dxa"/>
            <w:vAlign w:val="center"/>
          </w:tcPr>
          <w:p w14:paraId="061D4F8B" w14:textId="699B9E79" w:rsid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Width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4DB31CF4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 xml:space="preserve">Total </w:t>
            </w:r>
            <w:proofErr w:type="gramStart"/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Logged  Thickness</w:t>
            </w:r>
            <w:proofErr w:type="gramEnd"/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 xml:space="preserve">  (m)</w:t>
            </w:r>
          </w:p>
        </w:tc>
        <w:tc>
          <w:tcPr>
            <w:tcW w:w="987" w:type="dxa"/>
            <w:shd w:val="clear" w:color="auto" w:fill="auto"/>
            <w:vAlign w:val="center"/>
            <w:hideMark/>
          </w:tcPr>
          <w:p w14:paraId="6B6A9727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 xml:space="preserve">Average </w:t>
            </w:r>
            <w:proofErr w:type="gramStart"/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Logged  Thickness</w:t>
            </w:r>
            <w:proofErr w:type="gramEnd"/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 xml:space="preserve">  (m)</w:t>
            </w:r>
          </w:p>
        </w:tc>
        <w:tc>
          <w:tcPr>
            <w:tcW w:w="787" w:type="dxa"/>
            <w:shd w:val="clear" w:color="auto" w:fill="auto"/>
            <w:vAlign w:val="center"/>
            <w:hideMark/>
          </w:tcPr>
          <w:p w14:paraId="73359D30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Total Logged Width (m)</w:t>
            </w:r>
          </w:p>
        </w:tc>
        <w:tc>
          <w:tcPr>
            <w:tcW w:w="856" w:type="dxa"/>
            <w:shd w:val="clear" w:color="auto" w:fill="auto"/>
            <w:vAlign w:val="center"/>
            <w:hideMark/>
          </w:tcPr>
          <w:p w14:paraId="6ADC3B89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</w:pPr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 xml:space="preserve">Average Logged </w:t>
            </w:r>
            <w:proofErr w:type="gramStart"/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Width  (</w:t>
            </w:r>
            <w:proofErr w:type="gramEnd"/>
            <w:r w:rsidRPr="006250F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val="en-ZA" w:eastAsia="en-ZA"/>
              </w:rPr>
              <w:t>m)</w:t>
            </w:r>
          </w:p>
        </w:tc>
      </w:tr>
      <w:tr w:rsidR="006250F0" w:rsidRPr="006250F0" w14:paraId="4213C2C5" w14:textId="77777777" w:rsidTr="00E02C00">
        <w:trPr>
          <w:trHeight w:val="310"/>
          <w:jc w:val="center"/>
        </w:trPr>
        <w:tc>
          <w:tcPr>
            <w:tcW w:w="1036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73B58245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Teekloof</w:t>
            </w:r>
          </w:p>
        </w:tc>
        <w:tc>
          <w:tcPr>
            <w:tcW w:w="672" w:type="dxa"/>
            <w:vMerge w:val="restart"/>
            <w:shd w:val="clear" w:color="auto" w:fill="auto"/>
            <w:noWrap/>
            <w:vAlign w:val="center"/>
            <w:hideMark/>
          </w:tcPr>
          <w:p w14:paraId="15538D00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W1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154FD43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P2</w:t>
            </w:r>
          </w:p>
        </w:tc>
        <w:tc>
          <w:tcPr>
            <w:tcW w:w="987" w:type="dxa"/>
            <w:vAlign w:val="bottom"/>
          </w:tcPr>
          <w:p w14:paraId="5513C090" w14:textId="291D475F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5.2</w:t>
            </w:r>
          </w:p>
        </w:tc>
        <w:tc>
          <w:tcPr>
            <w:tcW w:w="707" w:type="dxa"/>
            <w:vAlign w:val="bottom"/>
          </w:tcPr>
          <w:p w14:paraId="502AE65D" w14:textId="121B6C84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62.0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2ACDC6D4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14.8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33516EE2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3.7</w:t>
            </w:r>
          </w:p>
        </w:tc>
        <w:tc>
          <w:tcPr>
            <w:tcW w:w="787" w:type="dxa"/>
            <w:vMerge w:val="restart"/>
            <w:shd w:val="clear" w:color="auto" w:fill="auto"/>
            <w:vAlign w:val="center"/>
            <w:hideMark/>
          </w:tcPr>
          <w:p w14:paraId="5617B2F6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244.9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  <w:hideMark/>
          </w:tcPr>
          <w:p w14:paraId="66395F8E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61.2</w:t>
            </w:r>
          </w:p>
        </w:tc>
      </w:tr>
      <w:tr w:rsidR="006250F0" w:rsidRPr="006250F0" w14:paraId="454327C3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0B23E6E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7B5DA52C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52967BD9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P3</w:t>
            </w:r>
          </w:p>
        </w:tc>
        <w:tc>
          <w:tcPr>
            <w:tcW w:w="987" w:type="dxa"/>
            <w:vAlign w:val="bottom"/>
          </w:tcPr>
          <w:p w14:paraId="3643E7A8" w14:textId="6347CCBE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1.5</w:t>
            </w:r>
          </w:p>
        </w:tc>
        <w:tc>
          <w:tcPr>
            <w:tcW w:w="707" w:type="dxa"/>
            <w:vAlign w:val="bottom"/>
          </w:tcPr>
          <w:p w14:paraId="25F8BDE0" w14:textId="411EAE4A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32.9</w:t>
            </w:r>
          </w:p>
        </w:tc>
        <w:tc>
          <w:tcPr>
            <w:tcW w:w="987" w:type="dxa"/>
            <w:vMerge/>
            <w:vAlign w:val="center"/>
            <w:hideMark/>
          </w:tcPr>
          <w:p w14:paraId="43E32F7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7DA1685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342C7F3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2A1A127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4C05E2C2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3C59371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45A3194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D0D0A1D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P5</w:t>
            </w:r>
          </w:p>
        </w:tc>
        <w:tc>
          <w:tcPr>
            <w:tcW w:w="987" w:type="dxa"/>
            <w:vAlign w:val="bottom"/>
          </w:tcPr>
          <w:p w14:paraId="322E1027" w14:textId="54868EEE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4.5</w:t>
            </w:r>
          </w:p>
        </w:tc>
        <w:tc>
          <w:tcPr>
            <w:tcW w:w="707" w:type="dxa"/>
            <w:vAlign w:val="bottom"/>
          </w:tcPr>
          <w:p w14:paraId="53398FB7" w14:textId="51111869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50.0</w:t>
            </w:r>
          </w:p>
        </w:tc>
        <w:tc>
          <w:tcPr>
            <w:tcW w:w="987" w:type="dxa"/>
            <w:vMerge/>
            <w:vAlign w:val="center"/>
            <w:hideMark/>
          </w:tcPr>
          <w:p w14:paraId="76EB60A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3EE77D8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51C7409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6405C28F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7C401D5C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18D8FB2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5727D65E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2E57ADC4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P6</w:t>
            </w:r>
          </w:p>
        </w:tc>
        <w:tc>
          <w:tcPr>
            <w:tcW w:w="987" w:type="dxa"/>
            <w:vAlign w:val="bottom"/>
          </w:tcPr>
          <w:p w14:paraId="0B8F82D2" w14:textId="49262E9B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3.6</w:t>
            </w:r>
          </w:p>
        </w:tc>
        <w:tc>
          <w:tcPr>
            <w:tcW w:w="707" w:type="dxa"/>
            <w:vAlign w:val="bottom"/>
          </w:tcPr>
          <w:p w14:paraId="7C9A9CAC" w14:textId="17E25195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100.0</w:t>
            </w:r>
          </w:p>
        </w:tc>
        <w:tc>
          <w:tcPr>
            <w:tcW w:w="987" w:type="dxa"/>
            <w:vMerge/>
            <w:vAlign w:val="center"/>
            <w:hideMark/>
          </w:tcPr>
          <w:p w14:paraId="1F2D5EE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2A9DDF7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0591B5A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41F201E9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3C8991F5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42B34AD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 w:val="restart"/>
            <w:shd w:val="clear" w:color="auto" w:fill="auto"/>
            <w:noWrap/>
            <w:vAlign w:val="center"/>
            <w:hideMark/>
          </w:tcPr>
          <w:p w14:paraId="734AA352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W2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16867BE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SU-TEE4</w:t>
            </w:r>
          </w:p>
        </w:tc>
        <w:tc>
          <w:tcPr>
            <w:tcW w:w="987" w:type="dxa"/>
            <w:vAlign w:val="bottom"/>
          </w:tcPr>
          <w:p w14:paraId="0E869323" w14:textId="58D6CA99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15.0</w:t>
            </w:r>
          </w:p>
        </w:tc>
        <w:tc>
          <w:tcPr>
            <w:tcW w:w="707" w:type="dxa"/>
            <w:vAlign w:val="bottom"/>
          </w:tcPr>
          <w:p w14:paraId="159F5961" w14:textId="60608802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772.7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1E2EACDD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27.0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7FAA5733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13.5</w:t>
            </w:r>
          </w:p>
        </w:tc>
        <w:tc>
          <w:tcPr>
            <w:tcW w:w="787" w:type="dxa"/>
            <w:vMerge w:val="restart"/>
            <w:shd w:val="clear" w:color="auto" w:fill="auto"/>
            <w:vAlign w:val="center"/>
            <w:hideMark/>
          </w:tcPr>
          <w:p w14:paraId="44E03337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812.1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  <w:hideMark/>
          </w:tcPr>
          <w:p w14:paraId="6819B033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406.0</w:t>
            </w:r>
          </w:p>
        </w:tc>
      </w:tr>
      <w:tr w:rsidR="006250F0" w:rsidRPr="006250F0" w14:paraId="2481C58C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04B1406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1F0014BF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128A3C0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SU-TEE7</w:t>
            </w:r>
          </w:p>
        </w:tc>
        <w:tc>
          <w:tcPr>
            <w:tcW w:w="987" w:type="dxa"/>
            <w:vAlign w:val="bottom"/>
          </w:tcPr>
          <w:p w14:paraId="083A0F8C" w14:textId="432724B3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12.0</w:t>
            </w:r>
          </w:p>
        </w:tc>
        <w:tc>
          <w:tcPr>
            <w:tcW w:w="707" w:type="dxa"/>
            <w:vAlign w:val="bottom"/>
          </w:tcPr>
          <w:p w14:paraId="047F0E64" w14:textId="724EAE7B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39.4</w:t>
            </w:r>
          </w:p>
        </w:tc>
        <w:tc>
          <w:tcPr>
            <w:tcW w:w="987" w:type="dxa"/>
            <w:vMerge/>
            <w:vAlign w:val="center"/>
            <w:hideMark/>
          </w:tcPr>
          <w:p w14:paraId="3D5DF77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58EB496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556BBE99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217BC6AE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72992640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2184588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 w:val="restart"/>
            <w:shd w:val="clear" w:color="auto" w:fill="auto"/>
            <w:noWrap/>
            <w:vAlign w:val="center"/>
            <w:hideMark/>
          </w:tcPr>
          <w:p w14:paraId="6D446C75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E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7501C0A8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KM4</w:t>
            </w:r>
          </w:p>
        </w:tc>
        <w:tc>
          <w:tcPr>
            <w:tcW w:w="987" w:type="dxa"/>
            <w:vAlign w:val="bottom"/>
          </w:tcPr>
          <w:p w14:paraId="7AC9E6CA" w14:textId="4FB7CE0E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6.5</w:t>
            </w:r>
          </w:p>
        </w:tc>
        <w:tc>
          <w:tcPr>
            <w:tcW w:w="707" w:type="dxa"/>
            <w:vAlign w:val="bottom"/>
          </w:tcPr>
          <w:p w14:paraId="556C371B" w14:textId="4F88AB41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130.0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51B005A2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116.2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68D50731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19.4</w:t>
            </w:r>
          </w:p>
        </w:tc>
        <w:tc>
          <w:tcPr>
            <w:tcW w:w="787" w:type="dxa"/>
            <w:vMerge w:val="restart"/>
            <w:shd w:val="clear" w:color="auto" w:fill="auto"/>
            <w:vAlign w:val="center"/>
            <w:hideMark/>
          </w:tcPr>
          <w:p w14:paraId="4F81DFDB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965.0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  <w:hideMark/>
          </w:tcPr>
          <w:p w14:paraId="4475B478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160.8</w:t>
            </w:r>
          </w:p>
        </w:tc>
      </w:tr>
      <w:tr w:rsidR="006250F0" w:rsidRPr="006250F0" w14:paraId="06FD9AED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785D4A1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2DF0B42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063C9EAE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OT1</w:t>
            </w:r>
          </w:p>
        </w:tc>
        <w:tc>
          <w:tcPr>
            <w:tcW w:w="987" w:type="dxa"/>
            <w:vAlign w:val="bottom"/>
          </w:tcPr>
          <w:p w14:paraId="75FD03CA" w14:textId="5968BF8F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12.0</w:t>
            </w:r>
          </w:p>
        </w:tc>
        <w:tc>
          <w:tcPr>
            <w:tcW w:w="707" w:type="dxa"/>
            <w:vAlign w:val="bottom"/>
          </w:tcPr>
          <w:p w14:paraId="716EB6C2" w14:textId="491EBF25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45.0</w:t>
            </w:r>
          </w:p>
        </w:tc>
        <w:tc>
          <w:tcPr>
            <w:tcW w:w="987" w:type="dxa"/>
            <w:vMerge/>
            <w:vAlign w:val="center"/>
            <w:hideMark/>
          </w:tcPr>
          <w:p w14:paraId="0F7B9562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131E823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1475E82C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0A58AD50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417C03FA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4A2D26C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413662DC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5E7B6A56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OT2</w:t>
            </w:r>
          </w:p>
        </w:tc>
        <w:tc>
          <w:tcPr>
            <w:tcW w:w="987" w:type="dxa"/>
            <w:vAlign w:val="bottom"/>
          </w:tcPr>
          <w:p w14:paraId="1181DD9F" w14:textId="2289ADF0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24.5</w:t>
            </w:r>
          </w:p>
        </w:tc>
        <w:tc>
          <w:tcPr>
            <w:tcW w:w="707" w:type="dxa"/>
            <w:vAlign w:val="bottom"/>
          </w:tcPr>
          <w:p w14:paraId="4E2FB757" w14:textId="3B97C2D0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180.0</w:t>
            </w:r>
          </w:p>
        </w:tc>
        <w:tc>
          <w:tcPr>
            <w:tcW w:w="987" w:type="dxa"/>
            <w:vMerge/>
            <w:vAlign w:val="center"/>
            <w:hideMark/>
          </w:tcPr>
          <w:p w14:paraId="0F62C1E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5AB4F54F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6B33BB5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3AA75BD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626363A6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4DB16DB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2ACB6598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580536B5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OT3</w:t>
            </w:r>
          </w:p>
        </w:tc>
        <w:tc>
          <w:tcPr>
            <w:tcW w:w="987" w:type="dxa"/>
            <w:vAlign w:val="bottom"/>
          </w:tcPr>
          <w:p w14:paraId="641D35FF" w14:textId="16E293A0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16.2</w:t>
            </w:r>
          </w:p>
        </w:tc>
        <w:tc>
          <w:tcPr>
            <w:tcW w:w="707" w:type="dxa"/>
            <w:vAlign w:val="bottom"/>
          </w:tcPr>
          <w:p w14:paraId="71F42B25" w14:textId="48196D45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230.0</w:t>
            </w:r>
          </w:p>
        </w:tc>
        <w:tc>
          <w:tcPr>
            <w:tcW w:w="987" w:type="dxa"/>
            <w:vMerge/>
            <w:vAlign w:val="center"/>
            <w:hideMark/>
          </w:tcPr>
          <w:p w14:paraId="5EBD4442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1DF08C0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3039435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1FD8FCB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633475C4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19F2C47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116848C0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8BBABB7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OT4</w:t>
            </w:r>
          </w:p>
        </w:tc>
        <w:tc>
          <w:tcPr>
            <w:tcW w:w="987" w:type="dxa"/>
            <w:vAlign w:val="bottom"/>
          </w:tcPr>
          <w:p w14:paraId="497FCB72" w14:textId="0D4626E3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7.0</w:t>
            </w:r>
          </w:p>
        </w:tc>
        <w:tc>
          <w:tcPr>
            <w:tcW w:w="707" w:type="dxa"/>
            <w:vAlign w:val="bottom"/>
          </w:tcPr>
          <w:p w14:paraId="7F63D6DD" w14:textId="1281C364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130.0</w:t>
            </w:r>
          </w:p>
        </w:tc>
        <w:tc>
          <w:tcPr>
            <w:tcW w:w="987" w:type="dxa"/>
            <w:vMerge/>
            <w:vAlign w:val="center"/>
            <w:hideMark/>
          </w:tcPr>
          <w:p w14:paraId="739723B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0841DEE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6210F90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402EEC8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39A12DE3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6E96DD08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2CAA6D4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212EE987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KM7</w:t>
            </w:r>
          </w:p>
        </w:tc>
        <w:tc>
          <w:tcPr>
            <w:tcW w:w="987" w:type="dxa"/>
            <w:vAlign w:val="bottom"/>
          </w:tcPr>
          <w:p w14:paraId="6A43DE2C" w14:textId="574E8A0F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50.0</w:t>
            </w:r>
          </w:p>
        </w:tc>
        <w:tc>
          <w:tcPr>
            <w:tcW w:w="707" w:type="dxa"/>
            <w:vAlign w:val="bottom"/>
          </w:tcPr>
          <w:p w14:paraId="392E084A" w14:textId="17318635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250.0</w:t>
            </w:r>
          </w:p>
        </w:tc>
        <w:tc>
          <w:tcPr>
            <w:tcW w:w="987" w:type="dxa"/>
            <w:vMerge/>
            <w:vAlign w:val="center"/>
            <w:hideMark/>
          </w:tcPr>
          <w:p w14:paraId="68E682D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6E358B4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172E011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5AEC630F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6F803284" w14:textId="77777777" w:rsidTr="00E02C00">
        <w:trPr>
          <w:trHeight w:val="310"/>
          <w:jc w:val="center"/>
        </w:trPr>
        <w:tc>
          <w:tcPr>
            <w:tcW w:w="1036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776A2578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Abrahamskraal</w:t>
            </w:r>
          </w:p>
        </w:tc>
        <w:tc>
          <w:tcPr>
            <w:tcW w:w="672" w:type="dxa"/>
            <w:vMerge w:val="restart"/>
            <w:shd w:val="clear" w:color="auto" w:fill="auto"/>
            <w:noWrap/>
            <w:vAlign w:val="center"/>
            <w:hideMark/>
          </w:tcPr>
          <w:p w14:paraId="3E2C5BCA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W1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6CA1D23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A1</w:t>
            </w:r>
          </w:p>
        </w:tc>
        <w:tc>
          <w:tcPr>
            <w:tcW w:w="987" w:type="dxa"/>
            <w:vAlign w:val="bottom"/>
          </w:tcPr>
          <w:p w14:paraId="00A7A607" w14:textId="7B13591B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2.4</w:t>
            </w:r>
          </w:p>
        </w:tc>
        <w:tc>
          <w:tcPr>
            <w:tcW w:w="707" w:type="dxa"/>
            <w:vAlign w:val="bottom"/>
          </w:tcPr>
          <w:p w14:paraId="5B221062" w14:textId="61F65F8A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28.0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185D2A1B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26.8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4925051B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3.8</w:t>
            </w:r>
          </w:p>
        </w:tc>
        <w:tc>
          <w:tcPr>
            <w:tcW w:w="787" w:type="dxa"/>
            <w:vMerge w:val="restart"/>
            <w:shd w:val="clear" w:color="auto" w:fill="auto"/>
            <w:vAlign w:val="center"/>
            <w:hideMark/>
          </w:tcPr>
          <w:p w14:paraId="2C41C419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589.8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  <w:hideMark/>
          </w:tcPr>
          <w:p w14:paraId="720CC8CC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84.3</w:t>
            </w:r>
          </w:p>
        </w:tc>
      </w:tr>
      <w:tr w:rsidR="006250F0" w:rsidRPr="006250F0" w14:paraId="1A5E4D67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241EEE4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51A7410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87593D7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A2</w:t>
            </w:r>
          </w:p>
        </w:tc>
        <w:tc>
          <w:tcPr>
            <w:tcW w:w="987" w:type="dxa"/>
            <w:vAlign w:val="bottom"/>
          </w:tcPr>
          <w:p w14:paraId="1A57630A" w14:textId="304E6416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5.2</w:t>
            </w:r>
          </w:p>
        </w:tc>
        <w:tc>
          <w:tcPr>
            <w:tcW w:w="707" w:type="dxa"/>
            <w:vAlign w:val="bottom"/>
          </w:tcPr>
          <w:p w14:paraId="319DCC36" w14:textId="43BC2B7E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219.6</w:t>
            </w:r>
          </w:p>
        </w:tc>
        <w:tc>
          <w:tcPr>
            <w:tcW w:w="987" w:type="dxa"/>
            <w:vMerge/>
            <w:vAlign w:val="center"/>
            <w:hideMark/>
          </w:tcPr>
          <w:p w14:paraId="4E90690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151A02D8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21EBCF0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6E71AF48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063B2F3C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2ECC1FC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67EC6B2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73D706FC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A4</w:t>
            </w:r>
          </w:p>
        </w:tc>
        <w:tc>
          <w:tcPr>
            <w:tcW w:w="987" w:type="dxa"/>
            <w:vAlign w:val="bottom"/>
          </w:tcPr>
          <w:p w14:paraId="1B767AB9" w14:textId="4A625C76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4.1</w:t>
            </w:r>
          </w:p>
        </w:tc>
        <w:tc>
          <w:tcPr>
            <w:tcW w:w="707" w:type="dxa"/>
            <w:vAlign w:val="bottom"/>
          </w:tcPr>
          <w:p w14:paraId="3329D3E5" w14:textId="24DD4C01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78.0</w:t>
            </w:r>
          </w:p>
        </w:tc>
        <w:tc>
          <w:tcPr>
            <w:tcW w:w="987" w:type="dxa"/>
            <w:vMerge/>
            <w:vAlign w:val="center"/>
            <w:hideMark/>
          </w:tcPr>
          <w:p w14:paraId="0E9BD9A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0BF94232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746D34EE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1C94743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58A0FB4A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278FCEB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52F91120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812D4A3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A5</w:t>
            </w:r>
          </w:p>
        </w:tc>
        <w:tc>
          <w:tcPr>
            <w:tcW w:w="987" w:type="dxa"/>
            <w:vAlign w:val="bottom"/>
          </w:tcPr>
          <w:p w14:paraId="0B45DF97" w14:textId="3A81E4BF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4.1</w:t>
            </w:r>
          </w:p>
        </w:tc>
        <w:tc>
          <w:tcPr>
            <w:tcW w:w="707" w:type="dxa"/>
            <w:vAlign w:val="bottom"/>
          </w:tcPr>
          <w:p w14:paraId="7624A395" w14:textId="58B983ED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69.7</w:t>
            </w:r>
          </w:p>
        </w:tc>
        <w:tc>
          <w:tcPr>
            <w:tcW w:w="987" w:type="dxa"/>
            <w:vMerge/>
            <w:vAlign w:val="center"/>
            <w:hideMark/>
          </w:tcPr>
          <w:p w14:paraId="6CF8688C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10CFC57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0DD70A6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0DB7A0D0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5F6A6BEF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32D53AC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393C7F3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0E85CA8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A6</w:t>
            </w:r>
          </w:p>
        </w:tc>
        <w:tc>
          <w:tcPr>
            <w:tcW w:w="987" w:type="dxa"/>
            <w:vAlign w:val="bottom"/>
          </w:tcPr>
          <w:p w14:paraId="0464FAE2" w14:textId="243150F9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4.6</w:t>
            </w:r>
          </w:p>
        </w:tc>
        <w:tc>
          <w:tcPr>
            <w:tcW w:w="707" w:type="dxa"/>
            <w:vAlign w:val="bottom"/>
          </w:tcPr>
          <w:p w14:paraId="20B03725" w14:textId="6006F276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79.7</w:t>
            </w:r>
          </w:p>
        </w:tc>
        <w:tc>
          <w:tcPr>
            <w:tcW w:w="987" w:type="dxa"/>
            <w:vMerge/>
            <w:vAlign w:val="center"/>
            <w:hideMark/>
          </w:tcPr>
          <w:p w14:paraId="43C96912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20D0B7D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0228DCC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74AB01A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25119EA2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10BB96B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079139EE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9681E53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A7</w:t>
            </w:r>
          </w:p>
        </w:tc>
        <w:tc>
          <w:tcPr>
            <w:tcW w:w="987" w:type="dxa"/>
            <w:vAlign w:val="bottom"/>
          </w:tcPr>
          <w:p w14:paraId="6CA15D16" w14:textId="12FC354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2.4</w:t>
            </w:r>
          </w:p>
        </w:tc>
        <w:tc>
          <w:tcPr>
            <w:tcW w:w="707" w:type="dxa"/>
            <w:vAlign w:val="bottom"/>
          </w:tcPr>
          <w:p w14:paraId="731A311C" w14:textId="05909122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45.0</w:t>
            </w:r>
          </w:p>
        </w:tc>
        <w:tc>
          <w:tcPr>
            <w:tcW w:w="987" w:type="dxa"/>
            <w:vMerge/>
            <w:vAlign w:val="center"/>
            <w:hideMark/>
          </w:tcPr>
          <w:p w14:paraId="536A34B9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2C7576F9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3161F929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16A07768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02214650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2FFF7C2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7749B83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22CA843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A8</w:t>
            </w:r>
          </w:p>
        </w:tc>
        <w:tc>
          <w:tcPr>
            <w:tcW w:w="987" w:type="dxa"/>
            <w:vAlign w:val="bottom"/>
          </w:tcPr>
          <w:p w14:paraId="2A41354F" w14:textId="7094AFF2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4.0</w:t>
            </w:r>
          </w:p>
        </w:tc>
        <w:tc>
          <w:tcPr>
            <w:tcW w:w="707" w:type="dxa"/>
            <w:vAlign w:val="bottom"/>
          </w:tcPr>
          <w:p w14:paraId="3E2E498B" w14:textId="161C66EC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69.7</w:t>
            </w:r>
          </w:p>
        </w:tc>
        <w:tc>
          <w:tcPr>
            <w:tcW w:w="987" w:type="dxa"/>
            <w:vMerge/>
            <w:vAlign w:val="center"/>
            <w:hideMark/>
          </w:tcPr>
          <w:p w14:paraId="34BE29C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7E549AC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0EC24040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4D279238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49360984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519327F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 w:val="restart"/>
            <w:shd w:val="clear" w:color="auto" w:fill="auto"/>
            <w:noWrap/>
            <w:vAlign w:val="center"/>
            <w:hideMark/>
          </w:tcPr>
          <w:p w14:paraId="15719584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W2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41819E74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SU-ABR1</w:t>
            </w:r>
          </w:p>
        </w:tc>
        <w:tc>
          <w:tcPr>
            <w:tcW w:w="987" w:type="dxa"/>
            <w:vAlign w:val="bottom"/>
          </w:tcPr>
          <w:p w14:paraId="78877892" w14:textId="132EB7E0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5.6</w:t>
            </w:r>
          </w:p>
        </w:tc>
        <w:tc>
          <w:tcPr>
            <w:tcW w:w="707" w:type="dxa"/>
            <w:vAlign w:val="bottom"/>
          </w:tcPr>
          <w:p w14:paraId="694CB419" w14:textId="5AA52D98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195.3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08CBFD8B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12.4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14CA7D30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4.1</w:t>
            </w:r>
          </w:p>
        </w:tc>
        <w:tc>
          <w:tcPr>
            <w:tcW w:w="787" w:type="dxa"/>
            <w:vMerge w:val="restart"/>
            <w:shd w:val="clear" w:color="auto" w:fill="auto"/>
            <w:vAlign w:val="center"/>
            <w:hideMark/>
          </w:tcPr>
          <w:p w14:paraId="37315D0D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429.0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  <w:hideMark/>
          </w:tcPr>
          <w:p w14:paraId="7BCB818D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143.0</w:t>
            </w:r>
          </w:p>
        </w:tc>
      </w:tr>
      <w:tr w:rsidR="006250F0" w:rsidRPr="006250F0" w14:paraId="63593C11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3917DA3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631AE12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193C23A2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SU-ABR3</w:t>
            </w:r>
          </w:p>
        </w:tc>
        <w:tc>
          <w:tcPr>
            <w:tcW w:w="987" w:type="dxa"/>
            <w:vAlign w:val="bottom"/>
          </w:tcPr>
          <w:p w14:paraId="50C140FE" w14:textId="0250C1A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3.0</w:t>
            </w:r>
          </w:p>
        </w:tc>
        <w:tc>
          <w:tcPr>
            <w:tcW w:w="707" w:type="dxa"/>
            <w:vAlign w:val="bottom"/>
          </w:tcPr>
          <w:p w14:paraId="0154D65E" w14:textId="0DD31376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103.7</w:t>
            </w:r>
          </w:p>
        </w:tc>
        <w:tc>
          <w:tcPr>
            <w:tcW w:w="987" w:type="dxa"/>
            <w:vMerge/>
            <w:vAlign w:val="center"/>
            <w:hideMark/>
          </w:tcPr>
          <w:p w14:paraId="10866820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0F5545F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556A640E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6D8D5DE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0CF7B084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7162327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5F36D459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557D415C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SU-ABR4</w:t>
            </w:r>
          </w:p>
        </w:tc>
        <w:tc>
          <w:tcPr>
            <w:tcW w:w="987" w:type="dxa"/>
            <w:vAlign w:val="bottom"/>
          </w:tcPr>
          <w:p w14:paraId="614A0371" w14:textId="6F21DCC3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3.8</w:t>
            </w:r>
          </w:p>
        </w:tc>
        <w:tc>
          <w:tcPr>
            <w:tcW w:w="707" w:type="dxa"/>
            <w:vAlign w:val="bottom"/>
          </w:tcPr>
          <w:p w14:paraId="4427C41E" w14:textId="759E574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130.0</w:t>
            </w:r>
          </w:p>
        </w:tc>
        <w:tc>
          <w:tcPr>
            <w:tcW w:w="987" w:type="dxa"/>
            <w:vMerge/>
            <w:vAlign w:val="center"/>
            <w:hideMark/>
          </w:tcPr>
          <w:p w14:paraId="159DAB91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5CCB914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0890FBB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3D15EB7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285C59D1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153B81D6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 w:val="restart"/>
            <w:shd w:val="clear" w:color="auto" w:fill="auto"/>
            <w:noWrap/>
            <w:vAlign w:val="center"/>
            <w:hideMark/>
          </w:tcPr>
          <w:p w14:paraId="26F0A5F7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E</w:t>
            </w: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791BC98C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KM3</w:t>
            </w:r>
          </w:p>
        </w:tc>
        <w:tc>
          <w:tcPr>
            <w:tcW w:w="987" w:type="dxa"/>
            <w:vAlign w:val="bottom"/>
          </w:tcPr>
          <w:p w14:paraId="28AA3579" w14:textId="011F0E6C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2.3</w:t>
            </w:r>
          </w:p>
        </w:tc>
        <w:tc>
          <w:tcPr>
            <w:tcW w:w="707" w:type="dxa"/>
            <w:vAlign w:val="bottom"/>
          </w:tcPr>
          <w:p w14:paraId="2079D8F4" w14:textId="56872E96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33.2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2D92BE10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43.6</w:t>
            </w:r>
          </w:p>
        </w:tc>
        <w:tc>
          <w:tcPr>
            <w:tcW w:w="987" w:type="dxa"/>
            <w:vMerge w:val="restart"/>
            <w:shd w:val="clear" w:color="auto" w:fill="auto"/>
            <w:vAlign w:val="center"/>
            <w:hideMark/>
          </w:tcPr>
          <w:p w14:paraId="719237A3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8.7</w:t>
            </w:r>
          </w:p>
        </w:tc>
        <w:tc>
          <w:tcPr>
            <w:tcW w:w="787" w:type="dxa"/>
            <w:vMerge w:val="restart"/>
            <w:shd w:val="clear" w:color="auto" w:fill="auto"/>
            <w:vAlign w:val="center"/>
            <w:hideMark/>
          </w:tcPr>
          <w:p w14:paraId="116D6187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398.8</w:t>
            </w:r>
          </w:p>
        </w:tc>
        <w:tc>
          <w:tcPr>
            <w:tcW w:w="856" w:type="dxa"/>
            <w:vMerge w:val="restart"/>
            <w:shd w:val="clear" w:color="auto" w:fill="auto"/>
            <w:vAlign w:val="center"/>
            <w:hideMark/>
          </w:tcPr>
          <w:p w14:paraId="2C432E84" w14:textId="77777777" w:rsidR="006250F0" w:rsidRPr="006250F0" w:rsidRDefault="006250F0" w:rsidP="006250F0">
            <w:pPr>
              <w:spacing w:before="0"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79.8</w:t>
            </w:r>
          </w:p>
        </w:tc>
      </w:tr>
      <w:tr w:rsidR="006250F0" w:rsidRPr="006250F0" w14:paraId="1BD508C5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79EE74EC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4C08854F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7DEF0009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KM5</w:t>
            </w:r>
          </w:p>
        </w:tc>
        <w:tc>
          <w:tcPr>
            <w:tcW w:w="987" w:type="dxa"/>
            <w:vAlign w:val="bottom"/>
          </w:tcPr>
          <w:p w14:paraId="2B266CD3" w14:textId="1F78E6BB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4.4</w:t>
            </w:r>
          </w:p>
        </w:tc>
        <w:tc>
          <w:tcPr>
            <w:tcW w:w="707" w:type="dxa"/>
            <w:vAlign w:val="bottom"/>
          </w:tcPr>
          <w:p w14:paraId="6B1CFAF1" w14:textId="1B130AA2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124.7</w:t>
            </w:r>
          </w:p>
        </w:tc>
        <w:tc>
          <w:tcPr>
            <w:tcW w:w="987" w:type="dxa"/>
            <w:vMerge/>
            <w:vAlign w:val="center"/>
            <w:hideMark/>
          </w:tcPr>
          <w:p w14:paraId="584F16C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6D29201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5DC1DA3D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70DE50F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5C247F81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56BE3CE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5B33C48F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6C087CD6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KM5_2</w:t>
            </w:r>
          </w:p>
        </w:tc>
        <w:tc>
          <w:tcPr>
            <w:tcW w:w="987" w:type="dxa"/>
            <w:vAlign w:val="bottom"/>
          </w:tcPr>
          <w:p w14:paraId="6537EBE0" w14:textId="7C384ED3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1.3</w:t>
            </w:r>
          </w:p>
        </w:tc>
        <w:tc>
          <w:tcPr>
            <w:tcW w:w="707" w:type="dxa"/>
            <w:vAlign w:val="bottom"/>
          </w:tcPr>
          <w:p w14:paraId="4AFD8CB9" w14:textId="448BB009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25.9</w:t>
            </w:r>
          </w:p>
        </w:tc>
        <w:tc>
          <w:tcPr>
            <w:tcW w:w="987" w:type="dxa"/>
            <w:vMerge/>
            <w:vAlign w:val="center"/>
            <w:hideMark/>
          </w:tcPr>
          <w:p w14:paraId="681B6BC7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7F028FB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204FC12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2EB11FF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2E818374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7F3C4ED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47A9FCF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5F5ADF5B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KM8</w:t>
            </w:r>
          </w:p>
        </w:tc>
        <w:tc>
          <w:tcPr>
            <w:tcW w:w="987" w:type="dxa"/>
            <w:vAlign w:val="bottom"/>
          </w:tcPr>
          <w:p w14:paraId="7AC0B205" w14:textId="1734F784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5.6</w:t>
            </w:r>
          </w:p>
        </w:tc>
        <w:tc>
          <w:tcPr>
            <w:tcW w:w="707" w:type="dxa"/>
            <w:vAlign w:val="bottom"/>
          </w:tcPr>
          <w:p w14:paraId="028322C1" w14:textId="3DED122D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15.0</w:t>
            </w:r>
          </w:p>
        </w:tc>
        <w:tc>
          <w:tcPr>
            <w:tcW w:w="987" w:type="dxa"/>
            <w:vMerge/>
            <w:vAlign w:val="center"/>
            <w:hideMark/>
          </w:tcPr>
          <w:p w14:paraId="3888BCF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70C5C22A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6DB6CA2E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1877298B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  <w:tr w:rsidR="006250F0" w:rsidRPr="006250F0" w14:paraId="79881347" w14:textId="77777777" w:rsidTr="00E02C00">
        <w:trPr>
          <w:trHeight w:val="310"/>
          <w:jc w:val="center"/>
        </w:trPr>
        <w:tc>
          <w:tcPr>
            <w:tcW w:w="1036" w:type="dxa"/>
            <w:vMerge/>
            <w:vAlign w:val="center"/>
            <w:hideMark/>
          </w:tcPr>
          <w:p w14:paraId="399CB75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672" w:type="dxa"/>
            <w:vMerge/>
            <w:vAlign w:val="center"/>
            <w:hideMark/>
          </w:tcPr>
          <w:p w14:paraId="4C320894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1050" w:type="dxa"/>
            <w:shd w:val="clear" w:color="auto" w:fill="auto"/>
            <w:noWrap/>
            <w:vAlign w:val="bottom"/>
            <w:hideMark/>
          </w:tcPr>
          <w:p w14:paraId="367FE14B" w14:textId="77777777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KM7</w:t>
            </w:r>
          </w:p>
        </w:tc>
        <w:tc>
          <w:tcPr>
            <w:tcW w:w="987" w:type="dxa"/>
            <w:vAlign w:val="bottom"/>
          </w:tcPr>
          <w:p w14:paraId="6D0B4A82" w14:textId="660852C0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30.0</w:t>
            </w:r>
          </w:p>
        </w:tc>
        <w:tc>
          <w:tcPr>
            <w:tcW w:w="707" w:type="dxa"/>
            <w:vAlign w:val="bottom"/>
          </w:tcPr>
          <w:p w14:paraId="4C3CBAEE" w14:textId="4ADF1812" w:rsidR="006250F0" w:rsidRPr="006250F0" w:rsidRDefault="006250F0" w:rsidP="006250F0">
            <w:pPr>
              <w:spacing w:before="0" w:after="0"/>
              <w:jc w:val="right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  <w:r w:rsidRPr="006250F0"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  <w:t>200.0</w:t>
            </w:r>
          </w:p>
        </w:tc>
        <w:tc>
          <w:tcPr>
            <w:tcW w:w="987" w:type="dxa"/>
            <w:vMerge/>
            <w:vAlign w:val="center"/>
            <w:hideMark/>
          </w:tcPr>
          <w:p w14:paraId="6F0D99C3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987" w:type="dxa"/>
            <w:vMerge/>
            <w:vAlign w:val="center"/>
            <w:hideMark/>
          </w:tcPr>
          <w:p w14:paraId="77D0B05E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787" w:type="dxa"/>
            <w:vMerge/>
            <w:vAlign w:val="center"/>
            <w:hideMark/>
          </w:tcPr>
          <w:p w14:paraId="1C0B00F5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  <w:tc>
          <w:tcPr>
            <w:tcW w:w="856" w:type="dxa"/>
            <w:vMerge/>
            <w:vAlign w:val="center"/>
            <w:hideMark/>
          </w:tcPr>
          <w:p w14:paraId="6D3085C0" w14:textId="77777777" w:rsidR="006250F0" w:rsidRPr="006250F0" w:rsidRDefault="006250F0" w:rsidP="006250F0">
            <w:pPr>
              <w:spacing w:before="0" w:after="0"/>
              <w:rPr>
                <w:rFonts w:eastAsia="Times New Roman" w:cs="Times New Roman"/>
                <w:color w:val="000000"/>
                <w:sz w:val="20"/>
                <w:szCs w:val="20"/>
                <w:lang w:val="en-ZA" w:eastAsia="en-ZA"/>
              </w:rPr>
            </w:pPr>
          </w:p>
        </w:tc>
      </w:tr>
    </w:tbl>
    <w:p w14:paraId="024E1651" w14:textId="77777777" w:rsidR="006250F0" w:rsidRDefault="006250F0" w:rsidP="006E6815">
      <w:pPr>
        <w:spacing w:before="0" w:after="200"/>
        <w:rPr>
          <w:rFonts w:cs="Times New Roman"/>
          <w:szCs w:val="24"/>
          <w:shd w:val="clear" w:color="auto" w:fill="FFFFFF"/>
        </w:rPr>
      </w:pPr>
    </w:p>
    <w:p w14:paraId="04D0F036" w14:textId="77777777" w:rsidR="006250F0" w:rsidRDefault="006250F0">
      <w:pPr>
        <w:spacing w:before="0" w:after="200" w:line="276" w:lineRule="auto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br w:type="page"/>
      </w:r>
    </w:p>
    <w:p w14:paraId="7E1B7E5A" w14:textId="002FF068" w:rsidR="00015114" w:rsidRDefault="006250F0" w:rsidP="006E6815">
      <w:pPr>
        <w:spacing w:before="0" w:after="200"/>
        <w:rPr>
          <w:rFonts w:cs="Times New Roman"/>
          <w:szCs w:val="24"/>
          <w:shd w:val="clear" w:color="auto" w:fill="FFFFFF"/>
        </w:rPr>
      </w:pPr>
      <w:bookmarkStart w:id="3" w:name="_Hlk58162097"/>
      <w:r w:rsidRPr="00E8304F">
        <w:rPr>
          <w:rFonts w:eastAsia="Calibri" w:cs="Times New Roman"/>
          <w:b/>
          <w:szCs w:val="24"/>
          <w:lang w:val="en-ZA"/>
        </w:rPr>
        <w:t xml:space="preserve">Supplementary Table </w:t>
      </w:r>
      <w:r>
        <w:rPr>
          <w:rFonts w:eastAsia="Calibri" w:cs="Times New Roman"/>
          <w:b/>
          <w:szCs w:val="24"/>
          <w:lang w:val="en-ZA"/>
        </w:rPr>
        <w:t>4</w:t>
      </w:r>
      <w:bookmarkEnd w:id="3"/>
      <w:r w:rsidRPr="00E8304F">
        <w:rPr>
          <w:rFonts w:eastAsia="Calibri" w:cs="Times New Roman"/>
          <w:b/>
          <w:szCs w:val="24"/>
          <w:lang w:val="en-ZA"/>
        </w:rPr>
        <w:t>.</w:t>
      </w:r>
      <w:r>
        <w:rPr>
          <w:rFonts w:eastAsia="Calibri" w:cs="Times New Roman"/>
          <w:b/>
          <w:szCs w:val="24"/>
          <w:lang w:val="en-ZA"/>
        </w:rPr>
        <w:t xml:space="preserve"> </w:t>
      </w:r>
      <w:r w:rsidR="00015114" w:rsidRPr="00E8304F">
        <w:rPr>
          <w:rFonts w:cs="Times New Roman"/>
          <w:szCs w:val="24"/>
          <w:shd w:val="clear" w:color="auto" w:fill="FFFFFF"/>
        </w:rPr>
        <w:t xml:space="preserve">Mineral modal composition of </w:t>
      </w:r>
      <w:r w:rsidR="00015114">
        <w:rPr>
          <w:rFonts w:cs="Times New Roman"/>
          <w:szCs w:val="24"/>
          <w:shd w:val="clear" w:color="auto" w:fill="FFFFFF"/>
        </w:rPr>
        <w:t>twenty-three</w:t>
      </w:r>
      <w:r w:rsidR="00015114" w:rsidRPr="00E8304F">
        <w:rPr>
          <w:rFonts w:cs="Times New Roman"/>
          <w:szCs w:val="24"/>
          <w:shd w:val="clear" w:color="auto" w:fill="FFFFFF"/>
        </w:rPr>
        <w:t xml:space="preserve"> fine-grained sandstone samples derived from identifying </w:t>
      </w:r>
      <w:r w:rsidR="00015114">
        <w:rPr>
          <w:rFonts w:cs="Times New Roman"/>
          <w:szCs w:val="24"/>
          <w:shd w:val="clear" w:color="auto" w:fill="FFFFFF"/>
        </w:rPr>
        <w:t>three hundred</w:t>
      </w:r>
      <w:r w:rsidR="00015114" w:rsidRPr="00E8304F">
        <w:rPr>
          <w:rFonts w:cs="Times New Roman"/>
          <w:szCs w:val="24"/>
          <w:shd w:val="clear" w:color="auto" w:fill="FFFFFF"/>
        </w:rPr>
        <w:t xml:space="preserve"> sediment grains per slide. Results are shown in percentages.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Qm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- Monocrystalline quartz;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Qp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- Polycrystalline quartz;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Fp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- Plagioclase feldspar;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Fk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- Alkali feldspar;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Lv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- Volcanic lithic grain;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Lm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- Metamorphic lithic grain;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Lp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Plutonic lithic grain; Ls - Sedimentary lithic grain; </w:t>
      </w:r>
      <w:proofErr w:type="spellStart"/>
      <w:r w:rsidR="00015114" w:rsidRPr="00E8304F">
        <w:rPr>
          <w:rFonts w:cs="Times New Roman"/>
          <w:szCs w:val="24"/>
          <w:shd w:val="clear" w:color="auto" w:fill="FFFFFF"/>
        </w:rPr>
        <w:t>Accs</w:t>
      </w:r>
      <w:proofErr w:type="spellEnd"/>
      <w:r w:rsidR="00015114" w:rsidRPr="00E8304F">
        <w:rPr>
          <w:rFonts w:cs="Times New Roman"/>
          <w:szCs w:val="24"/>
          <w:shd w:val="clear" w:color="auto" w:fill="FFFFFF"/>
        </w:rPr>
        <w:t xml:space="preserve"> - Accessory mineral (mica, pyroxenes, amphiboles); Un - Unidentified minerals; Av. – </w:t>
      </w:r>
      <w:r w:rsidR="006E6815">
        <w:rPr>
          <w:rFonts w:cs="Times New Roman"/>
          <w:szCs w:val="24"/>
          <w:shd w:val="clear" w:color="auto" w:fill="FFFFFF"/>
        </w:rPr>
        <w:t>A</w:t>
      </w:r>
      <w:r w:rsidR="00015114" w:rsidRPr="00E8304F">
        <w:rPr>
          <w:rFonts w:cs="Times New Roman"/>
          <w:szCs w:val="24"/>
          <w:shd w:val="clear" w:color="auto" w:fill="FFFFFF"/>
        </w:rPr>
        <w:t>verage; SD - Standard deviation.</w:t>
      </w:r>
      <w:r w:rsidR="00D50B80" w:rsidRPr="00D50B80">
        <w:rPr>
          <w:rFonts w:eastAsia="Calibri" w:cs="Times New Roman"/>
          <w:szCs w:val="24"/>
          <w:lang w:val="en-ZA"/>
        </w:rPr>
        <w:t xml:space="preserve"> </w:t>
      </w:r>
      <w:r w:rsidR="00D50B80">
        <w:rPr>
          <w:rFonts w:eastAsia="Calibri" w:cs="Times New Roman"/>
          <w:szCs w:val="24"/>
          <w:lang w:val="en-ZA"/>
        </w:rPr>
        <w:t xml:space="preserve">See </w:t>
      </w:r>
      <w:r w:rsidR="00D50B80" w:rsidRPr="00D50B80">
        <w:rPr>
          <w:rFonts w:eastAsia="Calibri" w:cs="Times New Roman"/>
          <w:szCs w:val="24"/>
          <w:lang w:val="en-ZA"/>
        </w:rPr>
        <w:t xml:space="preserve">Supplementary Table </w:t>
      </w:r>
      <w:r w:rsidR="00D50B80">
        <w:rPr>
          <w:rFonts w:eastAsia="Calibri" w:cs="Times New Roman"/>
          <w:szCs w:val="24"/>
          <w:lang w:val="en-ZA"/>
        </w:rPr>
        <w:t xml:space="preserve">1 for the </w:t>
      </w:r>
      <w:r w:rsidR="00D50B80" w:rsidRPr="00E8304F">
        <w:rPr>
          <w:rFonts w:eastAsia="Calibri" w:cs="Times New Roman"/>
          <w:szCs w:val="24"/>
          <w:lang w:val="en-ZA"/>
        </w:rPr>
        <w:t>GPS coordinates of the sampling sites</w:t>
      </w:r>
      <w:r w:rsidR="00D50B80">
        <w:rPr>
          <w:rFonts w:eastAsia="Calibri" w:cs="Times New Roman"/>
          <w:szCs w:val="24"/>
          <w:lang w:val="en-ZA"/>
        </w:rPr>
        <w:t>.</w:t>
      </w:r>
    </w:p>
    <w:p w14:paraId="738D5E0B" w14:textId="77777777" w:rsidR="006E6815" w:rsidRPr="006E6815" w:rsidRDefault="006E6815" w:rsidP="006E6815">
      <w:pPr>
        <w:spacing w:before="0" w:after="0"/>
        <w:rPr>
          <w:rFonts w:cs="Times New Roman"/>
          <w:b/>
          <w:szCs w:val="24"/>
        </w:rPr>
      </w:pPr>
    </w:p>
    <w:p w14:paraId="68098BFE" w14:textId="42860584" w:rsidR="00015114" w:rsidRPr="00E8304F" w:rsidRDefault="00224E74" w:rsidP="006E6815">
      <w:pPr>
        <w:jc w:val="center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object w:dxaOrig="9026" w:dyaOrig="8309" w14:anchorId="6B5637FC">
          <v:shape id="_x0000_i1026" type="#_x0000_t75" style="width:451.2pt;height:415.55pt" o:ole="">
            <v:imagedata r:id="rId12" o:title=""/>
          </v:shape>
          <o:OLEObject Type="Embed" ProgID="Word.Document.12" ShapeID="_x0000_i1026" DrawAspect="Content" ObjectID="_1668774945" r:id="rId13">
            <o:FieldCodes>\s</o:FieldCodes>
          </o:OLEObject>
        </w:object>
      </w:r>
    </w:p>
    <w:p w14:paraId="7B65BC41" w14:textId="77777777" w:rsidR="00DE23E8" w:rsidRPr="001549D3" w:rsidRDefault="00DE23E8" w:rsidP="006E6815">
      <w:pPr>
        <w:spacing w:before="240"/>
      </w:pPr>
    </w:p>
    <w:sectPr w:rsidR="00DE23E8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A550AB" w14:textId="77777777" w:rsidR="00104440" w:rsidRDefault="00104440" w:rsidP="00117666">
      <w:pPr>
        <w:spacing w:after="0"/>
      </w:pPr>
      <w:r>
        <w:separator/>
      </w:r>
    </w:p>
  </w:endnote>
  <w:endnote w:type="continuationSeparator" w:id="0">
    <w:p w14:paraId="0AACCC27" w14:textId="77777777" w:rsidR="00104440" w:rsidRDefault="0010444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85707B" w14:textId="77777777" w:rsidR="00104440" w:rsidRDefault="00104440" w:rsidP="00117666">
      <w:pPr>
        <w:spacing w:after="0"/>
      </w:pPr>
      <w:r>
        <w:separator/>
      </w:r>
    </w:p>
  </w:footnote>
  <w:footnote w:type="continuationSeparator" w:id="0">
    <w:p w14:paraId="32C90AB6" w14:textId="77777777" w:rsidR="00104440" w:rsidRDefault="0010444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75"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09C7"/>
    <w:rsid w:val="0001436A"/>
    <w:rsid w:val="00015114"/>
    <w:rsid w:val="00034304"/>
    <w:rsid w:val="00035434"/>
    <w:rsid w:val="00052A14"/>
    <w:rsid w:val="00077D53"/>
    <w:rsid w:val="00104440"/>
    <w:rsid w:val="00105FD9"/>
    <w:rsid w:val="00117666"/>
    <w:rsid w:val="0015225C"/>
    <w:rsid w:val="00154753"/>
    <w:rsid w:val="001549D3"/>
    <w:rsid w:val="00160065"/>
    <w:rsid w:val="00177D84"/>
    <w:rsid w:val="00181ABD"/>
    <w:rsid w:val="001B7C0B"/>
    <w:rsid w:val="00224E74"/>
    <w:rsid w:val="00267D18"/>
    <w:rsid w:val="00274347"/>
    <w:rsid w:val="002868E2"/>
    <w:rsid w:val="002869C3"/>
    <w:rsid w:val="002936E4"/>
    <w:rsid w:val="002B495F"/>
    <w:rsid w:val="002B4A57"/>
    <w:rsid w:val="002C74CA"/>
    <w:rsid w:val="002D452E"/>
    <w:rsid w:val="002E23DD"/>
    <w:rsid w:val="003123F4"/>
    <w:rsid w:val="00332F7F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715C"/>
    <w:rsid w:val="005830C7"/>
    <w:rsid w:val="00593EEA"/>
    <w:rsid w:val="005A5EEE"/>
    <w:rsid w:val="006250F0"/>
    <w:rsid w:val="006375C7"/>
    <w:rsid w:val="00640656"/>
    <w:rsid w:val="00654E8F"/>
    <w:rsid w:val="00660D05"/>
    <w:rsid w:val="006820B1"/>
    <w:rsid w:val="006B7D14"/>
    <w:rsid w:val="006E6815"/>
    <w:rsid w:val="00701727"/>
    <w:rsid w:val="0070566C"/>
    <w:rsid w:val="00714C50"/>
    <w:rsid w:val="00720A3D"/>
    <w:rsid w:val="00725A7D"/>
    <w:rsid w:val="007501BE"/>
    <w:rsid w:val="00790BB3"/>
    <w:rsid w:val="007C206C"/>
    <w:rsid w:val="0081027E"/>
    <w:rsid w:val="00817DD6"/>
    <w:rsid w:val="0083759F"/>
    <w:rsid w:val="00885156"/>
    <w:rsid w:val="009151AA"/>
    <w:rsid w:val="0093429D"/>
    <w:rsid w:val="00943573"/>
    <w:rsid w:val="00947B14"/>
    <w:rsid w:val="00964134"/>
    <w:rsid w:val="00970F7D"/>
    <w:rsid w:val="00994A3D"/>
    <w:rsid w:val="009C2B12"/>
    <w:rsid w:val="009C75BB"/>
    <w:rsid w:val="00A174D9"/>
    <w:rsid w:val="00A27027"/>
    <w:rsid w:val="00AA4D24"/>
    <w:rsid w:val="00AB3096"/>
    <w:rsid w:val="00AB6715"/>
    <w:rsid w:val="00B05897"/>
    <w:rsid w:val="00B1671E"/>
    <w:rsid w:val="00B25EB8"/>
    <w:rsid w:val="00B37F4D"/>
    <w:rsid w:val="00B82C65"/>
    <w:rsid w:val="00C52A7B"/>
    <w:rsid w:val="00C56BAF"/>
    <w:rsid w:val="00C679AA"/>
    <w:rsid w:val="00C75972"/>
    <w:rsid w:val="00CA5FF3"/>
    <w:rsid w:val="00CD066B"/>
    <w:rsid w:val="00CE4FEE"/>
    <w:rsid w:val="00D060CF"/>
    <w:rsid w:val="00D50B80"/>
    <w:rsid w:val="00D7007A"/>
    <w:rsid w:val="00DB59C3"/>
    <w:rsid w:val="00DC259A"/>
    <w:rsid w:val="00DE23E8"/>
    <w:rsid w:val="00E02C00"/>
    <w:rsid w:val="00E52377"/>
    <w:rsid w:val="00E537AD"/>
    <w:rsid w:val="00E64E17"/>
    <w:rsid w:val="00E66127"/>
    <w:rsid w:val="00E866C9"/>
    <w:rsid w:val="00EA3D3C"/>
    <w:rsid w:val="00EC090A"/>
    <w:rsid w:val="00ED20B5"/>
    <w:rsid w:val="00F46900"/>
    <w:rsid w:val="00F61D89"/>
    <w:rsid w:val="00F8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9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MediumShading1-Accent31">
    <w:name w:val="Medium Shading 1 - Accent 31"/>
    <w:basedOn w:val="TableNormal"/>
    <w:next w:val="MediumShading1-Accent3"/>
    <w:uiPriority w:val="63"/>
    <w:rsid w:val="00015114"/>
    <w:pPr>
      <w:spacing w:after="0" w:line="240" w:lineRule="auto"/>
    </w:pPr>
    <w:rPr>
      <w:rFonts w:eastAsiaTheme="minorEastAsia"/>
      <w:lang w:val="en-ZA" w:eastAsia="en-ZA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18" w:space="0" w:color="auto"/>
        <w:right w:val="single" w:sz="8" w:space="0" w:color="B3CC82"/>
        <w:insideH w:val="single" w:sz="8" w:space="0" w:color="B3CC82"/>
      </w:tblBorders>
    </w:tblPr>
    <w:tcPr>
      <w:shd w:val="clear" w:color="auto" w:fill="E2E2E2"/>
      <w:vAlign w:val="center"/>
    </w:tcPr>
    <w:tblStylePr w:type="firstRow">
      <w:pPr>
        <w:spacing w:before="0" w:after="0" w:line="240" w:lineRule="auto"/>
        <w:jc w:val="center"/>
      </w:pPr>
      <w:rPr>
        <w:b/>
        <w:bCs/>
        <w:color w:val="auto"/>
      </w:rPr>
      <w:tblPr/>
      <w:tcPr>
        <w:tcBorders>
          <w:top w:val="single" w:sz="18" w:space="0" w:color="auto"/>
          <w:bottom w:val="single" w:sz="18" w:space="0" w:color="auto"/>
        </w:tcBorders>
        <w:shd w:val="clear" w:color="auto" w:fill="D6E3BC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pPr>
        <w:jc w:val="center"/>
      </w:pPr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DBDBDB"/>
      </w:tcPr>
    </w:tblStylePr>
    <w:tblStylePr w:type="band2Horz">
      <w:tblPr/>
      <w:tcPr>
        <w:shd w:val="clear" w:color="auto" w:fill="FFFFFF"/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1511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odyText">
    <w:name w:val="Body Text"/>
    <w:basedOn w:val="Normal"/>
    <w:link w:val="BodyTextChar"/>
    <w:uiPriority w:val="1"/>
    <w:qFormat/>
    <w:rsid w:val="006E6815"/>
    <w:pPr>
      <w:widowControl w:val="0"/>
      <w:spacing w:before="0" w:after="0"/>
      <w:ind w:left="119"/>
    </w:pPr>
    <w:rPr>
      <w:rFonts w:ascii="Calibri" w:eastAsia="Calibri" w:hAnsi="Calibri"/>
      <w:sz w:val="22"/>
    </w:rPr>
  </w:style>
  <w:style w:type="character" w:customStyle="1" w:styleId="BodyTextChar">
    <w:name w:val="Body Text Char"/>
    <w:basedOn w:val="DefaultParagraphFont"/>
    <w:link w:val="BodyText"/>
    <w:uiPriority w:val="1"/>
    <w:rsid w:val="006E6815"/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Microsoft_Word_Document1.doc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.doc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9A12DA3-C496-4AE3-9382-E5057EC32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166</TotalTime>
  <Pages>9</Pages>
  <Words>2241</Words>
  <Characters>12778</Characters>
  <Application>Microsoft Office Word</Application>
  <DocSecurity>0</DocSecurity>
  <Lines>106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Supplementary Data on Lithofacies </vt:lpstr>
      <vt:lpstr>Supplementary Figure 1 —Example of a channel belt exposure used in facies quanti</vt:lpstr>
      <vt:lpstr>Supplementary data on channel belt dimensions </vt:lpstr>
      <vt:lpstr>Supplementary Tables</vt:lpstr>
    </vt:vector>
  </TitlesOfParts>
  <Company/>
  <LinksUpToDate>false</LinksUpToDate>
  <CharactersWithSpaces>14990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Emese Bordy</cp:lastModifiedBy>
  <cp:revision>14</cp:revision>
  <cp:lastPrinted>2013-10-03T12:51:00Z</cp:lastPrinted>
  <dcterms:created xsi:type="dcterms:W3CDTF">2020-10-05T13:28:00Z</dcterms:created>
  <dcterms:modified xsi:type="dcterms:W3CDTF">2020-12-06T13:49:00Z</dcterms:modified>
</cp:coreProperties>
</file>