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lang w:val="en-US" w:eastAsia="zh-CN"/>
        </w:rPr>
        <w:t>Tab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le</w:t>
      </w:r>
      <w:r>
        <w:rPr>
          <w:rFonts w:hint="default" w:ascii="Times New Roman" w:hAnsi="Times New Roman"/>
          <w:color w:val="000000"/>
          <w:sz w:val="24"/>
          <w:lang w:val="en-US" w:eastAsia="zh-CN"/>
        </w:rPr>
        <w:t xml:space="preserve">.1 </w:t>
      </w:r>
      <w:r>
        <w:rPr>
          <w:rFonts w:hint="default" w:ascii="Times New Roman" w:hAnsi="Times New Roman"/>
          <w:color w:val="000000"/>
          <w:sz w:val="24"/>
        </w:rPr>
        <w:t>Number of co-expressed and specific DEGs in the breast cancer subtypes.</w:t>
      </w:r>
    </w:p>
    <w:tbl>
      <w:tblPr>
        <w:tblStyle w:val="2"/>
        <w:tblW w:w="7511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25"/>
        <w:gridCol w:w="1206"/>
        <w:gridCol w:w="718"/>
        <w:gridCol w:w="857"/>
        <w:gridCol w:w="932"/>
        <w:gridCol w:w="143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37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PAM50 </w:t>
            </w:r>
            <w:r>
              <w:rPr>
                <w:rFonts w:hint="default"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subtype</w:t>
            </w:r>
          </w:p>
        </w:tc>
        <w:tc>
          <w:tcPr>
            <w:tcW w:w="1125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Common</w:t>
            </w:r>
          </w:p>
        </w:tc>
        <w:tc>
          <w:tcPr>
            <w:tcW w:w="1206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Basal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-like</w:t>
            </w:r>
          </w:p>
        </w:tc>
        <w:tc>
          <w:tcPr>
            <w:tcW w:w="718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Her2</w:t>
            </w:r>
          </w:p>
        </w:tc>
        <w:tc>
          <w:tcPr>
            <w:tcW w:w="857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LumA</w:t>
            </w:r>
          </w:p>
        </w:tc>
        <w:tc>
          <w:tcPr>
            <w:tcW w:w="932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LumB</w:t>
            </w:r>
          </w:p>
        </w:tc>
        <w:tc>
          <w:tcPr>
            <w:tcW w:w="1436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Normal-like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UP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25</w:t>
            </w:r>
          </w:p>
        </w:tc>
        <w:tc>
          <w:tcPr>
            <w:tcW w:w="71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34</w:t>
            </w:r>
          </w:p>
        </w:tc>
        <w:tc>
          <w:tcPr>
            <w:tcW w:w="85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DOWN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0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55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21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0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47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spacing w:line="360" w:lineRule="auto"/>
        <w:ind w:firstLine="560" w:firstLineChars="200"/>
        <w:rPr>
          <w:rFonts w:ascii="Times New Roman" w:hAnsi="Times New Roman"/>
          <w:color w:val="000000"/>
          <w:sz w:val="28"/>
          <w:szCs w:val="28"/>
        </w:rPr>
        <w:sectPr>
          <w:pgSz w:w="11849" w:h="16781"/>
          <w:pgMar w:top="1440" w:right="1803" w:bottom="1440" w:left="1803" w:header="851" w:footer="992" w:gutter="0"/>
          <w:cols w:space="0" w:num="1"/>
          <w:docGrid w:type="lines" w:linePitch="317" w:charSpace="0"/>
        </w:sect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default"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 xml:space="preserve">Table.2 </w:t>
      </w:r>
      <w:r>
        <w:rPr>
          <w:rFonts w:hint="default" w:ascii="Times New Roman" w:hAnsi="Times New Roman"/>
          <w:color w:val="000000"/>
          <w:sz w:val="24"/>
        </w:rPr>
        <w:t xml:space="preserve">Genes with consistent expression with TCGA screening results were verified via the METABRIC database and 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BC</w:t>
      </w:r>
      <w:r>
        <w:rPr>
          <w:rFonts w:hint="default" w:ascii="Times New Roman" w:hAnsi="Times New Roman"/>
          <w:color w:val="000000"/>
          <w:sz w:val="24"/>
        </w:rPr>
        <w:t>-GenExMiner v4.5.</w:t>
      </w:r>
    </w:p>
    <w:tbl>
      <w:tblPr>
        <w:tblStyle w:val="2"/>
        <w:tblpPr w:leftFromText="180" w:rightFromText="180" w:vertAnchor="text" w:horzAnchor="page" w:tblpX="978" w:tblpY="753"/>
        <w:tblOverlap w:val="never"/>
        <w:tblW w:w="1498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5474"/>
        <w:gridCol w:w="792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89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PAM50 </w:t>
            </w:r>
            <w:r>
              <w:rPr>
                <w:rFonts w:hint="default"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subtype</w:t>
            </w:r>
          </w:p>
        </w:tc>
        <w:tc>
          <w:tcPr>
            <w:tcW w:w="5474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Up Gene name</w:t>
            </w:r>
          </w:p>
        </w:tc>
        <w:tc>
          <w:tcPr>
            <w:tcW w:w="7925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Down Gene name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8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Basal-Her2-LumA-LumB-Normal-like</w:t>
            </w:r>
          </w:p>
        </w:tc>
        <w:tc>
          <w:tcPr>
            <w:tcW w:w="547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NEIL3/CDC25C/NEK2/HCN2</w:t>
            </w:r>
          </w:p>
        </w:tc>
        <w:tc>
          <w:tcPr>
            <w:tcW w:w="79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Basal</w:t>
            </w:r>
          </w:p>
        </w:tc>
        <w:tc>
          <w:tcPr>
            <w:tcW w:w="5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SLCO5A1/GPR19/LCTL/MCM10/HPDL/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SOX11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/RAD54L/CDCA2/MSLN/GTSE1/NDC80/BUB1/COL22A1/KIF2C/PLK1/FOXM1/CDCA3/NCAPG/AUNIP/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MIR4292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/CCNE1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LINC00504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/TFF3/CYP4B1/TTC36/ DYNLRB2/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OGN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 ACSM5/MS4A2/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MIR4697HG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/C16orf89/PTPRT/ MYRIP/CAPN8/AGTR1/ PFKFB1/PGR/ COL4A6/ABCC11/ DHRS2/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NDNF/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PLIN5/FER1L5/AZGP1P1/GRIK3/NEK10/RANBP3L/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FAM198B-AS1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/GFRA1/SOWAHA/CLEC3B/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LRRN3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FAM162B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AK5/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IQUB/SEMA3E/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 xml:space="preserve"> ADRB2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/GLDN/DACH1/LIPE/ LOC105371730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Her2</w:t>
            </w:r>
          </w:p>
        </w:tc>
        <w:tc>
          <w:tcPr>
            <w:tcW w:w="5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LOC105372233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/SPOCD1/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IL21R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/JPH3/SAMD11/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IFI30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JSRP1/ANGPTL6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IL4I1/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VSTM2L/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MMP3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HES6/S100A8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/ASCL2/TCHH/NXPH4/LBX2/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LOC105371849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/SIX2 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LINC00173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/ATRNL1/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TNNI3K/PI15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/FAM189A2/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LOC100505635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/MYZAP/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SLC4A4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/LRP2/NAT8L/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OXTR/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SLC25A27/ 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FGF14-AS2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LINC00639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/TRMT9B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LumA</w:t>
            </w:r>
          </w:p>
        </w:tc>
        <w:tc>
          <w:tcPr>
            <w:tcW w:w="5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MISP/SMIM22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LumB</w:t>
            </w:r>
          </w:p>
        </w:tc>
        <w:tc>
          <w:tcPr>
            <w:tcW w:w="5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CNTD2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/NEURL1/SYCE3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STAC2/PPP1R1A/HRCT1/AKR1C2/IL6/FREM1/HOXA4/TMOD1/PTGS2/PTGS2/FAM107A/IL33/TRIM29/TMEM220-AS1/PROX1/GFRA2/SLC28A3/HCAR2/PPARGC1A/</w:t>
            </w: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GNG12-AS1/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TDRD10/SOX8/TP63/TTYH1/PTH2R/ SLC2A12/KCNA6/PROM1/KRT17/ C2orf88/PAMR1/PPP1R14A / BCL11A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89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iCs/>
                <w:color w:val="000000"/>
                <w:sz w:val="24"/>
              </w:rPr>
              <w:t>Normal-like</w:t>
            </w:r>
          </w:p>
        </w:tc>
        <w:tc>
          <w:tcPr>
            <w:tcW w:w="5474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highlight w:val="yellow"/>
              </w:rPr>
              <w:t>IDH1-AS1/TMEM233</w:t>
            </w:r>
          </w:p>
        </w:tc>
        <w:tc>
          <w:tcPr>
            <w:tcW w:w="7925" w:type="dxa"/>
            <w:tcBorders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lang w:val="en-US" w:eastAsia="zh-CN"/>
        </w:rPr>
        <w:t>(</w:t>
      </w:r>
      <w:r>
        <w:rPr>
          <w:rFonts w:hint="eastAsia" w:ascii="Times New Roman" w:hAnsi="Times New Roman"/>
          <w:color w:val="000000"/>
          <w:sz w:val="24"/>
        </w:rPr>
        <w:t xml:space="preserve">Genes annotated in yellow are those for which validation results were discordant or no data were available in the </w:t>
      </w:r>
      <w:r>
        <w:rPr>
          <w:rFonts w:hint="default" w:ascii="Times New Roman" w:hAnsi="Times New Roman"/>
          <w:color w:val="000000"/>
          <w:sz w:val="24"/>
        </w:rPr>
        <w:t>METABRIC</w:t>
      </w:r>
      <w:r>
        <w:rPr>
          <w:rFonts w:hint="eastAsia" w:ascii="Times New Roman" w:hAnsi="Times New Roman"/>
          <w:color w:val="000000"/>
          <w:sz w:val="24"/>
        </w:rPr>
        <w:t xml:space="preserve"> database and BC</w:t>
      </w:r>
      <w:r>
        <w:rPr>
          <w:rFonts w:hint="eastAsia" w:ascii="Times New Roman" w:hAnsi="Times New Roman"/>
          <w:color w:val="000000"/>
          <w:sz w:val="24"/>
          <w:shd w:val="clear" w:color="auto" w:fill="FCFCFC"/>
        </w:rPr>
        <w:t xml:space="preserve"> </w:t>
      </w:r>
      <w:r>
        <w:rPr>
          <w:rFonts w:hint="eastAsia" w:ascii="Times New Roman" w:hAnsi="Times New Roman"/>
          <w:color w:val="000000"/>
          <w:sz w:val="24"/>
          <w:lang w:val="en-US" w:eastAsia="zh-CN"/>
        </w:rPr>
        <w:t>genexminer v4.5)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/>
          <w:color w:val="000000"/>
          <w:sz w:val="24"/>
          <w:lang w:val="en-US" w:eastAsia="zh-CN"/>
        </w:rPr>
        <w:sectPr>
          <w:pgSz w:w="16781" w:h="11849" w:orient="landscape"/>
          <w:pgMar w:top="1803" w:right="1440" w:bottom="1803" w:left="1440" w:header="851" w:footer="992" w:gutter="0"/>
          <w:cols w:space="0" w:num="1"/>
          <w:docGrid w:type="lines" w:linePitch="317" w:charSpace="0"/>
        </w:sect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</w:rPr>
        <w:t xml:space="preserve">Table.3 </w:t>
      </w:r>
      <w:r>
        <w:rPr>
          <w:rFonts w:ascii="Times New Roman" w:hAnsi="Times New Roman"/>
          <w:color w:val="000000"/>
          <w:sz w:val="24"/>
        </w:rPr>
        <w:t>The key common and specific DEGs selected were verified in the GSE65216 dataset.</w:t>
      </w:r>
    </w:p>
    <w:tbl>
      <w:tblPr>
        <w:tblStyle w:val="2"/>
        <w:tblW w:w="7797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735"/>
        <w:gridCol w:w="248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797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Basal-like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273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TCGA</w:t>
            </w:r>
          </w:p>
        </w:tc>
        <w:tc>
          <w:tcPr>
            <w:tcW w:w="248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GSE65216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NEIL3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HCN2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NEK2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CDC25C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SOX11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PLK1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BUB1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OGN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AGTR1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COL4A6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ADRB2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DYNLRB2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HPDL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MCM10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7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Her2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TCGA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GSE65216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NEIL3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HCN2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NEK2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CDC25C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ATRNL1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FAM189A2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IFI30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IL21R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JPH3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MYZAP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PI15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SAMD11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SPOCD1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TNNI3K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79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LumA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TCGA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GSE65216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NEIL3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HCN2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NEK2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CDC25C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MISP 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SMIM2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79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>LumB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TCGA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GSE65216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NEIL3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HCN2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NEK2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CDC25C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AKR1C2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CNTD2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FREM1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HOXA4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HRCT1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IL6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NEURL1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PPP1R1A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STAC2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Down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SYCE3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 change</w:t>
            </w:r>
          </w:p>
        </w:tc>
      </w:tr>
    </w:tbl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both"/>
        <w:rPr>
          <w:rFonts w:hint="eastAsia" w:ascii="Times New Roman" w:hAnsi="Times New Roman"/>
          <w:color w:val="000000"/>
          <w:sz w:val="24"/>
          <w:lang w:val="en-US" w:eastAsia="zh-CN"/>
        </w:rPr>
      </w:pPr>
    </w:p>
    <w:p>
      <w:pPr>
        <w:jc w:val="center"/>
        <w:rPr>
          <w:rFonts w:hint="default" w:ascii="Times New Roman" w:hAnsi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</w:rPr>
        <w:t>Table. 4 Prognostic value of the key common DEGs in total and different</w:t>
      </w:r>
      <w:r>
        <w:rPr>
          <w:rFonts w:hint="eastAsia"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</w:rPr>
        <w:t>ubtype</w:t>
      </w:r>
      <w:r>
        <w:rPr>
          <w:rFonts w:hint="eastAsia" w:ascii="Times New Roman" w:hAnsi="Times New Roman"/>
          <w:sz w:val="24"/>
        </w:rPr>
        <w:t xml:space="preserve"> breast cancers</w:t>
      </w:r>
    </w:p>
    <w:tbl>
      <w:tblPr>
        <w:tblStyle w:val="2"/>
        <w:tblW w:w="8255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290"/>
        <w:gridCol w:w="985"/>
        <w:gridCol w:w="2350"/>
        <w:gridCol w:w="99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7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Basal</w:t>
            </w:r>
          </w:p>
        </w:tc>
        <w:tc>
          <w:tcPr>
            <w:tcW w:w="3275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RFS</w:t>
            </w:r>
          </w:p>
        </w:tc>
        <w:tc>
          <w:tcPr>
            <w:tcW w:w="3343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Gene</w:t>
            </w:r>
          </w:p>
        </w:tc>
        <w:tc>
          <w:tcPr>
            <w:tcW w:w="22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HR(95% CI for HR)</w:t>
            </w:r>
          </w:p>
        </w:tc>
        <w:tc>
          <w:tcPr>
            <w:tcW w:w="98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P</w:t>
            </w:r>
          </w:p>
        </w:tc>
        <w:tc>
          <w:tcPr>
            <w:tcW w:w="235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HR(95% CI for HR)</w:t>
            </w:r>
          </w:p>
        </w:tc>
        <w:tc>
          <w:tcPr>
            <w:tcW w:w="9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3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</w:rPr>
              <w:t>NEIL3</w:t>
            </w:r>
          </w:p>
        </w:tc>
        <w:tc>
          <w:tcPr>
            <w:tcW w:w="22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0.68(0.53-0.88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98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0.003</w:t>
            </w:r>
          </w:p>
        </w:tc>
        <w:tc>
          <w:tcPr>
            <w:tcW w:w="235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0.57(0.34-0.93)</w:t>
            </w:r>
          </w:p>
        </w:tc>
        <w:tc>
          <w:tcPr>
            <w:tcW w:w="9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0.022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CDC25C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0.91(0.7-1.17)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0.45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0.5(0.3-0.83)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0.0063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NEK2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1.35(1.03-1.79)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0.031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0.55(0.34-0.9)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HCN2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0.77(0.58-1.03)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0.074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1.36(0.83-2.23)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color w:val="000000"/>
                <w:sz w:val="24"/>
                <w:highlight w:val="none"/>
                <w:lang w:val="en-US" w:eastAsia="zh-CN"/>
              </w:rPr>
              <w:t>HER2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RFS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</w:rPr>
              <w:t>NEIL3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0.59(0.4-0.86)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0.006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1.38(0.71-2.7)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0.34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CDC25C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0.7(0.47-1.04)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0.078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0.56(0.26-1.23)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NEK2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1.34(0.91-1.97)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0.13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0.55(0.23-1.32)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0.17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HCN2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1.54(0.98-2.42)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0.057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1.94(0.91-4.11)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0.079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iCs/>
                <w:color w:val="000000"/>
                <w:sz w:val="24"/>
                <w:highlight w:val="none"/>
                <w:lang w:val="en-US" w:eastAsia="zh-CN"/>
              </w:rPr>
              <w:t>Lum A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RFS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</w:rPr>
              <w:t>NEIL3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1.29(1.08-1.54)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0.0041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1.79(1.24-2.59)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0.0017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CDC25C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1.64(1.37-1.96)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6e-08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2(1.4-2.85)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9.2e-05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NEK2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2.2(1.85-2.6)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&lt;1e-16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2.5(1.75-3.57)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1.6e-07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HCN2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0.86(0.72-1.02)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0.09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1.5(1.03-2.19)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0.034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iCs/>
                <w:color w:val="000000"/>
                <w:sz w:val="24"/>
                <w:highlight w:val="none"/>
                <w:lang w:val="en-US" w:eastAsia="zh-CN"/>
              </w:rPr>
              <w:t>Lum B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RFS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</w:rPr>
              <w:t>NEIL3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0.81(0.67-0.98)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0.03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1.73(1.11-2.69)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0.014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CDC25C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1.19(0.99-1.45)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0.068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1.49(1.03-2.15)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0.035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NEK2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1.71(1.37-2.14)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1.7e-06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1.86(1.17-2.96)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0.0082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HCN2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0.74(0.6-0.91)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0.0047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1.36(0.94-1.97)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BRCA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RFS</w:t>
            </w:r>
          </w:p>
        </w:tc>
        <w:tc>
          <w:tcPr>
            <w:tcW w:w="3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</w:rPr>
              <w:t>NEIL3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1.12(1.07-1.38)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0.0022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1.63(1.27-2.11)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0.00014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CDC25C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1.45(1.3-1.61)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2.6e-11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1.54(1.24-1.91)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8.9e-05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NEK2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1.91(1.7-2.14)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&lt;1e-16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2.08(1.62-2.67)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4.8e-09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iCs/>
                <w:color w:val="000000"/>
                <w:sz w:val="24"/>
                <w:lang w:val="en-US" w:eastAsia="zh-CN"/>
              </w:rPr>
              <w:t>HCN2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0.83(0.74-0.94)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0.0033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1.39(1.1-1.77)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0.0064</w:t>
            </w:r>
          </w:p>
        </w:tc>
      </w:tr>
    </w:tbl>
    <w:p/>
    <w:p/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/>
          <w:sz w:val="24"/>
        </w:rPr>
        <w:t>Table.5 Prognostic value of the key specific DEGs in Basal subtype, Her2 subtype, LumB subtype and</w:t>
      </w:r>
      <w:r>
        <w:rPr>
          <w:rFonts w:hint="eastAsia" w:ascii="Times New Roman" w:hAnsi="Times New Roman"/>
          <w:sz w:val="24"/>
        </w:rPr>
        <w:t xml:space="preserve"> total breast cancers</w:t>
      </w:r>
      <w:bookmarkStart w:id="0" w:name="_GoBack"/>
      <w:bookmarkEnd w:id="0"/>
      <w:r>
        <w:rPr>
          <w:rFonts w:hint="eastAsia" w:ascii="Times New Roman" w:hAnsi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tbl>
      <w:tblPr>
        <w:tblStyle w:val="2"/>
        <w:tblW w:w="8355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293"/>
        <w:gridCol w:w="1053"/>
        <w:gridCol w:w="2432"/>
        <w:gridCol w:w="109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84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Basal</w:t>
            </w:r>
          </w:p>
        </w:tc>
        <w:tc>
          <w:tcPr>
            <w:tcW w:w="3346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22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243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SOX11</w:t>
            </w:r>
          </w:p>
        </w:tc>
        <w:tc>
          <w:tcPr>
            <w:tcW w:w="22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1.25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16)</w:t>
            </w:r>
          </w:p>
        </w:tc>
        <w:tc>
          <w:tcPr>
            <w:tcW w:w="10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0.00031</w:t>
            </w:r>
          </w:p>
        </w:tc>
        <w:tc>
          <w:tcPr>
            <w:tcW w:w="243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1.75(1.03-2.98)</w:t>
            </w:r>
          </w:p>
        </w:tc>
        <w:tc>
          <w:tcPr>
            <w:tcW w:w="109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0.0235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PLK1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0.82(0.63-1.08)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0.56(0.34-0.91)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BUB1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0.69(0.53-0.89)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0.0045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0.44(0.26-0.73)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0.00096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OGN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0.67(0.49-0.93)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0.015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1.48(0.76-2.86)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COL4A6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0.73(0.56-0.95)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1.6(0.98-2.64)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AGTR1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0.63(0.48-0.82)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0.00048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0.79(0.48-1.29)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ADRB2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0.56(0.43-0.74)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2e-05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1.49(0.91-2.46)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BRCA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SOX11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1.61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1.44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1.71(1.37-2.13)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1.2e-06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PLK1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1.51(1.34-1.7)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4.5e-12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1.56(1.25-1.94)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6.7e-05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BUB1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1.84(1.64-2.06)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2.12(1.64-2.74)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4e-09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OGN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0.64(0.55-0.75)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4e-08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0.57(0.41-0.8)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COL4A6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0.58(0.52-0.65)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0.71(0.55-0.93)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AGTR1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0.61(0.54-0.68)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0.5(0.39-0.65)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1.1e-07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ADRB2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0.59(0.52-0.66)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0.62(0.49-0.77)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2.4e-05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HER2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IL21R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(0.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-0.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0.34(0.15-0.79)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IFI30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0.61(0.42-0.9)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0.47(0.24-0.9)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PI15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0.57(0.38-0.83)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1.77(0.91-3.45)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FAM189A2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0.45(0.31-0.67)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4.1e-05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0.63(0.33-1.21)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MYZAP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1.55（0.88-2.73）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5.79（1.37-24.6）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BRCA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IL21R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0.67(0.57-0.79)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1.4e-06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0.58(0.39-0.86)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IFI30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1.37(1.2-1.56)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1.8e-06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1.29(1.04-1.6)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PI15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0.61(0.55-0.68)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0.7(0.56-0.88)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FAM189A2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0.62(0.56-0.7)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1.9e-15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0.71(0r.56-0.89)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MYZAP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0.64(0.54-0.74)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7.8e-09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0.68(0.47-0.97)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LumA 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SMIM22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1.3(0.98-1.72)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0.073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1.44(0.97-2.14)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0.067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BRCA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Gene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HR(95% CI for HR)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i w:val="0"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i w:val="0"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SMIM22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0.86(0.73-1)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0.054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1.44(0.97-2.14)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0.067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i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LumB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CNTD2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0.64(0.53-0.78)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4.8e-06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0.85(0.58-1.23)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NEURL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0.68(0.56-0.83)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0.00011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1.26(0.81-1.93)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STAC2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0.6(0.43-0.85)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0.0039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0.39(0.15-1.01)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AKR1C2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0.75(0.54-1.04)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0.088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2.02(1.03-3.98)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IL6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0.64(0.53-0.78)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6.3e-06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0.79(0.55-1.16)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FREM1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0.44(0.32-0.61)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3.7e-07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0.42(0.19-0.92)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HOXA4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0.71(0.58-0.86)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0.00049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0.8(0.55-1.17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BRCA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RFS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OS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CNTD2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0.6(0.53-0.67)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0.75(0.59-0.94)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NEURL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0.62(0.56-0.7)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0.84(0.67-1.04)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STAC2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0.85(0.72-1)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1.47(1.04-2.07)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AKR1C2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0.75(0.64-0.89)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1.59(1.16-2.2)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IL6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0.77(0.69-0.86)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3.3e-06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0.86(0.69-1.07)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FREM1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0.42(0.36-0.49)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&lt;1e-16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0.54(0.38-0.78)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0.00068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HOXA4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0.64(0.57-0.72)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2.4e-14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0.73(0.58-0.91)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B73"/>
    <w:rsid w:val="16611EF8"/>
    <w:rsid w:val="176E5E5E"/>
    <w:rsid w:val="214232FC"/>
    <w:rsid w:val="216711C8"/>
    <w:rsid w:val="238C1259"/>
    <w:rsid w:val="2E292A33"/>
    <w:rsid w:val="309C6217"/>
    <w:rsid w:val="37F44A07"/>
    <w:rsid w:val="3BC31765"/>
    <w:rsid w:val="3F1A1731"/>
    <w:rsid w:val="40230254"/>
    <w:rsid w:val="44013126"/>
    <w:rsid w:val="4C683254"/>
    <w:rsid w:val="57803153"/>
    <w:rsid w:val="5BFC49A6"/>
    <w:rsid w:val="5D940B73"/>
    <w:rsid w:val="5DF840E0"/>
    <w:rsid w:val="60F934E6"/>
    <w:rsid w:val="617676CD"/>
    <w:rsid w:val="61BA2B33"/>
    <w:rsid w:val="74EF5EC8"/>
    <w:rsid w:val="796E6284"/>
    <w:rsid w:val="7C566262"/>
    <w:rsid w:val="7DEB44B9"/>
    <w:rsid w:val="7F1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2020-08-14T04:05:00Z</dcterms:created>
  <dc:creator>Sunnanuo</dc:creator>
  <cp:lastModifiedBy>Sunnanuo</cp:lastModifiedBy>
  <dcterms:modified xsi:type="dcterms:W3CDTF">2020-12-29T11:34:24Z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