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A980" w14:textId="28AF3512" w:rsidR="00140B7B" w:rsidRPr="00F97CA2" w:rsidRDefault="00986A9E" w:rsidP="00140B7B">
      <w:pPr>
        <w:rPr>
          <w:rFonts w:ascii="Times New Roman" w:hAnsi="Times New Roman" w:cs="Times New Roman"/>
          <w:sz w:val="24"/>
          <w:szCs w:val="24"/>
        </w:rPr>
      </w:pPr>
      <w:r w:rsidRPr="005D6D53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B009AC" w:rsidRPr="005D6D5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B6BA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40B7B" w:rsidRPr="008B6B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B7B" w:rsidRPr="007452D1">
        <w:rPr>
          <w:rFonts w:ascii="Times New Roman" w:hAnsi="Times New Roman" w:cs="Times New Roman"/>
          <w:sz w:val="24"/>
          <w:szCs w:val="24"/>
        </w:rPr>
        <w:t xml:space="preserve">Summary of ecological survey data, averaged by region in </w:t>
      </w:r>
      <w:proofErr w:type="spellStart"/>
      <w:r w:rsidR="00140B7B" w:rsidRPr="007452D1">
        <w:rPr>
          <w:rFonts w:ascii="Times New Roman" w:hAnsi="Times New Roman" w:cs="Times New Roman"/>
          <w:sz w:val="24"/>
          <w:szCs w:val="24"/>
        </w:rPr>
        <w:t>Kenting</w:t>
      </w:r>
      <w:proofErr w:type="spellEnd"/>
      <w:r w:rsidR="00140B7B" w:rsidRPr="007452D1">
        <w:rPr>
          <w:rFonts w:ascii="Times New Roman" w:hAnsi="Times New Roman" w:cs="Times New Roman"/>
          <w:sz w:val="24"/>
          <w:szCs w:val="24"/>
        </w:rPr>
        <w:t xml:space="preserve"> National Park (see </w:t>
      </w:r>
      <w:r w:rsidR="00140B7B" w:rsidRPr="00323066">
        <w:rPr>
          <w:rFonts w:ascii="Times New Roman" w:hAnsi="Times New Roman" w:cs="Times New Roman"/>
          <w:sz w:val="24"/>
          <w:szCs w:val="24"/>
        </w:rPr>
        <w:t>Main text Fig</w:t>
      </w:r>
      <w:r w:rsidR="003B414D" w:rsidRPr="00E31F4D">
        <w:rPr>
          <w:rFonts w:ascii="Times New Roman" w:hAnsi="Times New Roman" w:cs="Times New Roman"/>
          <w:sz w:val="24"/>
          <w:szCs w:val="24"/>
        </w:rPr>
        <w:t>ure</w:t>
      </w:r>
      <w:r w:rsidR="00140B7B" w:rsidRPr="00E31F4D">
        <w:rPr>
          <w:rFonts w:ascii="Times New Roman" w:hAnsi="Times New Roman" w:cs="Times New Roman"/>
          <w:sz w:val="24"/>
          <w:szCs w:val="24"/>
        </w:rPr>
        <w:t xml:space="preserve"> </w:t>
      </w:r>
      <w:r w:rsidR="003B414D" w:rsidRPr="00E31F4D">
        <w:rPr>
          <w:rFonts w:ascii="Times New Roman" w:hAnsi="Times New Roman" w:cs="Times New Roman"/>
          <w:sz w:val="24"/>
          <w:szCs w:val="24"/>
        </w:rPr>
        <w:t xml:space="preserve">1A </w:t>
      </w:r>
      <w:r w:rsidR="00140B7B" w:rsidRPr="00E31F4D">
        <w:rPr>
          <w:rFonts w:ascii="Times New Roman" w:hAnsi="Times New Roman" w:cs="Times New Roman"/>
          <w:sz w:val="24"/>
          <w:szCs w:val="24"/>
        </w:rPr>
        <w:t>for map of regions)</w:t>
      </w:r>
      <w:r w:rsidR="00B237C5" w:rsidRPr="00E31F4D">
        <w:rPr>
          <w:rFonts w:ascii="Times New Roman" w:hAnsi="Times New Roman" w:cs="Times New Roman"/>
          <w:sz w:val="24"/>
          <w:szCs w:val="24"/>
        </w:rPr>
        <w:t xml:space="preserve">. </w:t>
      </w:r>
      <w:r w:rsidR="00181BC1" w:rsidRPr="00E31F4D">
        <w:rPr>
          <w:rFonts w:ascii="Times New Roman" w:hAnsi="Times New Roman" w:cs="Times New Roman"/>
          <w:sz w:val="24"/>
          <w:szCs w:val="24"/>
        </w:rPr>
        <w:t>The highest value of each column is indicated in bold</w:t>
      </w:r>
      <w:r w:rsidR="00B237C5" w:rsidRPr="00E31F4D">
        <w:rPr>
          <w:rFonts w:ascii="Times New Roman" w:hAnsi="Times New Roman" w:cs="Times New Roman"/>
          <w:sz w:val="24"/>
          <w:szCs w:val="24"/>
        </w:rPr>
        <w:t>.</w:t>
      </w:r>
      <w:r w:rsidR="00F97CA2">
        <w:rPr>
          <w:rFonts w:ascii="Times New Roman" w:hAnsi="Times New Roman" w:cs="Times New Roman"/>
          <w:sz w:val="24"/>
          <w:szCs w:val="24"/>
        </w:rPr>
        <w:t xml:space="preserve"> Note: Mean living coral cover is calculated as the average coral cover in each region between the years 2010 and 2016. </w:t>
      </w:r>
    </w:p>
    <w:p w14:paraId="64E96F5C" w14:textId="77777777" w:rsidR="00140B7B" w:rsidRPr="007452D1" w:rsidRDefault="00140B7B" w:rsidP="00140B7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1075"/>
        <w:gridCol w:w="1696"/>
        <w:gridCol w:w="1696"/>
        <w:gridCol w:w="1696"/>
        <w:gridCol w:w="1571"/>
        <w:gridCol w:w="1824"/>
        <w:gridCol w:w="1688"/>
        <w:gridCol w:w="1800"/>
      </w:tblGrid>
      <w:tr w:rsidR="00023F04" w:rsidRPr="00E31F4D" w14:paraId="4AC5903D" w14:textId="77777777" w:rsidTr="00CC0A8A">
        <w:trPr>
          <w:trHeight w:val="320"/>
        </w:trPr>
        <w:tc>
          <w:tcPr>
            <w:tcW w:w="412" w:type="pct"/>
            <w:shd w:val="clear" w:color="auto" w:fill="F2F2F2" w:themeFill="background1" w:themeFillShade="F2"/>
            <w:noWrap/>
            <w:hideMark/>
          </w:tcPr>
          <w:p w14:paraId="6A6210C9" w14:textId="77777777" w:rsidR="00140B7B" w:rsidRPr="00E31F4D" w:rsidRDefault="00140B7B" w:rsidP="00666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650" w:type="pct"/>
            <w:shd w:val="clear" w:color="auto" w:fill="F2F2F2" w:themeFill="background1" w:themeFillShade="F2"/>
            <w:noWrap/>
            <w:hideMark/>
          </w:tcPr>
          <w:p w14:paraId="4F2ACC3B" w14:textId="77777777" w:rsidR="00140B7B" w:rsidRPr="00E31F4D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Coral Diversity</w:t>
            </w:r>
          </w:p>
          <w:p w14:paraId="37E9CBC6" w14:textId="77777777" w:rsidR="00181BC1" w:rsidRPr="00E31F4D" w:rsidRDefault="00181BC1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(Simpson’s index)</w:t>
            </w:r>
          </w:p>
        </w:tc>
        <w:tc>
          <w:tcPr>
            <w:tcW w:w="650" w:type="pct"/>
            <w:shd w:val="clear" w:color="auto" w:fill="F2F2F2" w:themeFill="background1" w:themeFillShade="F2"/>
            <w:noWrap/>
            <w:hideMark/>
          </w:tcPr>
          <w:p w14:paraId="1F3B4AB1" w14:textId="6493CD73" w:rsidR="00140B7B" w:rsidRPr="00E31F4D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Coral Recruitment</w:t>
            </w:r>
            <w:r w:rsidR="0023370D"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4CCB" w:rsidRPr="00E31F4D">
              <w:rPr>
                <w:rFonts w:ascii="Times New Roman" w:hAnsi="Times New Roman" w:cs="Times New Roman"/>
                <w:sz w:val="24"/>
                <w:szCs w:val="24"/>
              </w:rPr>
              <w:t>colony number</w:t>
            </w:r>
            <w:r w:rsidR="0023370D" w:rsidRPr="00E31F4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23370D" w:rsidRPr="00E31F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3370D" w:rsidRPr="00E31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pct"/>
            <w:shd w:val="clear" w:color="auto" w:fill="F2F2F2" w:themeFill="background1" w:themeFillShade="F2"/>
            <w:noWrap/>
            <w:hideMark/>
          </w:tcPr>
          <w:p w14:paraId="40AD2106" w14:textId="77777777" w:rsidR="0023370D" w:rsidRPr="00E31F4D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Coral Species Richness</w:t>
            </w:r>
            <w:r w:rsidR="0023370D"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8A9E9" w14:textId="77777777" w:rsidR="00140B7B" w:rsidRPr="00E31F4D" w:rsidRDefault="0023370D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(No. species)</w:t>
            </w:r>
          </w:p>
        </w:tc>
        <w:tc>
          <w:tcPr>
            <w:tcW w:w="602" w:type="pct"/>
            <w:shd w:val="clear" w:color="auto" w:fill="F2F2F2" w:themeFill="background1" w:themeFillShade="F2"/>
            <w:noWrap/>
            <w:hideMark/>
          </w:tcPr>
          <w:p w14:paraId="2EFB3B78" w14:textId="77777777" w:rsidR="00140B7B" w:rsidRPr="00E31F4D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Macroalgae Cover (%)</w:t>
            </w:r>
          </w:p>
        </w:tc>
        <w:tc>
          <w:tcPr>
            <w:tcW w:w="699" w:type="pct"/>
            <w:shd w:val="clear" w:color="auto" w:fill="F2F2F2" w:themeFill="background1" w:themeFillShade="F2"/>
            <w:noWrap/>
            <w:hideMark/>
          </w:tcPr>
          <w:p w14:paraId="77252CAD" w14:textId="3E4CF27D" w:rsidR="00140B7B" w:rsidRPr="007D0010" w:rsidRDefault="009A7599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C40E4" w:rsidRPr="00E31F4D">
              <w:rPr>
                <w:rFonts w:ascii="Times New Roman" w:hAnsi="Times New Roman" w:cs="Times New Roman"/>
                <w:sz w:val="24"/>
                <w:szCs w:val="24"/>
              </w:rPr>
              <w:t>elative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7B" w:rsidRPr="00E31F4D"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  <w:r w:rsidR="00DF6DCA"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total fish </w:t>
            </w:r>
            <w:r w:rsidR="00DF6DCA" w:rsidRPr="00E31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40E4" w:rsidRPr="00E31F4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DC40E4" w:rsidRPr="00A366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F6DCA" w:rsidRPr="00E31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shd w:val="clear" w:color="auto" w:fill="F2F2F2" w:themeFill="background1" w:themeFillShade="F2"/>
            <w:noWrap/>
            <w:hideMark/>
          </w:tcPr>
          <w:p w14:paraId="682FF0FE" w14:textId="28FF83BF" w:rsidR="00140B7B" w:rsidRPr="00E31F4D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Coral Recovery Rate</w:t>
            </w:r>
            <w:r w:rsidR="009A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E9" w:rsidRPr="00E31F4D">
              <w:rPr>
                <w:rFonts w:ascii="Times New Roman" w:hAnsi="Times New Roman" w:cs="Times New Roman"/>
                <w:sz w:val="24"/>
                <w:szCs w:val="24"/>
              </w:rPr>
              <w:t>(% change)</w:t>
            </w:r>
          </w:p>
        </w:tc>
        <w:tc>
          <w:tcPr>
            <w:tcW w:w="690" w:type="pct"/>
            <w:shd w:val="clear" w:color="auto" w:fill="F2F2F2" w:themeFill="background1" w:themeFillShade="F2"/>
            <w:noWrap/>
            <w:hideMark/>
          </w:tcPr>
          <w:p w14:paraId="123D1BC4" w14:textId="5A7E5298" w:rsidR="00140B7B" w:rsidRPr="00E31F4D" w:rsidRDefault="00B14744" w:rsidP="0014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140B7B" w:rsidRPr="00E31F4D">
              <w:rPr>
                <w:rFonts w:ascii="Times New Roman" w:hAnsi="Times New Roman" w:cs="Times New Roman"/>
                <w:sz w:val="24"/>
                <w:szCs w:val="24"/>
              </w:rPr>
              <w:t>Living Coral Cove</w:t>
            </w:r>
            <w:r w:rsidR="001B33EF" w:rsidRPr="00E31F4D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  <w:r w:rsidR="000D0211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</w:p>
          <w:p w14:paraId="4D5ED95D" w14:textId="77777777" w:rsidR="00140B7B" w:rsidRPr="00E31F4D" w:rsidRDefault="00140B7B" w:rsidP="0014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CC0A8A" w:rsidRPr="00E31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33EF" w:rsidRPr="00E31F4D">
              <w:rPr>
                <w:rFonts w:ascii="Times New Roman" w:hAnsi="Times New Roman" w:cs="Times New Roman"/>
                <w:sz w:val="24"/>
                <w:szCs w:val="24"/>
              </w:rPr>
              <w:t>6 (%)</w:t>
            </w:r>
          </w:p>
        </w:tc>
      </w:tr>
      <w:tr w:rsidR="00B14744" w:rsidRPr="00E31F4D" w14:paraId="117344E5" w14:textId="77777777" w:rsidTr="00CC0A8A">
        <w:trPr>
          <w:trHeight w:val="320"/>
        </w:trPr>
        <w:tc>
          <w:tcPr>
            <w:tcW w:w="412" w:type="pct"/>
            <w:noWrap/>
            <w:hideMark/>
          </w:tcPr>
          <w:p w14:paraId="183B4AA1" w14:textId="77777777" w:rsidR="00140B7B" w:rsidRPr="007D0010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650" w:type="pct"/>
            <w:noWrap/>
            <w:hideMark/>
          </w:tcPr>
          <w:p w14:paraId="35AACD7E" w14:textId="77777777" w:rsidR="00140B7B" w:rsidRPr="00323066" w:rsidRDefault="00140B7B" w:rsidP="00B4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0.876</w:t>
            </w:r>
          </w:p>
        </w:tc>
        <w:tc>
          <w:tcPr>
            <w:tcW w:w="650" w:type="pct"/>
            <w:noWrap/>
            <w:hideMark/>
          </w:tcPr>
          <w:p w14:paraId="749A2DCB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  <w:tc>
          <w:tcPr>
            <w:tcW w:w="650" w:type="pct"/>
            <w:noWrap/>
            <w:hideMark/>
          </w:tcPr>
          <w:p w14:paraId="59DBA879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602" w:type="pct"/>
            <w:noWrap/>
            <w:hideMark/>
          </w:tcPr>
          <w:p w14:paraId="5ADB212B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699" w:type="pct"/>
            <w:noWrap/>
            <w:hideMark/>
          </w:tcPr>
          <w:p w14:paraId="23944816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CF79C0" w:rsidRPr="00E31F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7" w:type="pct"/>
            <w:noWrap/>
            <w:hideMark/>
          </w:tcPr>
          <w:p w14:paraId="0A9E4930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189.2</w:t>
            </w:r>
          </w:p>
        </w:tc>
        <w:tc>
          <w:tcPr>
            <w:tcW w:w="690" w:type="pct"/>
            <w:noWrap/>
            <w:hideMark/>
          </w:tcPr>
          <w:p w14:paraId="756A7E11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0FE9" w:rsidRPr="00E31F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B14744" w:rsidRPr="00E31F4D" w14:paraId="30BFF310" w14:textId="77777777" w:rsidTr="00CC0A8A">
        <w:trPr>
          <w:trHeight w:val="320"/>
        </w:trPr>
        <w:tc>
          <w:tcPr>
            <w:tcW w:w="412" w:type="pct"/>
            <w:noWrap/>
            <w:hideMark/>
          </w:tcPr>
          <w:p w14:paraId="0E26BC44" w14:textId="77777777" w:rsidR="00140B7B" w:rsidRPr="007D0010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</w:p>
        </w:tc>
        <w:tc>
          <w:tcPr>
            <w:tcW w:w="650" w:type="pct"/>
            <w:noWrap/>
            <w:hideMark/>
          </w:tcPr>
          <w:p w14:paraId="7F114395" w14:textId="77777777" w:rsidR="00140B7B" w:rsidRPr="00323066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650" w:type="pct"/>
            <w:noWrap/>
            <w:hideMark/>
          </w:tcPr>
          <w:p w14:paraId="545AA4E3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650" w:type="pct"/>
            <w:noWrap/>
            <w:hideMark/>
          </w:tcPr>
          <w:p w14:paraId="347478C0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602" w:type="pct"/>
            <w:noWrap/>
            <w:hideMark/>
          </w:tcPr>
          <w:p w14:paraId="734920E2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699" w:type="pct"/>
            <w:noWrap/>
            <w:hideMark/>
          </w:tcPr>
          <w:p w14:paraId="577F74B6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CF79C0" w:rsidRPr="00E31F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47" w:type="pct"/>
            <w:noWrap/>
            <w:hideMark/>
          </w:tcPr>
          <w:p w14:paraId="4FAD58A3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-21.3</w:t>
            </w:r>
          </w:p>
        </w:tc>
        <w:tc>
          <w:tcPr>
            <w:tcW w:w="690" w:type="pct"/>
            <w:noWrap/>
            <w:hideMark/>
          </w:tcPr>
          <w:p w14:paraId="482E3BFB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61.0</w:t>
            </w:r>
          </w:p>
        </w:tc>
      </w:tr>
      <w:tr w:rsidR="00B14744" w:rsidRPr="00E31F4D" w14:paraId="0E37C070" w14:textId="77777777" w:rsidTr="00CC0A8A">
        <w:trPr>
          <w:trHeight w:val="320"/>
        </w:trPr>
        <w:tc>
          <w:tcPr>
            <w:tcW w:w="412" w:type="pct"/>
            <w:noWrap/>
            <w:hideMark/>
          </w:tcPr>
          <w:p w14:paraId="4EDC6F59" w14:textId="77777777" w:rsidR="00140B7B" w:rsidRPr="007D0010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650" w:type="pct"/>
            <w:noWrap/>
            <w:hideMark/>
          </w:tcPr>
          <w:p w14:paraId="79A88E8F" w14:textId="77777777" w:rsidR="00140B7B" w:rsidRPr="00323066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0.851</w:t>
            </w:r>
          </w:p>
        </w:tc>
        <w:tc>
          <w:tcPr>
            <w:tcW w:w="650" w:type="pct"/>
            <w:noWrap/>
            <w:hideMark/>
          </w:tcPr>
          <w:p w14:paraId="5271ECFF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650" w:type="pct"/>
            <w:noWrap/>
            <w:hideMark/>
          </w:tcPr>
          <w:p w14:paraId="779DE5F3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47.1</w:t>
            </w:r>
          </w:p>
        </w:tc>
        <w:tc>
          <w:tcPr>
            <w:tcW w:w="602" w:type="pct"/>
            <w:noWrap/>
            <w:hideMark/>
          </w:tcPr>
          <w:p w14:paraId="7F8B8A05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699" w:type="pct"/>
            <w:noWrap/>
            <w:hideMark/>
          </w:tcPr>
          <w:p w14:paraId="273ACDA4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  <w:r w:rsidR="00CF79C0"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7" w:type="pct"/>
            <w:noWrap/>
            <w:hideMark/>
          </w:tcPr>
          <w:p w14:paraId="15EFCEBE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494.3</w:t>
            </w:r>
          </w:p>
        </w:tc>
        <w:tc>
          <w:tcPr>
            <w:tcW w:w="690" w:type="pct"/>
            <w:noWrap/>
            <w:hideMark/>
          </w:tcPr>
          <w:p w14:paraId="2BDB1169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</w:tr>
      <w:tr w:rsidR="00B14744" w:rsidRPr="00E31F4D" w14:paraId="428D875F" w14:textId="77777777" w:rsidTr="00CC0A8A">
        <w:trPr>
          <w:trHeight w:val="320"/>
        </w:trPr>
        <w:tc>
          <w:tcPr>
            <w:tcW w:w="412" w:type="pct"/>
            <w:noWrap/>
            <w:hideMark/>
          </w:tcPr>
          <w:p w14:paraId="0BDE539F" w14:textId="77777777" w:rsidR="00140B7B" w:rsidRPr="007D0010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650" w:type="pct"/>
            <w:noWrap/>
            <w:hideMark/>
          </w:tcPr>
          <w:p w14:paraId="6B3AA073" w14:textId="77777777" w:rsidR="00140B7B" w:rsidRPr="00323066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650" w:type="pct"/>
            <w:noWrap/>
            <w:hideMark/>
          </w:tcPr>
          <w:p w14:paraId="432A43A1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650" w:type="pct"/>
            <w:noWrap/>
            <w:hideMark/>
          </w:tcPr>
          <w:p w14:paraId="47714809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602" w:type="pct"/>
            <w:noWrap/>
            <w:hideMark/>
          </w:tcPr>
          <w:p w14:paraId="5FE56539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699" w:type="pct"/>
            <w:noWrap/>
            <w:hideMark/>
          </w:tcPr>
          <w:p w14:paraId="7E692162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CF79C0" w:rsidRPr="00E31F4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47" w:type="pct"/>
            <w:noWrap/>
            <w:hideMark/>
          </w:tcPr>
          <w:p w14:paraId="2232991A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115.2</w:t>
            </w:r>
          </w:p>
        </w:tc>
        <w:tc>
          <w:tcPr>
            <w:tcW w:w="690" w:type="pct"/>
            <w:noWrap/>
            <w:hideMark/>
          </w:tcPr>
          <w:p w14:paraId="0A282E86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</w:tr>
      <w:tr w:rsidR="00B14744" w:rsidRPr="00E31F4D" w14:paraId="24D62F97" w14:textId="77777777" w:rsidTr="00CC0A8A">
        <w:trPr>
          <w:trHeight w:val="320"/>
        </w:trPr>
        <w:tc>
          <w:tcPr>
            <w:tcW w:w="412" w:type="pct"/>
            <w:noWrap/>
            <w:hideMark/>
          </w:tcPr>
          <w:p w14:paraId="4A8F264C" w14:textId="77777777" w:rsidR="00140B7B" w:rsidRPr="007D0010" w:rsidRDefault="00140B7B" w:rsidP="0066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650" w:type="pct"/>
            <w:noWrap/>
            <w:hideMark/>
          </w:tcPr>
          <w:p w14:paraId="70BD02D4" w14:textId="77777777" w:rsidR="00140B7B" w:rsidRPr="00323066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D1"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650" w:type="pct"/>
            <w:noWrap/>
            <w:hideMark/>
          </w:tcPr>
          <w:p w14:paraId="1E227B53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650" w:type="pct"/>
            <w:noWrap/>
            <w:hideMark/>
          </w:tcPr>
          <w:p w14:paraId="2BE1DFD1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02" w:type="pct"/>
            <w:noWrap/>
            <w:hideMark/>
          </w:tcPr>
          <w:p w14:paraId="13542567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0.446</w:t>
            </w:r>
          </w:p>
        </w:tc>
        <w:tc>
          <w:tcPr>
            <w:tcW w:w="699" w:type="pct"/>
            <w:noWrap/>
            <w:hideMark/>
          </w:tcPr>
          <w:p w14:paraId="1E2B970B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79C0" w:rsidRPr="00E31F4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47" w:type="pct"/>
            <w:noWrap/>
            <w:hideMark/>
          </w:tcPr>
          <w:p w14:paraId="094E446F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-38.6</w:t>
            </w:r>
          </w:p>
        </w:tc>
        <w:tc>
          <w:tcPr>
            <w:tcW w:w="690" w:type="pct"/>
            <w:noWrap/>
            <w:hideMark/>
          </w:tcPr>
          <w:p w14:paraId="1AA41C16" w14:textId="77777777" w:rsidR="00140B7B" w:rsidRPr="00E31F4D" w:rsidRDefault="00140B7B" w:rsidP="00B46B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D0FE9" w:rsidRPr="00E31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EC8527" w14:textId="77777777" w:rsidR="00140B7B" w:rsidRPr="00E31F4D" w:rsidRDefault="00140B7B" w:rsidP="00140B7B">
      <w:pPr>
        <w:rPr>
          <w:rFonts w:ascii="Times New Roman" w:hAnsi="Times New Roman" w:cs="Times New Roman"/>
          <w:sz w:val="24"/>
          <w:szCs w:val="24"/>
        </w:rPr>
      </w:pPr>
    </w:p>
    <w:p w14:paraId="57BD0614" w14:textId="77777777" w:rsidR="00DF1081" w:rsidRPr="007452D1" w:rsidRDefault="00DF1081">
      <w:pPr>
        <w:rPr>
          <w:rFonts w:ascii="Times New Roman" w:hAnsi="Times New Roman" w:cs="Times New Roman"/>
          <w:sz w:val="24"/>
          <w:szCs w:val="24"/>
        </w:rPr>
      </w:pPr>
    </w:p>
    <w:p w14:paraId="7643097A" w14:textId="77777777" w:rsidR="00BC46AA" w:rsidRPr="00E31F4D" w:rsidRDefault="00BC46AA" w:rsidP="00A36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46AA" w:rsidRPr="00E31F4D" w:rsidSect="00A272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F6D"/>
    <w:multiLevelType w:val="hybridMultilevel"/>
    <w:tmpl w:val="3068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72"/>
    <w:rsid w:val="0002363F"/>
    <w:rsid w:val="00023F04"/>
    <w:rsid w:val="00052ED1"/>
    <w:rsid w:val="000B6AFA"/>
    <w:rsid w:val="000D0211"/>
    <w:rsid w:val="000D1EA3"/>
    <w:rsid w:val="000F3F39"/>
    <w:rsid w:val="000F4C50"/>
    <w:rsid w:val="00125E54"/>
    <w:rsid w:val="00140B7B"/>
    <w:rsid w:val="00141AFA"/>
    <w:rsid w:val="00181BC1"/>
    <w:rsid w:val="001B33EF"/>
    <w:rsid w:val="002201A3"/>
    <w:rsid w:val="002300FA"/>
    <w:rsid w:val="0023370D"/>
    <w:rsid w:val="002360F7"/>
    <w:rsid w:val="0026499F"/>
    <w:rsid w:val="00281531"/>
    <w:rsid w:val="002D4A72"/>
    <w:rsid w:val="002D4ECD"/>
    <w:rsid w:val="002F7640"/>
    <w:rsid w:val="00323066"/>
    <w:rsid w:val="003331C1"/>
    <w:rsid w:val="00392A4B"/>
    <w:rsid w:val="003A3985"/>
    <w:rsid w:val="003B414D"/>
    <w:rsid w:val="003C2980"/>
    <w:rsid w:val="003C6FAF"/>
    <w:rsid w:val="00400F5B"/>
    <w:rsid w:val="004111F3"/>
    <w:rsid w:val="004402B6"/>
    <w:rsid w:val="00461A0C"/>
    <w:rsid w:val="00462674"/>
    <w:rsid w:val="00481646"/>
    <w:rsid w:val="004B2AB3"/>
    <w:rsid w:val="004C1B50"/>
    <w:rsid w:val="005040D4"/>
    <w:rsid w:val="00526C18"/>
    <w:rsid w:val="00554CCB"/>
    <w:rsid w:val="005D6D53"/>
    <w:rsid w:val="005E0172"/>
    <w:rsid w:val="005E622A"/>
    <w:rsid w:val="005F385A"/>
    <w:rsid w:val="006663C2"/>
    <w:rsid w:val="00694C99"/>
    <w:rsid w:val="006A4DE3"/>
    <w:rsid w:val="006B170C"/>
    <w:rsid w:val="007016BF"/>
    <w:rsid w:val="0070635C"/>
    <w:rsid w:val="007452D1"/>
    <w:rsid w:val="007C13B9"/>
    <w:rsid w:val="007D0010"/>
    <w:rsid w:val="007F4AC6"/>
    <w:rsid w:val="00806CD2"/>
    <w:rsid w:val="00820A93"/>
    <w:rsid w:val="00840400"/>
    <w:rsid w:val="008B6BAA"/>
    <w:rsid w:val="00943358"/>
    <w:rsid w:val="00947C2E"/>
    <w:rsid w:val="00956AC1"/>
    <w:rsid w:val="009860FF"/>
    <w:rsid w:val="00986A9E"/>
    <w:rsid w:val="00991FBC"/>
    <w:rsid w:val="009A7599"/>
    <w:rsid w:val="009D27BF"/>
    <w:rsid w:val="009E11E9"/>
    <w:rsid w:val="00A27231"/>
    <w:rsid w:val="00A30C33"/>
    <w:rsid w:val="00A36632"/>
    <w:rsid w:val="00A601BD"/>
    <w:rsid w:val="00A629B1"/>
    <w:rsid w:val="00A64149"/>
    <w:rsid w:val="00A655B0"/>
    <w:rsid w:val="00AA7FF7"/>
    <w:rsid w:val="00AF7197"/>
    <w:rsid w:val="00B009AC"/>
    <w:rsid w:val="00B14744"/>
    <w:rsid w:val="00B237C5"/>
    <w:rsid w:val="00B27896"/>
    <w:rsid w:val="00B33BC3"/>
    <w:rsid w:val="00B46B1B"/>
    <w:rsid w:val="00B9201B"/>
    <w:rsid w:val="00BA4FE3"/>
    <w:rsid w:val="00BC46AA"/>
    <w:rsid w:val="00C15CE1"/>
    <w:rsid w:val="00C41B2D"/>
    <w:rsid w:val="00C801D7"/>
    <w:rsid w:val="00CC0A8A"/>
    <w:rsid w:val="00CF0406"/>
    <w:rsid w:val="00CF79C0"/>
    <w:rsid w:val="00D23C8A"/>
    <w:rsid w:val="00D375B0"/>
    <w:rsid w:val="00D43EDB"/>
    <w:rsid w:val="00D50FA9"/>
    <w:rsid w:val="00D6042E"/>
    <w:rsid w:val="00D90046"/>
    <w:rsid w:val="00D94C61"/>
    <w:rsid w:val="00DA3569"/>
    <w:rsid w:val="00DC40E4"/>
    <w:rsid w:val="00DF1081"/>
    <w:rsid w:val="00DF141C"/>
    <w:rsid w:val="00DF6DCA"/>
    <w:rsid w:val="00E31F4D"/>
    <w:rsid w:val="00E424D5"/>
    <w:rsid w:val="00E447C0"/>
    <w:rsid w:val="00E9774E"/>
    <w:rsid w:val="00EB190B"/>
    <w:rsid w:val="00EB77CA"/>
    <w:rsid w:val="00EC2418"/>
    <w:rsid w:val="00ED0FE9"/>
    <w:rsid w:val="00F31F1C"/>
    <w:rsid w:val="00F50003"/>
    <w:rsid w:val="00F9592C"/>
    <w:rsid w:val="00F97CA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E43A9"/>
  <w15:chartTrackingRefBased/>
  <w15:docId w15:val="{20B1CF03-B3E9-2E4E-8834-A2B89540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FA"/>
    <w:pPr>
      <w:spacing w:line="276" w:lineRule="auto"/>
    </w:pPr>
    <w:rPr>
      <w:rFonts w:ascii="Arial" w:eastAsia="PMingLiU" w:hAnsi="Arial" w:cs="Arial"/>
      <w:sz w:val="22"/>
      <w:szCs w:val="22"/>
      <w:lang w:val="e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AF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1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6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AC"/>
    <w:rPr>
      <w:rFonts w:ascii="Arial" w:eastAsia="PMingLiU" w:hAnsi="Arial" w:cs="Arial"/>
      <w:sz w:val="20"/>
      <w:szCs w:val="20"/>
      <w:lang w:val="en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AC"/>
    <w:rPr>
      <w:rFonts w:ascii="Arial" w:eastAsia="PMingLiU" w:hAnsi="Arial" w:cs="Arial"/>
      <w:b/>
      <w:bCs/>
      <w:sz w:val="20"/>
      <w:szCs w:val="20"/>
      <w:lang w:val="en" w:eastAsia="zh-TW"/>
    </w:rPr>
  </w:style>
  <w:style w:type="paragraph" w:styleId="Revision">
    <w:name w:val="Revision"/>
    <w:hidden/>
    <w:uiPriority w:val="99"/>
    <w:semiHidden/>
    <w:rsid w:val="00A601BD"/>
    <w:rPr>
      <w:rFonts w:ascii="Arial" w:eastAsia="PMingLiU" w:hAnsi="Arial" w:cs="Arial"/>
      <w:sz w:val="22"/>
      <w:szCs w:val="22"/>
      <w:lang w:val="e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16</cp:revision>
  <dcterms:created xsi:type="dcterms:W3CDTF">2020-12-04T17:24:00Z</dcterms:created>
  <dcterms:modified xsi:type="dcterms:W3CDTF">2020-12-21T23:58:00Z</dcterms:modified>
</cp:coreProperties>
</file>