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0C601" w14:textId="47F7BE42" w:rsidR="00CD3BA4" w:rsidRPr="00D45D13" w:rsidRDefault="00CD3BA4" w:rsidP="00CD3BA4">
      <w:pPr>
        <w:widowControl w:val="0"/>
        <w:spacing w:line="240" w:lineRule="auto"/>
        <w:contextualSpacing/>
        <w:rPr>
          <w:rFonts w:cs="Arial"/>
          <w:b/>
        </w:rPr>
      </w:pPr>
      <w:r w:rsidRPr="00D45D13">
        <w:rPr>
          <w:rFonts w:cs="Arial"/>
          <w:b/>
        </w:rPr>
        <w:t>Supplementary Information</w:t>
      </w:r>
    </w:p>
    <w:p w14:paraId="064AC684" w14:textId="77777777" w:rsidR="00626CAF" w:rsidRPr="00D45D13" w:rsidRDefault="00626CAF" w:rsidP="00CD3BA4">
      <w:pPr>
        <w:widowControl w:val="0"/>
        <w:spacing w:line="240" w:lineRule="auto"/>
        <w:contextualSpacing/>
        <w:rPr>
          <w:rFonts w:cs="Arial"/>
          <w:b/>
        </w:rPr>
      </w:pPr>
    </w:p>
    <w:p w14:paraId="78C46108" w14:textId="72831A0D" w:rsidR="00CD3BA4" w:rsidRPr="00D45D13" w:rsidRDefault="00626CAF" w:rsidP="00CD3BA4">
      <w:pPr>
        <w:widowControl w:val="0"/>
        <w:spacing w:line="240" w:lineRule="auto"/>
        <w:contextualSpacing/>
        <w:rPr>
          <w:rFonts w:cs="Arial"/>
          <w:b/>
        </w:rPr>
      </w:pPr>
      <w:r w:rsidRPr="00D45D13">
        <w:rPr>
          <w:rFonts w:cs="Arial"/>
          <w:b/>
        </w:rPr>
        <w:t xml:space="preserve">Supplementary </w:t>
      </w:r>
      <w:r w:rsidR="00CD3BA4" w:rsidRPr="00D45D13">
        <w:rPr>
          <w:rFonts w:cs="Arial"/>
          <w:b/>
        </w:rPr>
        <w:t>Methods</w:t>
      </w:r>
    </w:p>
    <w:p w14:paraId="14DFC18C" w14:textId="06591690" w:rsidR="00CD3BA4" w:rsidRDefault="00CD3BA4" w:rsidP="00CD3BA4">
      <w:pPr>
        <w:widowControl w:val="0"/>
        <w:spacing w:line="240" w:lineRule="auto"/>
        <w:contextualSpacing/>
        <w:rPr>
          <w:rFonts w:cs="Arial"/>
          <w:bCs/>
        </w:rPr>
      </w:pPr>
      <w:r w:rsidRPr="00D45D13">
        <w:rPr>
          <w:rFonts w:cs="Arial"/>
          <w:b/>
        </w:rPr>
        <w:t>Seeding of 2D monoculture.</w:t>
      </w:r>
      <w:r>
        <w:rPr>
          <w:rFonts w:cs="Arial"/>
          <w:b/>
        </w:rPr>
        <w:t xml:space="preserve"> </w:t>
      </w:r>
      <w:r w:rsidRPr="001C114D">
        <w:rPr>
          <w:rFonts w:cs="Arial"/>
          <w:bCs/>
        </w:rPr>
        <w:t xml:space="preserve">NIH3T3 cells stably expressing </w:t>
      </w:r>
      <w:proofErr w:type="spellStart"/>
      <w:r w:rsidRPr="001C114D">
        <w:rPr>
          <w:rFonts w:cs="Arial"/>
          <w:bCs/>
        </w:rPr>
        <w:t>Gli</w:t>
      </w:r>
      <w:proofErr w:type="spellEnd"/>
      <w:r w:rsidRPr="001C114D">
        <w:rPr>
          <w:rFonts w:cs="Arial"/>
          <w:bCs/>
        </w:rPr>
        <w:t>-responsive firefly luciferase and TK-</w:t>
      </w:r>
      <w:proofErr w:type="spellStart"/>
      <w:r w:rsidRPr="001C114D">
        <w:rPr>
          <w:rFonts w:cs="Arial"/>
          <w:bCs/>
        </w:rPr>
        <w:t>renilla</w:t>
      </w:r>
      <w:proofErr w:type="spellEnd"/>
      <w:r w:rsidRPr="001C114D">
        <w:rPr>
          <w:rFonts w:cs="Arial"/>
          <w:bCs/>
        </w:rPr>
        <w:t xml:space="preserve"> luciferase (Shh LIGHTII) were generously provided by Dr Phillip Beachy. Cells were plated in </w:t>
      </w:r>
      <w:r>
        <w:rPr>
          <w:rFonts w:cs="Arial"/>
          <w:bCs/>
        </w:rPr>
        <w:t>384 well</w:t>
      </w:r>
      <w:r w:rsidRPr="001C114D">
        <w:rPr>
          <w:rFonts w:cs="Arial"/>
          <w:bCs/>
        </w:rPr>
        <w:t xml:space="preserve"> plates (Falcon, Franklin Lakes, NJ) at 1 × 10</w:t>
      </w:r>
      <w:r w:rsidR="00D05907" w:rsidRPr="00F71CBB">
        <w:rPr>
          <w:rFonts w:cs="Arial"/>
          <w:bCs/>
          <w:vertAlign w:val="superscript"/>
        </w:rPr>
        <w:t>4</w:t>
      </w:r>
      <w:r w:rsidRPr="001C114D">
        <w:rPr>
          <w:rFonts w:cs="Arial"/>
          <w:bCs/>
        </w:rPr>
        <w:t xml:space="preserve"> cells/well in </w:t>
      </w:r>
      <w:r w:rsidR="00D05907">
        <w:rPr>
          <w:rFonts w:cs="Arial"/>
          <w:bCs/>
        </w:rPr>
        <w:t>25</w:t>
      </w:r>
      <w:r w:rsidRPr="001C114D">
        <w:rPr>
          <w:rFonts w:cs="Arial"/>
          <w:bCs/>
        </w:rPr>
        <w:t xml:space="preserve"> </w:t>
      </w:r>
      <w:proofErr w:type="spellStart"/>
      <w:r w:rsidRPr="001C114D">
        <w:rPr>
          <w:rFonts w:cs="Arial"/>
          <w:bCs/>
        </w:rPr>
        <w:t>μl</w:t>
      </w:r>
      <w:proofErr w:type="spellEnd"/>
      <w:r w:rsidRPr="001C114D">
        <w:rPr>
          <w:rFonts w:cs="Arial"/>
          <w:bCs/>
        </w:rPr>
        <w:t xml:space="preserve"> media. Cells were allowed to attach overnight, and media were replaced with DMEM containing 1% fetal calf serum (FCS) ± </w:t>
      </w:r>
      <w:r>
        <w:rPr>
          <w:rFonts w:cs="Arial"/>
          <w:bCs/>
        </w:rPr>
        <w:t>r</w:t>
      </w:r>
      <w:r w:rsidRPr="002A1E32">
        <w:rPr>
          <w:rFonts w:cs="Arial"/>
          <w:bCs/>
        </w:rPr>
        <w:t>ecombinant human  SHH ligand (0.4μg/mL final concentration), made in a stock solution at 100μg/mL in sterile-filtered 5mg/mL bovine serum albumin (BSA) in phosphate buffered saline (PBS)</w:t>
      </w:r>
      <w:r>
        <w:rPr>
          <w:rFonts w:cs="Arial"/>
          <w:bCs/>
        </w:rPr>
        <w:t xml:space="preserve">. </w:t>
      </w:r>
      <w:r w:rsidRPr="006D35C7">
        <w:rPr>
          <w:rFonts w:cs="Arial"/>
          <w:bCs/>
        </w:rPr>
        <w:t xml:space="preserve">After media were removed, SHH LightII-3T3 MEF cells were washed once in PBS. Then lysates were collected in Passive Lysis Buffer (Catalog No. E1941; Promega) and luciferase activity was assayed using the Dual-Luciferase® Reporter Assay System (Catalog No. E1910; Promega) according to manufacturer specifications. Relative light units (RLUs) for Firefly and </w:t>
      </w:r>
      <w:proofErr w:type="spellStart"/>
      <w:r w:rsidRPr="006D35C7">
        <w:rPr>
          <w:rFonts w:cs="Arial"/>
          <w:bCs/>
        </w:rPr>
        <w:t>Renilla</w:t>
      </w:r>
      <w:proofErr w:type="spellEnd"/>
      <w:r w:rsidRPr="006D35C7">
        <w:rPr>
          <w:rFonts w:cs="Arial"/>
          <w:bCs/>
        </w:rPr>
        <w:t xml:space="preserve"> luciferase were generated using a </w:t>
      </w:r>
      <w:proofErr w:type="spellStart"/>
      <w:r w:rsidR="00552FDE">
        <w:rPr>
          <w:rFonts w:cs="Arial"/>
          <w:bCs/>
        </w:rPr>
        <w:t>Enspire</w:t>
      </w:r>
      <w:proofErr w:type="spellEnd"/>
      <w:r w:rsidR="00552FDE">
        <w:rPr>
          <w:rFonts w:cs="Arial"/>
          <w:bCs/>
        </w:rPr>
        <w:t xml:space="preserve"> multimodal</w:t>
      </w:r>
      <w:r w:rsidRPr="006D35C7">
        <w:rPr>
          <w:rFonts w:cs="Arial"/>
          <w:bCs/>
        </w:rPr>
        <w:t> </w:t>
      </w:r>
      <w:r w:rsidR="00B01A33">
        <w:rPr>
          <w:rFonts w:cs="Arial"/>
          <w:bCs/>
        </w:rPr>
        <w:t>plate reader</w:t>
      </w:r>
      <w:r w:rsidRPr="006D35C7">
        <w:rPr>
          <w:rFonts w:cs="Arial"/>
          <w:bCs/>
        </w:rPr>
        <w:t xml:space="preserve"> (</w:t>
      </w:r>
      <w:r w:rsidR="00B01A33">
        <w:rPr>
          <w:rFonts w:cs="Arial"/>
          <w:bCs/>
        </w:rPr>
        <w:t>PerkinElmer</w:t>
      </w:r>
      <w:r w:rsidRPr="006D35C7">
        <w:rPr>
          <w:rFonts w:cs="Arial"/>
          <w:bCs/>
        </w:rPr>
        <w:t>).</w:t>
      </w:r>
      <w:r>
        <w:rPr>
          <w:rFonts w:cs="Arial"/>
          <w:bCs/>
        </w:rPr>
        <w:t xml:space="preserve"> </w:t>
      </w:r>
      <w:r w:rsidR="00C159DB">
        <w:rPr>
          <w:rFonts w:cs="Arial"/>
          <w:bCs/>
        </w:rPr>
        <w:t xml:space="preserve">Data were normalized </w:t>
      </w:r>
      <w:r w:rsidR="001B0556">
        <w:rPr>
          <w:rFonts w:cs="Arial"/>
          <w:bCs/>
        </w:rPr>
        <w:t>to positive and negative controls and three-parameter n</w:t>
      </w:r>
      <w:r w:rsidR="00C159DB">
        <w:rPr>
          <w:rFonts w:cs="Arial"/>
          <w:bCs/>
        </w:rPr>
        <w:t>on-line</w:t>
      </w:r>
      <w:r w:rsidR="001B0556">
        <w:rPr>
          <w:rFonts w:cs="Arial"/>
          <w:bCs/>
        </w:rPr>
        <w:t>ar regression curve fits</w:t>
      </w:r>
      <w:r w:rsidR="00CD4110">
        <w:rPr>
          <w:rFonts w:cs="Arial"/>
          <w:bCs/>
        </w:rPr>
        <w:t xml:space="preserve"> were calculated</w:t>
      </w:r>
      <w:r w:rsidR="001B0556">
        <w:rPr>
          <w:rFonts w:cs="Arial"/>
          <w:bCs/>
        </w:rPr>
        <w:t xml:space="preserve"> using </w:t>
      </w:r>
      <w:proofErr w:type="spellStart"/>
      <w:r w:rsidR="001B0556">
        <w:rPr>
          <w:rFonts w:cs="Arial"/>
          <w:bCs/>
        </w:rPr>
        <w:t>Graphpad</w:t>
      </w:r>
      <w:proofErr w:type="spellEnd"/>
      <w:r w:rsidR="001B0556">
        <w:rPr>
          <w:rFonts w:cs="Arial"/>
          <w:bCs/>
        </w:rPr>
        <w:t xml:space="preserve"> Prism.</w:t>
      </w:r>
      <w:r w:rsidR="00CD4110">
        <w:rPr>
          <w:rFonts w:cs="Arial"/>
          <w:bCs/>
        </w:rPr>
        <w:t xml:space="preserve">  Dose-response data</w:t>
      </w:r>
      <w:r w:rsidR="00930D8C">
        <w:rPr>
          <w:rFonts w:cs="Arial"/>
          <w:bCs/>
        </w:rPr>
        <w:t xml:space="preserve"> that did not show curve fits are reported as mean</w:t>
      </w:r>
      <w:r w:rsidR="00475445">
        <w:rPr>
          <w:rFonts w:cs="Arial"/>
          <w:bCs/>
        </w:rPr>
        <w:t xml:space="preserve"> +/- standard deviation.</w:t>
      </w:r>
    </w:p>
    <w:p w14:paraId="22C342DE" w14:textId="0F6130A4" w:rsidR="00742390" w:rsidRDefault="00742390" w:rsidP="00CD3BA4">
      <w:pPr>
        <w:widowControl w:val="0"/>
        <w:spacing w:line="240" w:lineRule="auto"/>
        <w:contextualSpacing/>
        <w:rPr>
          <w:rFonts w:cs="Arial"/>
          <w:bCs/>
        </w:rPr>
      </w:pPr>
    </w:p>
    <w:p w14:paraId="7AB9F5BB" w14:textId="77777777" w:rsidR="00595CB3" w:rsidRDefault="00595CB3" w:rsidP="00CD3BA4">
      <w:pPr>
        <w:widowControl w:val="0"/>
        <w:spacing w:line="240" w:lineRule="auto"/>
        <w:contextualSpacing/>
        <w:rPr>
          <w:rFonts w:cs="Arial"/>
          <w:bCs/>
        </w:rPr>
      </w:pPr>
    </w:p>
    <w:p w14:paraId="283EC095" w14:textId="77777777" w:rsidR="00E50E4A" w:rsidRDefault="00E50E4A">
      <w:pPr>
        <w:spacing w:after="160" w:line="259" w:lineRule="auto"/>
        <w:rPr>
          <w:rFonts w:cs="Arial"/>
          <w:b/>
          <w:noProof/>
        </w:rPr>
      </w:pPr>
      <w:r>
        <w:rPr>
          <w:rFonts w:cs="Arial"/>
          <w:b/>
          <w:noProof/>
        </w:rPr>
        <w:br w:type="page"/>
      </w:r>
    </w:p>
    <w:p w14:paraId="04F87CCF" w14:textId="56DFAAA9" w:rsidR="00475445" w:rsidRDefault="00F73D7F" w:rsidP="00CD3BA4">
      <w:pPr>
        <w:widowControl w:val="0"/>
        <w:spacing w:line="240" w:lineRule="auto"/>
        <w:contextualSpacing/>
        <w:rPr>
          <w:rFonts w:cs="Arial"/>
          <w:b/>
          <w:noProof/>
        </w:rPr>
      </w:pPr>
      <w:r>
        <w:rPr>
          <w:rFonts w:cs="Arial"/>
          <w:b/>
          <w:noProof/>
        </w:rPr>
        <w:lastRenderedPageBreak/>
        <w:t>Supplementary Figure</w:t>
      </w:r>
      <w:r w:rsidR="00E50E4A">
        <w:rPr>
          <w:rFonts w:cs="Arial"/>
          <w:b/>
          <w:noProof/>
        </w:rPr>
        <w:t>s</w:t>
      </w:r>
    </w:p>
    <w:p w14:paraId="5DA2F321" w14:textId="49507154" w:rsidR="00E50E4A" w:rsidRDefault="00E50E4A" w:rsidP="00CD3BA4">
      <w:pPr>
        <w:widowControl w:val="0"/>
        <w:spacing w:line="240" w:lineRule="auto"/>
        <w:contextualSpacing/>
        <w:rPr>
          <w:rFonts w:cs="Arial"/>
          <w:b/>
          <w:noProof/>
        </w:rPr>
      </w:pPr>
    </w:p>
    <w:p w14:paraId="6E4E758D" w14:textId="77777777" w:rsidR="00E50E4A" w:rsidRDefault="00E50E4A" w:rsidP="00CD3BA4">
      <w:pPr>
        <w:widowControl w:val="0"/>
        <w:spacing w:line="240" w:lineRule="auto"/>
        <w:contextualSpacing/>
        <w:rPr>
          <w:rFonts w:cs="Arial"/>
          <w:b/>
          <w:noProof/>
        </w:rPr>
      </w:pPr>
    </w:p>
    <w:p w14:paraId="27F8C204" w14:textId="68099E0E" w:rsidR="0083767B" w:rsidRPr="008A42A2" w:rsidRDefault="0083767B" w:rsidP="00CD3BA4">
      <w:pPr>
        <w:widowControl w:val="0"/>
        <w:spacing w:line="240" w:lineRule="auto"/>
        <w:contextualSpacing/>
        <w:rPr>
          <w:rFonts w:cs="Arial"/>
          <w:b/>
        </w:rPr>
      </w:pPr>
      <w:r>
        <w:rPr>
          <w:rFonts w:cs="Arial"/>
          <w:b/>
          <w:noProof/>
        </w:rPr>
        <w:drawing>
          <wp:inline distT="0" distB="0" distL="0" distR="0" wp14:anchorId="54017180" wp14:editId="3E0BF588">
            <wp:extent cx="5943600" cy="4747895"/>
            <wp:effectExtent l="0" t="0" r="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747895"/>
                    </a:xfrm>
                    <a:prstGeom prst="rect">
                      <a:avLst/>
                    </a:prstGeom>
                  </pic:spPr>
                </pic:pic>
              </a:graphicData>
            </a:graphic>
          </wp:inline>
        </w:drawing>
      </w:r>
    </w:p>
    <w:p w14:paraId="24F26DBE" w14:textId="77777777" w:rsidR="000D153F" w:rsidRPr="00595CB3" w:rsidRDefault="000D153F" w:rsidP="000D153F">
      <w:pPr>
        <w:widowControl w:val="0"/>
        <w:spacing w:line="240" w:lineRule="auto"/>
        <w:contextualSpacing/>
        <w:rPr>
          <w:rFonts w:cs="Arial"/>
          <w:bCs/>
        </w:rPr>
      </w:pPr>
      <w:r w:rsidRPr="00E50E4A">
        <w:rPr>
          <w:rFonts w:cs="Arial"/>
          <w:b/>
        </w:rPr>
        <w:t>Supplementary Figure 1</w:t>
      </w:r>
      <w:r>
        <w:rPr>
          <w:rFonts w:cs="Arial"/>
          <w:b/>
        </w:rPr>
        <w:t xml:space="preserve">.  </w:t>
      </w:r>
      <w:r w:rsidRPr="00595CB3">
        <w:rPr>
          <w:rFonts w:cs="Arial"/>
          <w:b/>
          <w:bCs/>
        </w:rPr>
        <w:t xml:space="preserve">Dose-response curves of SHH pathway inhibitors in 2D monoculture and 3D MPM. </w:t>
      </w:r>
      <w:r w:rsidRPr="00595CB3">
        <w:rPr>
          <w:rFonts w:cs="Arial"/>
        </w:rPr>
        <w:t>A) Illustration of the Sonic hedgehog inter and intracellular pathway transduction with important molecular targets numbered. B) Standard 2D assays (black) do not identify antagonists of SHH secretion including cholesterol modification (1) and SHH palmitoylation modification (2</w:t>
      </w:r>
      <w:proofErr w:type="gramStart"/>
      <w:r w:rsidRPr="00595CB3">
        <w:rPr>
          <w:rFonts w:cs="Arial"/>
        </w:rPr>
        <w:t>), but</w:t>
      </w:r>
      <w:proofErr w:type="gramEnd"/>
      <w:r w:rsidRPr="00595CB3">
        <w:rPr>
          <w:rFonts w:cs="Arial"/>
        </w:rPr>
        <w:t xml:space="preserve"> do report inhibition of SHH reception including Patched/S</w:t>
      </w:r>
      <w:r w:rsidRPr="00595CB3">
        <w:rPr>
          <w:rFonts w:cs="Arial"/>
          <w:bCs/>
        </w:rPr>
        <w:t xml:space="preserve">moothened (4) and </w:t>
      </w:r>
      <w:proofErr w:type="spellStart"/>
      <w:r w:rsidRPr="00595CB3">
        <w:rPr>
          <w:rFonts w:cs="Arial"/>
          <w:bCs/>
        </w:rPr>
        <w:t>Gli</w:t>
      </w:r>
      <w:proofErr w:type="spellEnd"/>
      <w:r w:rsidRPr="00595CB3">
        <w:rPr>
          <w:rFonts w:cs="Arial"/>
          <w:bCs/>
        </w:rPr>
        <w:t>-driven transcription (5). Non-linear regression curve fits indicate dose-responsiveness (solid lines), means and standard deviation are shown where no dose-response was identified (bar and whisker).  Data plotted with 3D MPM data presented in Fig. 5 for comparison (Blue lines)</w:t>
      </w:r>
      <w:r>
        <w:rPr>
          <w:rFonts w:cs="Arial"/>
          <w:bCs/>
        </w:rPr>
        <w:t>.</w:t>
      </w:r>
    </w:p>
    <w:p w14:paraId="67B714AA" w14:textId="77777777" w:rsidR="00805CB9" w:rsidRDefault="00805CB9"/>
    <w:sectPr w:rsidR="00805CB9" w:rsidSect="00F2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A4"/>
    <w:rsid w:val="000D153F"/>
    <w:rsid w:val="001B0556"/>
    <w:rsid w:val="00216981"/>
    <w:rsid w:val="00246859"/>
    <w:rsid w:val="00305EFE"/>
    <w:rsid w:val="00475445"/>
    <w:rsid w:val="00552FDE"/>
    <w:rsid w:val="00595CB3"/>
    <w:rsid w:val="00626CAF"/>
    <w:rsid w:val="00742390"/>
    <w:rsid w:val="007E7897"/>
    <w:rsid w:val="00805CB9"/>
    <w:rsid w:val="0083767B"/>
    <w:rsid w:val="00930D8C"/>
    <w:rsid w:val="00B01A33"/>
    <w:rsid w:val="00B53C09"/>
    <w:rsid w:val="00B9461A"/>
    <w:rsid w:val="00C159DB"/>
    <w:rsid w:val="00CD3BA4"/>
    <w:rsid w:val="00CD4110"/>
    <w:rsid w:val="00D05907"/>
    <w:rsid w:val="00D45D13"/>
    <w:rsid w:val="00D75DBD"/>
    <w:rsid w:val="00E50E4A"/>
    <w:rsid w:val="00F20336"/>
    <w:rsid w:val="00F71CBB"/>
    <w:rsid w:val="00F7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C8ED"/>
  <w15:chartTrackingRefBased/>
  <w15:docId w15:val="{32396CC1-A5AB-41A2-9164-55F6DC13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BA4"/>
    <w:rPr>
      <w:sz w:val="16"/>
      <w:szCs w:val="16"/>
    </w:rPr>
  </w:style>
  <w:style w:type="paragraph" w:styleId="CommentText">
    <w:name w:val="annotation text"/>
    <w:basedOn w:val="Normal"/>
    <w:link w:val="CommentTextChar"/>
    <w:uiPriority w:val="99"/>
    <w:unhideWhenUsed/>
    <w:rsid w:val="00CD3BA4"/>
    <w:pPr>
      <w:spacing w:after="160" w:line="240" w:lineRule="auto"/>
    </w:pPr>
    <w:rPr>
      <w:sz w:val="20"/>
      <w:szCs w:val="20"/>
    </w:rPr>
  </w:style>
  <w:style w:type="character" w:customStyle="1" w:styleId="CommentTextChar">
    <w:name w:val="Comment Text Char"/>
    <w:basedOn w:val="DefaultParagraphFont"/>
    <w:link w:val="CommentText"/>
    <w:uiPriority w:val="99"/>
    <w:rsid w:val="00CD3BA4"/>
    <w:rPr>
      <w:sz w:val="20"/>
      <w:szCs w:val="20"/>
    </w:rPr>
  </w:style>
  <w:style w:type="paragraph" w:styleId="BalloonText">
    <w:name w:val="Balloon Text"/>
    <w:basedOn w:val="Normal"/>
    <w:link w:val="BalloonTextChar"/>
    <w:uiPriority w:val="99"/>
    <w:semiHidden/>
    <w:unhideWhenUsed/>
    <w:rsid w:val="00CD3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4"/>
    <w:rPr>
      <w:rFonts w:ascii="Segoe UI" w:hAnsi="Segoe UI" w:cs="Segoe UI"/>
      <w:sz w:val="18"/>
      <w:szCs w:val="18"/>
    </w:rPr>
  </w:style>
  <w:style w:type="character" w:styleId="LineNumber">
    <w:name w:val="line number"/>
    <w:basedOn w:val="DefaultParagraphFont"/>
    <w:uiPriority w:val="99"/>
    <w:semiHidden/>
    <w:unhideWhenUsed/>
    <w:rsid w:val="007E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7CCFCA6A3B34E9A3F6414A98AC01E" ma:contentTypeVersion="4" ma:contentTypeDescription="Create a new document." ma:contentTypeScope="" ma:versionID="dbb9237b40f7e891fdccee9e6eefbaf7">
  <xsd:schema xmlns:xsd="http://www.w3.org/2001/XMLSchema" xmlns:xs="http://www.w3.org/2001/XMLSchema" xmlns:p="http://schemas.microsoft.com/office/2006/metadata/properties" xmlns:ns2="c1d93684-a62e-4e4f-9e9c-be6da86a6c1f" targetNamespace="http://schemas.microsoft.com/office/2006/metadata/properties" ma:root="true" ma:fieldsID="d094c0fe5815a1a48ecee7fd669a93ee" ns2:_="">
    <xsd:import namespace="c1d93684-a62e-4e4f-9e9c-be6da86a6c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93684-a62e-4e4f-9e9c-be6da86a6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9B1E6AE-6DF5-4B99-BA28-278035D1F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44996F-3AF6-4CAB-A0C9-B9F9709CCC02}">
  <ds:schemaRefs>
    <ds:schemaRef ds:uri="http://schemas.microsoft.com/sharepoint/v3/contenttype/forms"/>
  </ds:schemaRefs>
</ds:datastoreItem>
</file>

<file path=customXml/itemProps3.xml><?xml version="1.0" encoding="utf-8"?>
<ds:datastoreItem xmlns:ds="http://schemas.openxmlformats.org/officeDocument/2006/customXml" ds:itemID="{7A3E091F-EACD-4249-B556-C0C7F6C68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93684-a62e-4e4f-9e9c-be6da86a6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62F74-6BCA-47C0-9F49-4B8B51DA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Johnson</dc:creator>
  <cp:keywords/>
  <dc:description/>
  <cp:lastModifiedBy>Frontiers Media SA</cp:lastModifiedBy>
  <cp:revision>4</cp:revision>
  <dcterms:created xsi:type="dcterms:W3CDTF">2020-10-26T07:24:00Z</dcterms:created>
  <dcterms:modified xsi:type="dcterms:W3CDTF">2021-01-08T12:11:00Z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0x010100C197CCFCA6A3B34E9A3F6414A98AC01E</vt:lpwstr>
  </property>
</Properties>
</file>