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187EF" w14:textId="77777777" w:rsidR="004D36AB" w:rsidRPr="00B90D86" w:rsidRDefault="00224FEF" w:rsidP="00224FEF">
      <w:pPr>
        <w:spacing w:line="360" w:lineRule="auto"/>
        <w:jc w:val="both"/>
        <w:rPr>
          <w:rFonts w:ascii="Arial" w:hAnsi="Arial" w:cs="Arial"/>
          <w:b/>
          <w:bCs/>
          <w:lang w:val="en-GB"/>
        </w:rPr>
      </w:pPr>
      <w:bookmarkStart w:id="0" w:name="_Toc19291589"/>
      <w:r w:rsidRPr="00B90D86">
        <w:rPr>
          <w:rFonts w:ascii="Arial" w:hAnsi="Arial" w:cs="Arial"/>
          <w:b/>
          <w:bCs/>
          <w:lang w:val="en-GB"/>
        </w:rPr>
        <w:t>Supplementary Materials and Methods</w:t>
      </w:r>
      <w:bookmarkEnd w:id="0"/>
    </w:p>
    <w:p w14:paraId="4998D80E" w14:textId="77777777" w:rsidR="004D36AB" w:rsidRPr="00B90D86" w:rsidRDefault="00224FEF" w:rsidP="00224FEF">
      <w:pPr>
        <w:spacing w:line="360" w:lineRule="auto"/>
        <w:jc w:val="both"/>
        <w:rPr>
          <w:rFonts w:ascii="Arial" w:hAnsi="Arial" w:cs="Arial"/>
          <w:b/>
          <w:bCs/>
          <w:i/>
          <w:iCs/>
        </w:rPr>
      </w:pPr>
      <w:bookmarkStart w:id="1" w:name="_Toc19291590"/>
      <w:r w:rsidRPr="00B90D86">
        <w:rPr>
          <w:rFonts w:ascii="Arial" w:hAnsi="Arial" w:cs="Arial"/>
          <w:b/>
          <w:bCs/>
          <w:i/>
          <w:iCs/>
        </w:rPr>
        <w:t>CD26/DPP-4 enzymatic activity</w:t>
      </w:r>
      <w:bookmarkEnd w:id="1"/>
    </w:p>
    <w:p w14:paraId="07A57113" w14:textId="77777777" w:rsidR="004D36AB" w:rsidRPr="00B90D86" w:rsidRDefault="00224FEF" w:rsidP="00224FEF">
      <w:pPr>
        <w:spacing w:line="360" w:lineRule="auto"/>
        <w:jc w:val="both"/>
        <w:rPr>
          <w:rFonts w:ascii="Arial" w:hAnsi="Arial" w:cs="Arial"/>
        </w:rPr>
      </w:pPr>
      <w:r w:rsidRPr="00B90D86">
        <w:rPr>
          <w:rFonts w:ascii="Arial" w:hAnsi="Arial" w:cs="Arial"/>
        </w:rPr>
        <w:t xml:space="preserve">Serum from total blood was measured for DPP-4 activity using a </w:t>
      </w:r>
      <w:proofErr w:type="spellStart"/>
      <w:r w:rsidRPr="00B90D86">
        <w:rPr>
          <w:rFonts w:ascii="Arial" w:hAnsi="Arial" w:cs="Arial"/>
        </w:rPr>
        <w:t>fluorimetric</w:t>
      </w:r>
      <w:proofErr w:type="spellEnd"/>
      <w:r w:rsidRPr="00B90D86">
        <w:rPr>
          <w:rFonts w:ascii="Arial" w:hAnsi="Arial" w:cs="Arial"/>
        </w:rPr>
        <w:t xml:space="preserve"> assay with 200 </w:t>
      </w:r>
      <w:proofErr w:type="spellStart"/>
      <w:r w:rsidRPr="00B90D86">
        <w:rPr>
          <w:rFonts w:ascii="Arial" w:hAnsi="Arial" w:cs="Arial"/>
        </w:rPr>
        <w:t>uM</w:t>
      </w:r>
      <w:proofErr w:type="spellEnd"/>
      <w:r w:rsidRPr="00B90D86">
        <w:rPr>
          <w:rFonts w:ascii="Arial" w:hAnsi="Arial" w:cs="Arial"/>
        </w:rPr>
        <w:t xml:space="preserve"> of the substrate H-</w:t>
      </w:r>
      <w:proofErr w:type="spellStart"/>
      <w:r w:rsidRPr="00B90D86">
        <w:rPr>
          <w:rFonts w:ascii="Arial" w:hAnsi="Arial" w:cs="Arial"/>
        </w:rPr>
        <w:t>Gly</w:t>
      </w:r>
      <w:proofErr w:type="spellEnd"/>
      <w:r w:rsidRPr="00B90D86">
        <w:rPr>
          <w:rFonts w:ascii="Arial" w:hAnsi="Arial" w:cs="Arial"/>
        </w:rPr>
        <w:t xml:space="preserve">-Pro-AMC HBr (#I-1225, </w:t>
      </w:r>
      <w:proofErr w:type="spellStart"/>
      <w:r w:rsidRPr="00B90D86">
        <w:rPr>
          <w:rFonts w:ascii="Arial" w:hAnsi="Arial" w:cs="Arial"/>
        </w:rPr>
        <w:t>Bachem</w:t>
      </w:r>
      <w:proofErr w:type="spellEnd"/>
      <w:r w:rsidRPr="00B90D86">
        <w:rPr>
          <w:rFonts w:ascii="Arial" w:hAnsi="Arial" w:cs="Arial"/>
        </w:rPr>
        <w:t xml:space="preserve">, </w:t>
      </w:r>
      <w:proofErr w:type="spellStart"/>
      <w:r w:rsidRPr="00B90D86">
        <w:rPr>
          <w:rFonts w:ascii="Arial" w:hAnsi="Arial" w:cs="Arial"/>
        </w:rPr>
        <w:t>Bubendorf</w:t>
      </w:r>
      <w:proofErr w:type="spellEnd"/>
      <w:r w:rsidRPr="00B90D86">
        <w:rPr>
          <w:rFonts w:ascii="Arial" w:hAnsi="Arial" w:cs="Arial"/>
        </w:rPr>
        <w:t>, Switzerland). Measurements at excitation/emission 360/460 nm were taken every 5 minutes during one hour and the slope of fluorescence was used as measure of cleaved substrate by CD26/DPP-4, reported as arbitrary units.</w:t>
      </w:r>
    </w:p>
    <w:p w14:paraId="70EF8D2A" w14:textId="77777777" w:rsidR="004D36AB" w:rsidRPr="00B90D86" w:rsidRDefault="00224FEF" w:rsidP="00224FEF">
      <w:pPr>
        <w:spacing w:line="360" w:lineRule="auto"/>
        <w:jc w:val="both"/>
        <w:rPr>
          <w:rFonts w:ascii="Arial" w:hAnsi="Arial" w:cs="Arial"/>
          <w:b/>
          <w:bCs/>
          <w:i/>
          <w:iCs/>
        </w:rPr>
      </w:pPr>
      <w:bookmarkStart w:id="2" w:name="_Toc19291591"/>
      <w:r w:rsidRPr="00B90D86">
        <w:rPr>
          <w:rFonts w:ascii="Arial" w:hAnsi="Arial" w:cs="Arial"/>
          <w:b/>
          <w:bCs/>
          <w:i/>
          <w:iCs/>
        </w:rPr>
        <w:t>Monocyte transfers</w:t>
      </w:r>
      <w:bookmarkEnd w:id="2"/>
    </w:p>
    <w:p w14:paraId="310764FE" w14:textId="63ED652A" w:rsidR="004D36AB" w:rsidRPr="00B90D86" w:rsidRDefault="00224FEF" w:rsidP="00224FEF">
      <w:pPr>
        <w:spacing w:line="360" w:lineRule="auto"/>
        <w:jc w:val="both"/>
        <w:rPr>
          <w:rFonts w:ascii="Arial" w:hAnsi="Arial" w:cs="Arial"/>
        </w:rPr>
      </w:pPr>
      <w:r w:rsidRPr="00B90D86">
        <w:rPr>
          <w:rFonts w:ascii="Arial" w:hAnsi="Arial" w:cs="Arial"/>
        </w:rPr>
        <w:t>To track recruited macrophages in the liver we isolated monocytes from the spleen of B6.Actin-GFP mice as previously described</w:t>
      </w:r>
      <w:r w:rsidR="00BE5757" w:rsidRPr="00B90D86">
        <w:rPr>
          <w:rFonts w:ascii="Arial" w:hAnsi="Arial" w:cs="Arial"/>
        </w:rPr>
        <w:t xml:space="preserve"> </w:t>
      </w:r>
      <w:r w:rsidRPr="00B90D86">
        <w:rPr>
          <w:rFonts w:ascii="Arial" w:hAnsi="Arial" w:cs="Arial"/>
        </w:rPr>
        <w:fldChar w:fldCharType="begin" w:fldLock="1"/>
      </w:r>
      <w:r w:rsidR="00D64033" w:rsidRPr="00B90D86">
        <w:rPr>
          <w:rFonts w:ascii="Arial" w:hAnsi="Arial" w:cs="Arial"/>
        </w:rPr>
        <w:instrText>ADDIN CSL_CITATION {"citationItems":[{"id":"ITEM-1","itemData":{"DOI":"10.1371/journal.ppat.1004080","ISBN":"1530-6860 (Electronic)\\r0892-6638 (Linking)","ISSN":"15537374","PMID":"24967715","abstract":"Alternatively activated macrophages (AAM) that accumulate during chronic T helper 2 inflammatory conditions may arise through proliferation of resident macrophages or recruitment of monocyte-derived cells. Liver granulomas that form around eggs of the helminth parasite Schistosoma mansoni require AAM to limit tissue damage. Here, we characterized monocyte and macrophage dynamics in the livers of infected CX3CR1(GFP/+) mice. CX</w:instrText>
      </w:r>
      <w:r w:rsidR="00D64033" w:rsidRPr="00B90D86">
        <w:rPr>
          <w:rFonts w:ascii="Cambria Math" w:hAnsi="Cambria Math" w:cs="Cambria Math"/>
        </w:rPr>
        <w:instrText>₃</w:instrText>
      </w:r>
      <w:r w:rsidR="00D64033" w:rsidRPr="00B90D86">
        <w:rPr>
          <w:rFonts w:ascii="Arial" w:hAnsi="Arial" w:cs="Arial"/>
        </w:rPr>
        <w:instrText>CR1-GFP</w:instrText>
      </w:r>
      <w:r w:rsidR="00D64033" w:rsidRPr="00B90D86">
        <w:rPr>
          <w:rFonts w:ascii="Cambria Math" w:hAnsi="Cambria Math" w:cs="Cambria Math"/>
        </w:rPr>
        <w:instrText>⁺</w:instrText>
      </w:r>
      <w:r w:rsidR="00D64033" w:rsidRPr="00B90D86">
        <w:rPr>
          <w:rFonts w:ascii="Arial" w:hAnsi="Arial" w:cs="Arial"/>
        </w:rPr>
        <w:instrText xml:space="preserve"> monocytes and macrophages accumulated around eggs and in granulomas during infection and upregulated PD-L2 expression, indicating differentiation into AAM. Intravital imaging of CX</w:instrText>
      </w:r>
      <w:r w:rsidR="00D64033" w:rsidRPr="00B90D86">
        <w:rPr>
          <w:rFonts w:ascii="Cambria Math" w:hAnsi="Cambria Math" w:cs="Cambria Math"/>
        </w:rPr>
        <w:instrText>₃</w:instrText>
      </w:r>
      <w:r w:rsidR="00D64033" w:rsidRPr="00B90D86">
        <w:rPr>
          <w:rFonts w:ascii="Arial" w:hAnsi="Arial" w:cs="Arial"/>
        </w:rPr>
        <w:instrText>CR1-GFP</w:instrText>
      </w:r>
      <w:r w:rsidR="00D64033" w:rsidRPr="00B90D86">
        <w:rPr>
          <w:rFonts w:ascii="Cambria Math" w:hAnsi="Cambria Math" w:cs="Cambria Math"/>
        </w:rPr>
        <w:instrText>⁺</w:instrText>
      </w:r>
      <w:r w:rsidR="00D64033" w:rsidRPr="00B90D86">
        <w:rPr>
          <w:rFonts w:ascii="Arial" w:hAnsi="Arial" w:cs="Arial"/>
        </w:rPr>
        <w:instrText xml:space="preserve"> Ly6C(low) monocytes revealed alterations in patrolling behavior including arrest around eggs that were not encased in granulomas. Differential labeling of CX</w:instrText>
      </w:r>
      <w:r w:rsidR="00D64033" w:rsidRPr="00B90D86">
        <w:rPr>
          <w:rFonts w:ascii="Cambria Math" w:hAnsi="Cambria Math" w:cs="Cambria Math"/>
        </w:rPr>
        <w:instrText>₃</w:instrText>
      </w:r>
      <w:r w:rsidR="00D64033" w:rsidRPr="00B90D86">
        <w:rPr>
          <w:rFonts w:ascii="Arial" w:hAnsi="Arial" w:cs="Arial"/>
        </w:rPr>
        <w:instrText>CR1-GFP</w:instrText>
      </w:r>
      <w:r w:rsidR="00D64033" w:rsidRPr="00B90D86">
        <w:rPr>
          <w:rFonts w:ascii="Cambria Math" w:hAnsi="Cambria Math" w:cs="Cambria Math"/>
        </w:rPr>
        <w:instrText>⁺</w:instrText>
      </w:r>
      <w:r w:rsidR="00D64033" w:rsidRPr="00B90D86">
        <w:rPr>
          <w:rFonts w:ascii="Arial" w:hAnsi="Arial" w:cs="Arial"/>
        </w:rPr>
        <w:instrText xml:space="preserve"> cells in the blood and the tissue showed CD4</w:instrText>
      </w:r>
      <w:r w:rsidR="00D64033" w:rsidRPr="00B90D86">
        <w:rPr>
          <w:rFonts w:ascii="Cambria Math" w:hAnsi="Cambria Math" w:cs="Cambria Math"/>
        </w:rPr>
        <w:instrText>⁺</w:instrText>
      </w:r>
      <w:r w:rsidR="00D64033" w:rsidRPr="00B90D86">
        <w:rPr>
          <w:rFonts w:ascii="Arial" w:hAnsi="Arial" w:cs="Arial"/>
        </w:rPr>
        <w:instrText xml:space="preserve"> T cell dependent accumulation of PD-L2</w:instrText>
      </w:r>
      <w:r w:rsidR="00D64033" w:rsidRPr="00B90D86">
        <w:rPr>
          <w:rFonts w:ascii="Cambria Math" w:hAnsi="Cambria Math" w:cs="Cambria Math"/>
        </w:rPr>
        <w:instrText>⁺</w:instrText>
      </w:r>
      <w:r w:rsidR="00D64033" w:rsidRPr="00B90D86">
        <w:rPr>
          <w:rFonts w:ascii="Arial" w:hAnsi="Arial" w:cs="Arial"/>
        </w:rPr>
        <w:instrText xml:space="preserve"> CX</w:instrText>
      </w:r>
      <w:r w:rsidR="00D64033" w:rsidRPr="00B90D86">
        <w:rPr>
          <w:rFonts w:ascii="Cambria Math" w:hAnsi="Cambria Math" w:cs="Cambria Math"/>
        </w:rPr>
        <w:instrText>₃</w:instrText>
      </w:r>
      <w:r w:rsidR="00D64033" w:rsidRPr="00B90D86">
        <w:rPr>
          <w:rFonts w:ascii="Arial" w:hAnsi="Arial" w:cs="Arial"/>
        </w:rPr>
        <w:instrText>CR1-GFP</w:instrText>
      </w:r>
      <w:r w:rsidR="00D64033" w:rsidRPr="00B90D86">
        <w:rPr>
          <w:rFonts w:ascii="Cambria Math" w:hAnsi="Cambria Math" w:cs="Cambria Math"/>
        </w:rPr>
        <w:instrText>⁺</w:instrText>
      </w:r>
      <w:r w:rsidR="00D64033" w:rsidRPr="00B90D86">
        <w:rPr>
          <w:rFonts w:ascii="Arial" w:hAnsi="Arial" w:cs="Arial"/>
        </w:rPr>
        <w:instrText xml:space="preserve"> AAM in the tissues as granulomas form. By adoptive transfer of Ly6C(high) and Ly6C(low) monocytes into infected mice, we found that AAM originate primarily from transferred Ly6C(high) monocytes, but that these cells may transition through a Ly6C(low) state and adopt patrolling behavior in the vasculature. Thus, during chronic helminth infection AAM can arise from recruited Ly6C(high) monocytes via help from CD4</w:instrText>
      </w:r>
      <w:r w:rsidR="00D64033" w:rsidRPr="00B90D86">
        <w:rPr>
          <w:rFonts w:ascii="Cambria Math" w:hAnsi="Cambria Math" w:cs="Cambria Math"/>
        </w:rPr>
        <w:instrText>⁺</w:instrText>
      </w:r>
      <w:r w:rsidR="00D64033" w:rsidRPr="00B90D86">
        <w:rPr>
          <w:rFonts w:ascii="Arial" w:hAnsi="Arial" w:cs="Arial"/>
        </w:rPr>
        <w:instrText xml:space="preserve"> T cells.","author":[{"dropping-particle":"","family":"Girgis","given":"Natasha M.","non-dropping-particle":"","parse-names":false,"suffix":""},{"dropping-particle":"","family":"Gundra","given":"Uma Mahesh","non-dropping-particle":"","parse-names":false,"suffix":""},{"dropping-particle":"","family":"Ward","given":"Lauren N.","non-dropping-particle":"","parse-names":false,"suffix":""},{"dropping-particle":"","family":"Cabrera","given":"Mynthia","non-dropping-particle":"","parse-names":false,"suffix":""},{"dropping-particle":"","family":"Frevert","given":"Ute","non-dropping-particle":"","parse-names":false,"suffix":""},{"dropping-particle":"","family":"Loke","given":"P'ng","non-dropping-particle":"","parse-names":false,"suffix":""}],"container-title":"PLoS Pathogens","id":"ITEM-1","issue":"6","issued":{"date-parts":[["2014"]]},"title":"Ly6Chigh Monocytes Become Alternatively Activated Macrophages in Schistosome Granulomas with Help from CD4+ Cells","type":"article-journal","volume":"10"},"uris":["http://www.mendeley.com/documents/?uuid=543614ca-3569-4e3e-93f0-6abe0e17a2d8"]}],"mendeley":{"formattedCitation":"(1)","plainTextFormattedCitation":"(1)","previouslyFormattedCitation":"(Girgis et al. 2014)"},"properties":{"noteIndex":0},"schema":"https://github.com/citation-style-language/schema/raw/master/csl-citation.json"}</w:instrText>
      </w:r>
      <w:r w:rsidRPr="00B90D86">
        <w:rPr>
          <w:rFonts w:ascii="Arial" w:hAnsi="Arial" w:cs="Arial"/>
        </w:rPr>
        <w:fldChar w:fldCharType="separate"/>
      </w:r>
      <w:r w:rsidR="00D64033" w:rsidRPr="00B90D86">
        <w:rPr>
          <w:rFonts w:ascii="Arial" w:hAnsi="Arial" w:cs="Arial"/>
          <w:noProof/>
        </w:rPr>
        <w:t>(1)</w:t>
      </w:r>
      <w:r w:rsidRPr="00B90D86">
        <w:rPr>
          <w:rFonts w:ascii="Arial" w:hAnsi="Arial" w:cs="Arial"/>
        </w:rPr>
        <w:fldChar w:fldCharType="end"/>
      </w:r>
      <w:r w:rsidRPr="00B90D86">
        <w:rPr>
          <w:rFonts w:ascii="Arial" w:hAnsi="Arial" w:cs="Arial"/>
        </w:rPr>
        <w:t xml:space="preserve">. Briefly, spleens were collected, smashed and red blood cells lysed. Cells were firstly stained with biotinylated anti-TCR-β, anti-B220 and anti-NK1.1 </w:t>
      </w:r>
      <w:proofErr w:type="gramStart"/>
      <w:r w:rsidRPr="00B90D86">
        <w:rPr>
          <w:rFonts w:ascii="Arial" w:hAnsi="Arial" w:cs="Arial"/>
        </w:rPr>
        <w:t>antibodies</w:t>
      </w:r>
      <w:proofErr w:type="gramEnd"/>
      <w:r w:rsidRPr="00B90D86">
        <w:rPr>
          <w:rFonts w:ascii="Arial" w:hAnsi="Arial" w:cs="Arial"/>
        </w:rPr>
        <w:t xml:space="preserve"> and depleted with anti-biotin microbeads using MACS LD columns (MACS- </w:t>
      </w:r>
      <w:proofErr w:type="spellStart"/>
      <w:r w:rsidRPr="00B90D86">
        <w:rPr>
          <w:rFonts w:ascii="Arial" w:hAnsi="Arial" w:cs="Arial"/>
        </w:rPr>
        <w:t>Miltenyl</w:t>
      </w:r>
      <w:proofErr w:type="spellEnd"/>
      <w:r w:rsidRPr="00B90D86">
        <w:rPr>
          <w:rFonts w:ascii="Arial" w:hAnsi="Arial" w:cs="Arial"/>
        </w:rPr>
        <w:t xml:space="preserve"> </w:t>
      </w:r>
      <w:proofErr w:type="spellStart"/>
      <w:r w:rsidRPr="00B90D86">
        <w:rPr>
          <w:rFonts w:ascii="Arial" w:hAnsi="Arial" w:cs="Arial"/>
        </w:rPr>
        <w:t>Biotec</w:t>
      </w:r>
      <w:proofErr w:type="spellEnd"/>
      <w:r w:rsidRPr="00B90D86">
        <w:rPr>
          <w:rFonts w:ascii="Arial" w:hAnsi="Arial" w:cs="Arial"/>
        </w:rPr>
        <w:t>). GFP-labeled monocytes, identified as Mac1</w:t>
      </w:r>
      <w:r w:rsidRPr="00B90D86">
        <w:rPr>
          <w:rFonts w:ascii="Arial" w:hAnsi="Arial" w:cs="Arial"/>
          <w:vertAlign w:val="superscript"/>
        </w:rPr>
        <w:t>+</w:t>
      </w:r>
      <w:r w:rsidRPr="00B90D86">
        <w:rPr>
          <w:rFonts w:ascii="Arial" w:hAnsi="Arial" w:cs="Arial"/>
        </w:rPr>
        <w:t xml:space="preserve"> and Ly6c</w:t>
      </w:r>
      <w:r w:rsidRPr="00B90D86">
        <w:rPr>
          <w:rFonts w:ascii="Arial" w:hAnsi="Arial" w:cs="Arial"/>
          <w:vertAlign w:val="superscript"/>
        </w:rPr>
        <w:t>+</w:t>
      </w:r>
      <w:r w:rsidRPr="00B90D86">
        <w:rPr>
          <w:rFonts w:ascii="Arial" w:hAnsi="Arial" w:cs="Arial"/>
        </w:rPr>
        <w:t xml:space="preserve"> by flow cytometry were counted and 2.5x10</w:t>
      </w:r>
      <w:r w:rsidRPr="00B90D86">
        <w:rPr>
          <w:rFonts w:ascii="Arial" w:hAnsi="Arial" w:cs="Arial"/>
          <w:vertAlign w:val="superscript"/>
        </w:rPr>
        <w:t>6</w:t>
      </w:r>
      <w:r w:rsidRPr="00B90D86">
        <w:rPr>
          <w:rFonts w:ascii="Arial" w:hAnsi="Arial" w:cs="Arial"/>
        </w:rPr>
        <w:t xml:space="preserve"> cells were injected intravenously in wild-type recipients. (See antibodies table below).</w:t>
      </w:r>
    </w:p>
    <w:p w14:paraId="03BA2AEF" w14:textId="77777777" w:rsidR="004D36AB" w:rsidRPr="00B90D86" w:rsidRDefault="00224FEF" w:rsidP="00224FEF">
      <w:pPr>
        <w:spacing w:line="360" w:lineRule="auto"/>
        <w:jc w:val="both"/>
        <w:rPr>
          <w:rFonts w:ascii="Arial" w:hAnsi="Arial" w:cs="Arial"/>
          <w:b/>
          <w:bCs/>
          <w:i/>
          <w:iCs/>
        </w:rPr>
      </w:pPr>
      <w:bookmarkStart w:id="3" w:name="_Toc19291592"/>
      <w:r w:rsidRPr="00B90D86">
        <w:rPr>
          <w:rFonts w:ascii="Arial" w:hAnsi="Arial" w:cs="Arial"/>
          <w:b/>
          <w:bCs/>
          <w:i/>
          <w:iCs/>
        </w:rPr>
        <w:t>Image Analysis</w:t>
      </w:r>
      <w:bookmarkEnd w:id="3"/>
      <w:r w:rsidRPr="00B90D86">
        <w:rPr>
          <w:rFonts w:ascii="Arial" w:hAnsi="Arial" w:cs="Arial"/>
          <w:b/>
          <w:bCs/>
          <w:i/>
          <w:iCs/>
        </w:rPr>
        <w:t xml:space="preserve"> </w:t>
      </w:r>
    </w:p>
    <w:p w14:paraId="180DD151" w14:textId="0819E307" w:rsidR="004D36AB" w:rsidRPr="00B90D86" w:rsidRDefault="00224FEF" w:rsidP="00224FEF">
      <w:pPr>
        <w:spacing w:line="360" w:lineRule="auto"/>
        <w:jc w:val="both"/>
        <w:rPr>
          <w:rFonts w:ascii="Arial" w:hAnsi="Arial" w:cs="Arial"/>
        </w:rPr>
      </w:pPr>
      <w:r w:rsidRPr="00B90D86">
        <w:rPr>
          <w:rFonts w:ascii="Arial" w:hAnsi="Arial" w:cs="Arial"/>
        </w:rPr>
        <w:t>Quantification of F4/80 fluorescence was obtained by thresholding each stitched tile using the Mean Auto-Threshold algorithm of FIJI software package</w:t>
      </w:r>
      <w:r w:rsidR="00BE5757" w:rsidRPr="00B90D86">
        <w:rPr>
          <w:rFonts w:ascii="Arial" w:hAnsi="Arial" w:cs="Arial"/>
        </w:rPr>
        <w:t xml:space="preserve"> </w:t>
      </w:r>
      <w:r w:rsidRPr="00B90D86">
        <w:rPr>
          <w:rFonts w:ascii="Arial" w:hAnsi="Arial" w:cs="Arial"/>
        </w:rPr>
        <w:fldChar w:fldCharType="begin" w:fldLock="1"/>
      </w:r>
      <w:r w:rsidR="00D64033" w:rsidRPr="00B90D86">
        <w:rPr>
          <w:rFonts w:ascii="Arial" w:hAnsi="Arial" w:cs="Arial"/>
        </w:rPr>
        <w:instrText>ADDIN CSL_CITATION {"citationItems":[{"id":"ITEM-1","itemData":{"DOI":"10.1038/nmeth.2019","ISSN":"15487091","abstract":"Fiji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author":[{"dropping-particle":"","family":"Schindelin","given":"Johannes","non-dropping-particle":"","parse-names":false,"suffix":""},{"dropping-particle":"","family":"Arganda-Carreras","given":"Ignacio","non-dropping-particle":"","parse-names":false,"suffix":""},{"dropping-particle":"","family":"Frise","given":"Erwin","non-dropping-particle":"","parse-names":false,"suffix":""},{"dropping-particle":"","family":"Kaynig","given":"Verena","non-dropping-particle":"","parse-names":false,"suffix":""},{"dropping-particle":"","family":"Longair","given":"Mark","non-dropping-particle":"","parse-names":false,"suffix":""},{"dropping-particle":"","family":"Pietzsch","given":"Tobias","non-dropping-particle":"","parse-names":false,"suffix":""},{"dropping-particle":"","family":"Preibisch","given":"Stephan","non-dropping-particle":"","parse-names":false,"suffix":""},{"dropping-particle":"","family":"Rueden","given":"Curtis","non-dropping-particle":"","parse-names":false,"suffix":""},{"dropping-particle":"","family":"Saalfeld","given":"Stephan","non-dropping-particle":"","parse-names":false,"suffix":""},{"dropping-particle":"","family":"Schmid","given":"Benjamin","non-dropping-particle":"","parse-names":false,"suffix":""},{"dropping-particle":"","family":"Tinevez","given":"Jean Yves","non-dropping-particle":"","parse-names":false,"suffix":""},{"dropping-particle":"","family":"White","given":"Daniel James","non-dropping-particle":"","parse-names":false,"suffix":""},{"dropping-particle":"","family":"Hartenstein","given":"Volker","non-dropping-particle":"","parse-names":false,"suffix":""},{"dropping-particle":"","family":"Eliceiri","given":"Kevin","non-dropping-particle":"","parse-names":false,"suffix":""},{"dropping-particle":"","family":"Tomancak","given":"Pavel","non-dropping-particle":"","parse-names":false,"suffix":""},{"dropping-particle":"","family":"Cardona","given":"Albert","non-dropping-particle":"","parse-names":false,"suffix":""}],"container-title":"Nature Methods","id":"ITEM-1","issue":"7","issued":{"date-parts":[["2012"]]},"page":"676-682","title":"Fiji: An open-source platform for biological-image analysis","type":"article-journal","volume":"9"},"uris":["http://www.mendeley.com/documents/?uuid=6a199b70-570a-40db-9b1a-04336a8d9ebd"]}],"mendeley":{"formattedCitation":"(2)","plainTextFormattedCitation":"(2)","previouslyFormattedCitation":"(Schindelin et al. 2012)"},"properties":{"noteIndex":0},"schema":"https://github.com/citation-style-language/schema/raw/master/csl-citation.json"}</w:instrText>
      </w:r>
      <w:r w:rsidRPr="00B90D86">
        <w:rPr>
          <w:rFonts w:ascii="Arial" w:hAnsi="Arial" w:cs="Arial"/>
        </w:rPr>
        <w:fldChar w:fldCharType="separate"/>
      </w:r>
      <w:r w:rsidR="00D64033" w:rsidRPr="00B90D86">
        <w:rPr>
          <w:rFonts w:ascii="Arial" w:hAnsi="Arial" w:cs="Arial"/>
          <w:noProof/>
        </w:rPr>
        <w:t>(2)</w:t>
      </w:r>
      <w:r w:rsidRPr="00B90D86">
        <w:rPr>
          <w:rFonts w:ascii="Arial" w:hAnsi="Arial" w:cs="Arial"/>
        </w:rPr>
        <w:fldChar w:fldCharType="end"/>
      </w:r>
      <w:r w:rsidRPr="00B90D86">
        <w:rPr>
          <w:rFonts w:ascii="Arial" w:hAnsi="Arial" w:cs="Arial"/>
        </w:rPr>
        <w:t xml:space="preserve"> and measuring the total area of F4/80 normalized by the number of nuclei to control for cell confluency. Total number of nuclei was determined by thresholding the DAPI channel using the Otsu Auto-Threshold algorithm and counting them through FIJI particle analyzer functions. </w:t>
      </w:r>
    </w:p>
    <w:p w14:paraId="6523D6A2" w14:textId="77777777" w:rsidR="004D36AB" w:rsidRPr="00B90D86" w:rsidRDefault="00224FEF" w:rsidP="00224FEF">
      <w:pPr>
        <w:spacing w:line="360" w:lineRule="auto"/>
        <w:jc w:val="both"/>
        <w:rPr>
          <w:rFonts w:ascii="Arial" w:hAnsi="Arial" w:cs="Arial"/>
        </w:rPr>
      </w:pPr>
      <w:r w:rsidRPr="00B90D86">
        <w:rPr>
          <w:rFonts w:ascii="Arial" w:hAnsi="Arial" w:cs="Arial"/>
        </w:rPr>
        <w:t>Similar methods were employed to quantify Caspase-3 fluorescence, applying the Moments Auto-Threshold and dividing total area by number of nuclei for normalization. Total number of nuclei was obtained by making each stitched tile binary in the DAPI channel, applying the Watershed function, and recording total Count.</w:t>
      </w:r>
    </w:p>
    <w:p w14:paraId="2AEDE643" w14:textId="77777777" w:rsidR="004D36AB" w:rsidRPr="00B90D86" w:rsidRDefault="004D36AB" w:rsidP="00224FEF">
      <w:pPr>
        <w:spacing w:line="360" w:lineRule="auto"/>
        <w:jc w:val="both"/>
        <w:rPr>
          <w:rFonts w:ascii="Arial" w:hAnsi="Arial" w:cs="Arial"/>
        </w:rPr>
      </w:pPr>
    </w:p>
    <w:p w14:paraId="03A750EA" w14:textId="77777777" w:rsidR="004D36AB" w:rsidRPr="00B90D86" w:rsidRDefault="00224FEF" w:rsidP="00224FEF">
      <w:pPr>
        <w:spacing w:line="360" w:lineRule="auto"/>
        <w:jc w:val="both"/>
        <w:rPr>
          <w:rFonts w:ascii="Arial" w:hAnsi="Arial" w:cs="Arial"/>
          <w:b/>
          <w:bCs/>
        </w:rPr>
      </w:pPr>
      <w:bookmarkStart w:id="4" w:name="_Toc19291593"/>
      <w:r w:rsidRPr="00B90D86">
        <w:rPr>
          <w:rFonts w:ascii="Arial" w:hAnsi="Arial" w:cs="Arial"/>
          <w:b/>
          <w:bCs/>
        </w:rPr>
        <w:t>RNA Sequencing analysis</w:t>
      </w:r>
      <w:bookmarkEnd w:id="4"/>
    </w:p>
    <w:p w14:paraId="44D7D9CE" w14:textId="5714520D" w:rsidR="004D36AB" w:rsidRPr="00B90D86" w:rsidRDefault="00224FEF" w:rsidP="00224FEF">
      <w:pPr>
        <w:spacing w:line="360" w:lineRule="auto"/>
        <w:jc w:val="both"/>
        <w:rPr>
          <w:rFonts w:ascii="Arial" w:hAnsi="Arial" w:cs="Arial"/>
        </w:rPr>
      </w:pPr>
      <w:bookmarkStart w:id="5" w:name="_Toc19291594"/>
      <w:r w:rsidRPr="00B90D86">
        <w:rPr>
          <w:rStyle w:val="Heading3Char"/>
          <w:rFonts w:eastAsiaTheme="minorHAnsi" w:cs="Arial"/>
          <w:szCs w:val="22"/>
        </w:rPr>
        <w:t>Quality Assessment and Alignment.</w:t>
      </w:r>
      <w:bookmarkEnd w:id="5"/>
      <w:r w:rsidRPr="00B90D86">
        <w:rPr>
          <w:rFonts w:ascii="Arial" w:hAnsi="Arial" w:cs="Arial"/>
          <w:b/>
          <w:bCs/>
          <w:i/>
        </w:rPr>
        <w:t xml:space="preserve"> </w:t>
      </w:r>
      <w:r w:rsidRPr="00B90D86">
        <w:rPr>
          <w:rFonts w:ascii="Arial" w:hAnsi="Arial" w:cs="Arial"/>
        </w:rPr>
        <w:t>Prior to alignment, quality of the sequences was assessed using FASTQC</w:t>
      </w:r>
      <w:r w:rsidR="00BE5757" w:rsidRPr="00B90D86">
        <w:rPr>
          <w:rFonts w:ascii="Arial" w:hAnsi="Arial" w:cs="Arial"/>
        </w:rPr>
        <w:t xml:space="preserve"> </w:t>
      </w:r>
      <w:r w:rsidRPr="00B90D86">
        <w:rPr>
          <w:rFonts w:ascii="Arial" w:hAnsi="Arial" w:cs="Arial"/>
          <w:vertAlign w:val="superscript"/>
        </w:rPr>
        <w:fldChar w:fldCharType="begin" w:fldLock="1"/>
      </w:r>
      <w:r w:rsidR="00D64033" w:rsidRPr="00B90D86">
        <w:rPr>
          <w:rFonts w:ascii="Arial" w:hAnsi="Arial" w:cs="Arial"/>
          <w:vertAlign w:val="superscript"/>
        </w:rPr>
        <w:instrText>ADDIN CSL_CITATION {"citationItems":[{"id":"ITEM-1","itemData":{"author":[{"dropping-particle":"","family":"Andrews","given":"S","non-dropping-particle":"","parse-names":false,"suffix":""}],"container-title":"Available: https://www.bioinformatics.babraham.ac.uk/projects/fastqc/","id":"ITEM-1","issued":{"date-parts":[["2010"]]},"title":"FastQC: a quality control tool for high throughput sequence data","type":"article-journal"},"uris":["http://www.mendeley.com/documents/?uuid=f764fcbe-b7b1-4c89-a341-294a24b456ad"]}],"mendeley":{"formattedCitation":"(3)","plainTextFormattedCitation":"(3)","previouslyFormattedCitation":"(Andrews 2010)"},"properties":{"noteIndex":0},"schema":"https://github.com/citation-style-language/schema/raw/master/csl-citation.json"}</w:instrText>
      </w:r>
      <w:r w:rsidRPr="00B90D86">
        <w:rPr>
          <w:rFonts w:ascii="Arial" w:hAnsi="Arial" w:cs="Arial"/>
          <w:vertAlign w:val="superscript"/>
        </w:rPr>
        <w:fldChar w:fldCharType="separate"/>
      </w:r>
      <w:r w:rsidR="00D64033" w:rsidRPr="00B90D86">
        <w:rPr>
          <w:rFonts w:ascii="Arial" w:hAnsi="Arial" w:cs="Arial"/>
          <w:noProof/>
        </w:rPr>
        <w:t>(3)</w:t>
      </w:r>
      <w:r w:rsidRPr="00B90D86">
        <w:rPr>
          <w:rFonts w:ascii="Arial" w:hAnsi="Arial" w:cs="Arial"/>
          <w:vertAlign w:val="superscript"/>
        </w:rPr>
        <w:fldChar w:fldCharType="end"/>
      </w:r>
      <w:r w:rsidRPr="00B90D86">
        <w:rPr>
          <w:rFonts w:ascii="Arial" w:hAnsi="Arial" w:cs="Arial"/>
        </w:rPr>
        <w:t xml:space="preserve"> and </w:t>
      </w:r>
      <w:proofErr w:type="spellStart"/>
      <w:r w:rsidRPr="00B90D86">
        <w:rPr>
          <w:rFonts w:ascii="Arial" w:hAnsi="Arial" w:cs="Arial"/>
        </w:rPr>
        <w:t>MultiQC</w:t>
      </w:r>
      <w:proofErr w:type="spellEnd"/>
      <w:r w:rsidR="00BE5757" w:rsidRPr="00B90D86">
        <w:rPr>
          <w:rFonts w:ascii="Arial" w:hAnsi="Arial" w:cs="Arial"/>
        </w:rPr>
        <w:t xml:space="preserve"> </w:t>
      </w:r>
      <w:r w:rsidRPr="00B90D86">
        <w:rPr>
          <w:rFonts w:ascii="Arial" w:hAnsi="Arial" w:cs="Arial"/>
        </w:rPr>
        <w:fldChar w:fldCharType="begin" w:fldLock="1"/>
      </w:r>
      <w:r w:rsidR="00D64033" w:rsidRPr="00B90D86">
        <w:rPr>
          <w:rFonts w:ascii="Arial" w:hAnsi="Arial" w:cs="Arial"/>
        </w:rPr>
        <w:instrText>ADDIN CSL_CITATION {"citationItems":[{"id":"ITEM-1","itemData":{"DOI":"10.1093/bioinformatics/btw354","ISSN":"14602059","abstract":"MOTIVATION Fast and accurate quality control is essential for studies involving next-generation sequencing data. Whilst numerous tools exist to quantify QC metrics, there is no common approach to flexibly integrate these across tools and large sample sets. Assessing analysis results across an entire project can be time consuming and error prone; batch effects and outlier samples can easily be missed in the early stages of analysis. RESULTS We present MultiQC, a tool to create a single report visualising output from multiple tools across many samples, enabling global trends and biases to be quickly identified. MultiQC can plot data from many common bioinformatics tools and is built to allow easy extension and customization. AVAILABILITY MultiQC is available with an GNU GPLv3 license on GitHub, the Python Package Index and Bioconda. Documentation and example reports available at http://multiqc.info CONTACT: phil.ewels@scilifelab.se.","author":[{"dropping-particle":"","family":"Ewels","given":"Philip","non-dropping-particle":"","parse-names":false,"suffix":""},{"dropping-particle":"","family":"Magnusson","given":"Måns","non-dropping-particle":"","parse-names":false,"suffix":""},{"dropping-particle":"","family":"Lundin","given":"Sverker","non-dropping-particle":"","parse-names":false,"suffix":""},{"dropping-particle":"","family":"Käller","given":"Max","non-dropping-particle":"","parse-names":false,"suffix":""}],"container-title":"Bioinformatics","id":"ITEM-1","issue":"19","issued":{"date-parts":[["2016"]]},"page":"3047-3048","title":"MultiQC: Summarize analysis results for multiple tools and samples in a single report","type":"article-journal","volume":"32"},"uris":["http://www.mendeley.com/documents/?uuid=8559e0b2-4314-44e2-9dae-6baeab7b9083"]}],"mendeley":{"formattedCitation":"(4)","plainTextFormattedCitation":"(4)","previouslyFormattedCitation":"(Ewels et al. 2016)"},"properties":{"noteIndex":0},"schema":"https://github.com/citation-style-language/schema/raw/master/csl-citation.json"}</w:instrText>
      </w:r>
      <w:r w:rsidRPr="00B90D86">
        <w:rPr>
          <w:rFonts w:ascii="Arial" w:hAnsi="Arial" w:cs="Arial"/>
        </w:rPr>
        <w:fldChar w:fldCharType="separate"/>
      </w:r>
      <w:r w:rsidR="00D64033" w:rsidRPr="00B90D86">
        <w:rPr>
          <w:rFonts w:ascii="Arial" w:hAnsi="Arial" w:cs="Arial"/>
          <w:noProof/>
        </w:rPr>
        <w:t>(4)</w:t>
      </w:r>
      <w:r w:rsidRPr="00B90D86">
        <w:rPr>
          <w:rFonts w:ascii="Arial" w:hAnsi="Arial" w:cs="Arial"/>
        </w:rPr>
        <w:fldChar w:fldCharType="end"/>
      </w:r>
      <w:r w:rsidRPr="00B90D86">
        <w:rPr>
          <w:rFonts w:ascii="Arial" w:hAnsi="Arial" w:cs="Arial"/>
        </w:rPr>
        <w:t xml:space="preserve">. Alignment was performed against the </w:t>
      </w:r>
      <w:r w:rsidRPr="00B90D86">
        <w:rPr>
          <w:rFonts w:ascii="Arial" w:hAnsi="Arial" w:cs="Arial"/>
          <w:i/>
          <w:iCs/>
        </w:rPr>
        <w:t xml:space="preserve">Mus musculus </w:t>
      </w:r>
      <w:r w:rsidRPr="00B90D86">
        <w:rPr>
          <w:rFonts w:ascii="Arial" w:hAnsi="Arial" w:cs="Arial"/>
        </w:rPr>
        <w:t xml:space="preserve">genome version 95, with the annotation file for the genome version 95, both obtained through the </w:t>
      </w:r>
      <w:proofErr w:type="spellStart"/>
      <w:r w:rsidRPr="00B90D86">
        <w:rPr>
          <w:rFonts w:ascii="Arial" w:hAnsi="Arial" w:cs="Arial"/>
        </w:rPr>
        <w:t>Ensembl</w:t>
      </w:r>
      <w:proofErr w:type="spellEnd"/>
      <w:r w:rsidRPr="00B90D86">
        <w:rPr>
          <w:rFonts w:ascii="Arial" w:hAnsi="Arial" w:cs="Arial"/>
        </w:rPr>
        <w:t xml:space="preserve"> website and using STAR</w:t>
      </w:r>
      <w:r w:rsidR="00BE5757" w:rsidRPr="00B90D86">
        <w:rPr>
          <w:rFonts w:ascii="Arial" w:hAnsi="Arial" w:cs="Arial"/>
        </w:rPr>
        <w:t xml:space="preserve"> </w:t>
      </w:r>
      <w:r w:rsidRPr="00B90D86">
        <w:rPr>
          <w:rFonts w:ascii="Arial" w:hAnsi="Arial" w:cs="Arial"/>
        </w:rPr>
        <w:fldChar w:fldCharType="begin" w:fldLock="1"/>
      </w:r>
      <w:r w:rsidR="00D64033" w:rsidRPr="00B90D86">
        <w:rPr>
          <w:rFonts w:ascii="Arial" w:hAnsi="Arial" w:cs="Arial"/>
        </w:rPr>
        <w:instrText>ADDIN CSL_CITATION {"citationItems":[{"id":"ITEM-1","itemData":{"DOI":"10.1093/bioinformatics/bts635","ISSN":"13674803","abstract":"MOTIVATION: Accurate alignment of high-throughput RNA-seq data is a challenging and yet unsolved problem because of the non-contiguous transcript structure, relatively short read lengths and constantly increasing throughput of the sequencing technologies. Currently available RNA-seq aligners suffer from high mapping error rates, low mapping speed, read length limitation and mapping biases.\\n\\nRESULTS: To align our large (&gt;80 billon reads) ENCODE Transcriptome RNA-seq dataset, we developed the Spliced Transcripts Alignment to a Reference (STAR) software based on a previously undescribed RNA-seq alignment algorithm that uses sequential maximum mappable seed search in uncompressed suffix arrays followed by seed clustering and stitching procedure. STAR outperforms other aligners by a factor of &gt;50 in mapping speed, aligning to the human genome 550 million 2 × 76 bp paired-end reads per hour on a modest 12-core server, while at the same time improving alignment sensitivity and precision. In addition to unbiased de novo detection of canonical junctions, STAR can discover non-canonical splices and chimeric (fusion) transcripts, and is also capable of mapping full-length RNA sequences. Using Roche 454 sequencing of reverse transcription polymerase chain reaction amplicons, we experimentally validated 1960 novel intergenic splice junctions with an 80-90% success rate, corroborating the high precision of the STAR mapping strategy.\\n\\nAVAILABILITY AND IMPLEMENTATION: STAR is implemented as a standalone C++ code. STAR is free open source software distributed under GPLv3 license and can be downloaded from http://code.google.com/p/rna-star/.","author":[{"dropping-particle":"","family":"Dobin","given":"Alexander","non-dropping-particle":"","parse-names":false,"suffix":""},{"dropping-particle":"","family":"Davis","given":"Carrie A.","non-dropping-particle":"","parse-names":false,"suffix":""},{"dropping-particle":"","family":"Schlesinger","given":"Felix","non-dropping-particle":"","parse-names":false,"suffix":""},{"dropping-particle":"","family":"Drenkow","given":"Jorg","non-dropping-particle":"","parse-names":false,"suffix":""},{"dropping-particle":"","family":"Zaleski","given":"Chris","non-dropping-particle":"","parse-names":false,"suffix":""},{"dropping-particle":"","family":"Jha","given":"Sonali","non-dropping-particle":"","parse-names":false,"suffix":""},{"dropping-particle":"","family":"Batut","given":"Philippe","non-dropping-particle":"","parse-names":false,"suffix":""},{"dropping-particle":"","family":"Chaisson","given":"Mark","non-dropping-particle":"","parse-names":false,"suffix":""},{"dropping-particle":"","family":"Gingeras","given":"Thomas R.","non-dropping-particle":"","parse-names":false,"suffix":""}],"container-title":"Bioinformatics","id":"ITEM-1","issue":"1","issued":{"date-parts":[["2013"]]},"page":"15-21","title":"STAR: Ultrafast universal RNA-seq aligner","type":"article-journal","volume":"29"},"uris":["http://www.mendeley.com/documents/?uuid=90655262-b2b8-40b4-ae55-66dbe79d9bc0"]}],"mendeley":{"formattedCitation":"(5)","plainTextFormattedCitation":"(5)","previouslyFormattedCitation":"(Dobin et al. 2013)"},"properties":{"noteIndex":0},"schema":"https://github.com/citation-style-language/schema/raw/master/csl-citation.json"}</w:instrText>
      </w:r>
      <w:r w:rsidRPr="00B90D86">
        <w:rPr>
          <w:rFonts w:ascii="Arial" w:hAnsi="Arial" w:cs="Arial"/>
        </w:rPr>
        <w:fldChar w:fldCharType="separate"/>
      </w:r>
      <w:r w:rsidR="00D64033" w:rsidRPr="00B90D86">
        <w:rPr>
          <w:rFonts w:ascii="Arial" w:hAnsi="Arial" w:cs="Arial"/>
          <w:noProof/>
        </w:rPr>
        <w:t>(5)</w:t>
      </w:r>
      <w:r w:rsidRPr="00B90D86">
        <w:rPr>
          <w:rFonts w:ascii="Arial" w:hAnsi="Arial" w:cs="Arial"/>
        </w:rPr>
        <w:fldChar w:fldCharType="end"/>
      </w:r>
      <w:r w:rsidRPr="00B90D86">
        <w:rPr>
          <w:rFonts w:ascii="Arial" w:hAnsi="Arial" w:cs="Arial"/>
        </w:rPr>
        <w:t xml:space="preserve">, with default parameters and with the option of </w:t>
      </w:r>
      <w:proofErr w:type="spellStart"/>
      <w:r w:rsidRPr="00B90D86">
        <w:rPr>
          <w:rFonts w:ascii="Arial" w:hAnsi="Arial" w:cs="Arial"/>
          <w:i/>
          <w:iCs/>
        </w:rPr>
        <w:t>GeneCounts</w:t>
      </w:r>
      <w:proofErr w:type="spellEnd"/>
      <w:r w:rsidRPr="00B90D86">
        <w:rPr>
          <w:rFonts w:ascii="Arial" w:hAnsi="Arial" w:cs="Arial"/>
        </w:rPr>
        <w:t>.</w:t>
      </w:r>
    </w:p>
    <w:p w14:paraId="27CB818A" w14:textId="484A3905" w:rsidR="004D36AB" w:rsidRPr="00B90D86" w:rsidRDefault="00224FEF" w:rsidP="00224FEF">
      <w:pPr>
        <w:spacing w:after="0" w:line="360" w:lineRule="auto"/>
        <w:jc w:val="both"/>
        <w:rPr>
          <w:rFonts w:ascii="Arial" w:hAnsi="Arial" w:cs="Arial"/>
        </w:rPr>
      </w:pPr>
      <w:bookmarkStart w:id="6" w:name="_Toc19291595"/>
      <w:r w:rsidRPr="00B90D86">
        <w:rPr>
          <w:rStyle w:val="Heading3Char"/>
          <w:rFonts w:eastAsiaTheme="minorHAnsi" w:cs="Arial"/>
          <w:szCs w:val="22"/>
        </w:rPr>
        <w:lastRenderedPageBreak/>
        <w:t>Data Analysis</w:t>
      </w:r>
      <w:bookmarkEnd w:id="6"/>
      <w:r w:rsidRPr="00B90D86">
        <w:rPr>
          <w:rFonts w:ascii="Arial" w:hAnsi="Arial" w:cs="Arial"/>
          <w:b/>
          <w:bCs/>
          <w:i/>
        </w:rPr>
        <w:t xml:space="preserve">. </w:t>
      </w:r>
      <w:r w:rsidRPr="00B90D86">
        <w:rPr>
          <w:rFonts w:ascii="Arial" w:hAnsi="Arial" w:cs="Arial"/>
        </w:rPr>
        <w:t xml:space="preserve">The files obtained from </w:t>
      </w:r>
      <w:proofErr w:type="spellStart"/>
      <w:r w:rsidRPr="00B90D86">
        <w:rPr>
          <w:rFonts w:ascii="Arial" w:hAnsi="Arial" w:cs="Arial"/>
          <w:i/>
          <w:iCs/>
        </w:rPr>
        <w:t>GeneCounts</w:t>
      </w:r>
      <w:proofErr w:type="spellEnd"/>
      <w:r w:rsidRPr="00B90D86">
        <w:rPr>
          <w:rFonts w:ascii="Arial" w:hAnsi="Arial" w:cs="Arial"/>
        </w:rPr>
        <w:t xml:space="preserve"> option were imported to R, taking into account the </w:t>
      </w:r>
      <w:proofErr w:type="spellStart"/>
      <w:r w:rsidRPr="00B90D86">
        <w:rPr>
          <w:rFonts w:ascii="Arial" w:hAnsi="Arial" w:cs="Arial"/>
        </w:rPr>
        <w:t>strandness</w:t>
      </w:r>
      <w:proofErr w:type="spellEnd"/>
      <w:r w:rsidRPr="00B90D86">
        <w:rPr>
          <w:rFonts w:ascii="Arial" w:hAnsi="Arial" w:cs="Arial"/>
        </w:rPr>
        <w:t xml:space="preserve"> inherent to the sequencing protocol. Downstream analysis was performed using DESeq2 (version 1.22.2)</w:t>
      </w:r>
      <w:r w:rsidR="00BE5757" w:rsidRPr="00B90D86">
        <w:rPr>
          <w:rFonts w:ascii="Arial" w:hAnsi="Arial" w:cs="Arial"/>
        </w:rPr>
        <w:t xml:space="preserve"> </w:t>
      </w:r>
      <w:r w:rsidRPr="00B90D86">
        <w:rPr>
          <w:rFonts w:ascii="Arial" w:hAnsi="Arial" w:cs="Arial"/>
        </w:rPr>
        <w:fldChar w:fldCharType="begin" w:fldLock="1"/>
      </w:r>
      <w:r w:rsidR="00D64033" w:rsidRPr="00B90D86">
        <w:rPr>
          <w:rFonts w:ascii="Arial" w:hAnsi="Arial" w:cs="Arial"/>
        </w:rPr>
        <w:instrText>ADDIN CSL_CITATION {"citationItems":[{"id":"ITEM-1","itemData":{"DOI":"10.1186/s13059-014-0550-8","ISBN":"1465-6906","ISSN":"1474760X","PMID":"25516281","abstract":"In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\\n                  http://www.bioconductor.org/packages/release/bioc/html/DESeq2.html\\n                  \\n                .","author":[{"dropping-particle":"","family":"Love","given":"Michael I.","non-dropping-particle":"","parse-names":false,"suffix":""},{"dropping-particle":"","family":"Huber","given":"Wolfgang","non-dropping-particle":"","parse-names":false,"suffix":""},{"dropping-particle":"","family":"Anders","given":"Simon","non-dropping-particle":"","parse-names":false,"suffix":""}],"container-title":"Genome Biology","id":"ITEM-1","issue":"12","issued":{"date-parts":[["2014"]]},"page":"1-21","title":"Moderated estimation of fold change and dispersion for RNA-seq data with DESeq2","type":"article-journal","volume":"15"},"uris":["http://www.mendeley.com/documents/?uuid=c3767b39-b430-420e-9c25-3056e596cdb6"]}],"mendeley":{"formattedCitation":"(6)","plainTextFormattedCitation":"(6)","previouslyFormattedCitation":"(Love, Huber, and Anders 2014)"},"properties":{"noteIndex":0},"schema":"https://github.com/citation-style-language/schema/raw/master/csl-citation.json"}</w:instrText>
      </w:r>
      <w:r w:rsidRPr="00B90D86">
        <w:rPr>
          <w:rFonts w:ascii="Arial" w:hAnsi="Arial" w:cs="Arial"/>
        </w:rPr>
        <w:fldChar w:fldCharType="separate"/>
      </w:r>
      <w:r w:rsidR="00D64033" w:rsidRPr="00B90D86">
        <w:rPr>
          <w:rFonts w:ascii="Arial" w:hAnsi="Arial" w:cs="Arial"/>
          <w:noProof/>
        </w:rPr>
        <w:t>(6)</w:t>
      </w:r>
      <w:r w:rsidRPr="00B90D86">
        <w:rPr>
          <w:rFonts w:ascii="Arial" w:hAnsi="Arial" w:cs="Arial"/>
        </w:rPr>
        <w:fldChar w:fldCharType="end"/>
      </w:r>
      <w:r w:rsidRPr="00B90D86">
        <w:rPr>
          <w:rFonts w:ascii="Arial" w:hAnsi="Arial" w:cs="Arial"/>
        </w:rPr>
        <w:t>. Data from raw counts used to create the Principal Component Analysis plot and Heatmaps were normalized through a Variance Stabilizing Transformation (VST)</w:t>
      </w:r>
      <w:r w:rsidR="00BE5757" w:rsidRPr="00B90D86">
        <w:rPr>
          <w:rFonts w:ascii="Arial" w:hAnsi="Arial" w:cs="Arial"/>
        </w:rPr>
        <w:t xml:space="preserve"> </w:t>
      </w:r>
      <w:r w:rsidRPr="00B90D86">
        <w:rPr>
          <w:rFonts w:ascii="Arial" w:hAnsi="Arial" w:cs="Arial"/>
        </w:rPr>
        <w:fldChar w:fldCharType="begin" w:fldLock="1"/>
      </w:r>
      <w:r w:rsidR="00D64033" w:rsidRPr="00B90D86">
        <w:rPr>
          <w:rFonts w:ascii="Arial" w:hAnsi="Arial" w:cs="Arial"/>
        </w:rPr>
        <w:instrText>ADDIN CSL_CITATION {"citationItems":[{"id":"ITEM-1","itemData":{"DOI":"10.1186/gb-2010-11-10-r106","ISSN":"1474-760X","PMID":"20979621","abstract":"High-throughput sequencing assays such as RNA-Seq, ChIP-Seq or barcode counting provide quantitative readouts in the form of count data. To infer differential signal in such data correctly and with good statistical power, estimation of data variability throughout the dynamic range and a suitable error model are required. We propose a method based on the negative binomial distribution, with variance and mean linked by local regression and present an implementation, DESeq, as an R/Bioconductor package.","author":[{"dropping-particle":"","family":"Anders","given":"Simon","non-dropping-particle":"","parse-names":false,"suffix":""},{"dropping-particle":"","family":"Huber","given":"Wolfgang","non-dropping-particle":"","parse-names":false,"suffix":""}],"container-title":"Genome biology","id":"ITEM-1","issue":"10","issued":{"date-parts":[["2010"]]},"page":"R106","publisher":"BioMed Central Ltd","title":"Differential expression analysis for sequence count data.","type":"article-journal","volume":"11"},"uris":["http://www.mendeley.com/documents/?uuid=65d6167a-85fa-4c41-b1f9-014bbc7f7674"]}],"mendeley":{"formattedCitation":"(7)","plainTextFormattedCitation":"(7)","previouslyFormattedCitation":"(Anders and Huber 2010)"},"properties":{"noteIndex":0},"schema":"https://github.com/citation-style-language/schema/raw/master/csl-citation.json"}</w:instrText>
      </w:r>
      <w:r w:rsidRPr="00B90D86">
        <w:rPr>
          <w:rFonts w:ascii="Arial" w:hAnsi="Arial" w:cs="Arial"/>
        </w:rPr>
        <w:fldChar w:fldCharType="separate"/>
      </w:r>
      <w:r w:rsidR="00D64033" w:rsidRPr="00B90D86">
        <w:rPr>
          <w:rFonts w:ascii="Arial" w:hAnsi="Arial" w:cs="Arial"/>
          <w:noProof/>
        </w:rPr>
        <w:t>(7)</w:t>
      </w:r>
      <w:r w:rsidRPr="00B90D86">
        <w:rPr>
          <w:rFonts w:ascii="Arial" w:hAnsi="Arial" w:cs="Arial"/>
        </w:rPr>
        <w:fldChar w:fldCharType="end"/>
      </w:r>
      <w:r w:rsidRPr="00B90D86">
        <w:rPr>
          <w:rFonts w:ascii="Arial" w:hAnsi="Arial" w:cs="Arial"/>
        </w:rPr>
        <w:t>. The log2FC provided by the standard DESeq2 model was shrunk using the ‘</w:t>
      </w:r>
      <w:proofErr w:type="spellStart"/>
      <w:r w:rsidRPr="00B90D86">
        <w:rPr>
          <w:rFonts w:ascii="Arial" w:hAnsi="Arial" w:cs="Arial"/>
        </w:rPr>
        <w:t>ashr</w:t>
      </w:r>
      <w:proofErr w:type="spellEnd"/>
      <w:r w:rsidRPr="00B90D86">
        <w:rPr>
          <w:rFonts w:ascii="Arial" w:hAnsi="Arial" w:cs="Arial"/>
        </w:rPr>
        <w:t>’ option</w:t>
      </w:r>
      <w:r w:rsidR="00BE5757" w:rsidRPr="00B90D86">
        <w:rPr>
          <w:rFonts w:ascii="Arial" w:hAnsi="Arial" w:cs="Arial"/>
        </w:rPr>
        <w:t xml:space="preserve"> </w:t>
      </w:r>
      <w:r w:rsidRPr="00B90D86">
        <w:rPr>
          <w:rFonts w:ascii="Arial" w:hAnsi="Arial" w:cs="Arial"/>
        </w:rPr>
        <w:fldChar w:fldCharType="begin" w:fldLock="1"/>
      </w:r>
      <w:r w:rsidR="00D64033" w:rsidRPr="00B90D86">
        <w:rPr>
          <w:rFonts w:ascii="Arial" w:hAnsi="Arial" w:cs="Arial"/>
        </w:rPr>
        <w:instrText>ADDIN CSL_CITATION {"citationItems":[{"id":"ITEM-1","itemData":{"DOI":"10.1093/biostatistics/kxw041","ISSN":"14684357","abstract":"We introduce a new Empirical Bayes approach for large-scale hypothesis testing, including estimating False Discovery Rates (FDRs), and effect sizes. This approach has two key differences from existing approaches to FDR analysis. First, it assumes that the distribution of the actual (unobserved) effects is unimodal, with a mode at 0. This \"unimodal assumption\" (UA), although natural in many contexts, is not usually incorporated into standard FDR analysis, and we demonstrate how incorporating it brings many benefits. Specifically, the UA facilitates efficient and robust computation -- estimating the unimodal distribution involves solving a simple convex optimization problem -- and enables more accurate inferences provided that it holds. Second, the method takes as its input two numbers for each test (an effect size estimate, and corresponding standard error), rather than the one number usually used (p value, or z score). When available, using two numbers instead of one helps account for variation in measurement precision across tests. It also facilitates estimation of effects, and unlike standard FDR methods our approach provides interval estimates (credible regions) for each effect in addition to measures of significance. To provide a bridge between interval estimates and significance measures we introduce the term \"local false sign rate\" to refer to the probability of getting the sign of an effect wrong, and argue that it is a superior measure of significance than the local FDR because it is both more generally applicable, and can be more robustly estimated. Our methods are implemented in an R package ashr available from http://github.com/stephens999/ashr.","author":[{"dropping-particle":"","family":"Stephens","given":"Matthew","non-dropping-particle":"","parse-names":false,"suffix":""}],"container-title":"Biostatistics","id":"ITEM-1","issue":"2","issued":{"date-parts":[["2017"]]},"page":"275-294","title":"False discovery rates: A new deal","type":"article-journal","volume":"18"},"uris":["http://www.mendeley.com/documents/?uuid=eb891617-04e2-4775-936a-03d6300682fe"]}],"mendeley":{"formattedCitation":"(8)","plainTextFormattedCitation":"(8)","previouslyFormattedCitation":"(Stephens 2017)"},"properties":{"noteIndex":0},"schema":"https://github.com/citation-style-language/schema/raw/master/csl-citation.json"}</w:instrText>
      </w:r>
      <w:r w:rsidRPr="00B90D86">
        <w:rPr>
          <w:rFonts w:ascii="Arial" w:hAnsi="Arial" w:cs="Arial"/>
        </w:rPr>
        <w:fldChar w:fldCharType="separate"/>
      </w:r>
      <w:r w:rsidR="00D64033" w:rsidRPr="00B90D86">
        <w:rPr>
          <w:rFonts w:ascii="Arial" w:hAnsi="Arial" w:cs="Arial"/>
          <w:noProof/>
        </w:rPr>
        <w:t>(8)</w:t>
      </w:r>
      <w:r w:rsidRPr="00B90D86">
        <w:rPr>
          <w:rFonts w:ascii="Arial" w:hAnsi="Arial" w:cs="Arial"/>
        </w:rPr>
        <w:fldChar w:fldCharType="end"/>
      </w:r>
      <w:r w:rsidRPr="00B90D86">
        <w:rPr>
          <w:rFonts w:ascii="Arial" w:hAnsi="Arial" w:cs="Arial"/>
        </w:rPr>
        <w:t xml:space="preserve">. Gene Information was obtained using the package </w:t>
      </w:r>
      <w:proofErr w:type="spellStart"/>
      <w:r w:rsidRPr="00B90D86">
        <w:rPr>
          <w:rFonts w:ascii="Arial" w:hAnsi="Arial" w:cs="Arial"/>
          <w:i/>
          <w:iCs/>
        </w:rPr>
        <w:t>org.Mm.eg.db</w:t>
      </w:r>
      <w:proofErr w:type="spellEnd"/>
      <w:r w:rsidRPr="00B90D86">
        <w:rPr>
          <w:rFonts w:ascii="Arial" w:hAnsi="Arial" w:cs="Arial"/>
        </w:rPr>
        <w:t xml:space="preserve">. For the purposes of this study, genes were considered differentially expressed when the p-value, adjusted using false discovery rate (FDR), was below 0.05. Log2FC tables of differentially expressed genes (DE-genes) are available at </w:t>
      </w:r>
      <w:r w:rsidRPr="00B90D86">
        <w:rPr>
          <w:rFonts w:ascii="Arial" w:hAnsi="Arial" w:cs="Arial"/>
          <w:u w:color="386EFF"/>
        </w:rPr>
        <w:t>https://figshare.com/s/3684f039abc8c96313a3</w:t>
      </w:r>
      <w:r w:rsidRPr="00B90D86">
        <w:rPr>
          <w:rFonts w:ascii="Arial" w:hAnsi="Arial" w:cs="Arial"/>
        </w:rPr>
        <w:t xml:space="preserve">. Gene ontology analysis was performed using DAVID Bioinformatics Resources 6.8 webtool (https://david.ncifcrf.gov/) and enriched terms considered for FDR&lt;0.05 using </w:t>
      </w:r>
      <w:proofErr w:type="spellStart"/>
      <w:r w:rsidRPr="00B90D86">
        <w:rPr>
          <w:rFonts w:ascii="Arial" w:hAnsi="Arial" w:cs="Arial"/>
        </w:rPr>
        <w:t>Benjamini</w:t>
      </w:r>
      <w:proofErr w:type="spellEnd"/>
      <w:r w:rsidRPr="00B90D86">
        <w:rPr>
          <w:rFonts w:ascii="Arial" w:hAnsi="Arial" w:cs="Arial"/>
        </w:rPr>
        <w:t> Hochberg method.</w:t>
      </w:r>
    </w:p>
    <w:p w14:paraId="45354C78" w14:textId="71B4EB98" w:rsidR="004D36AB" w:rsidRPr="00B90D86" w:rsidRDefault="00224FEF" w:rsidP="00224FEF">
      <w:pPr>
        <w:spacing w:after="0" w:line="360" w:lineRule="auto"/>
        <w:jc w:val="both"/>
        <w:rPr>
          <w:rFonts w:ascii="Arial" w:hAnsi="Arial" w:cs="Arial"/>
        </w:rPr>
      </w:pPr>
      <w:r w:rsidRPr="00B90D86">
        <w:rPr>
          <w:rFonts w:ascii="Arial" w:hAnsi="Arial" w:cs="Arial"/>
        </w:rPr>
        <w:t xml:space="preserve">To perform ligand to gene prediction we used the </w:t>
      </w:r>
      <w:proofErr w:type="spellStart"/>
      <w:r w:rsidRPr="00B90D86">
        <w:rPr>
          <w:rFonts w:ascii="Arial" w:hAnsi="Arial" w:cs="Arial"/>
        </w:rPr>
        <w:t>NicheNet</w:t>
      </w:r>
      <w:proofErr w:type="spellEnd"/>
      <w:r w:rsidRPr="00B90D86">
        <w:rPr>
          <w:rFonts w:ascii="Arial" w:hAnsi="Arial" w:cs="Arial"/>
        </w:rPr>
        <w:t xml:space="preserve"> algorithm</w:t>
      </w:r>
      <w:r w:rsidR="00BE5757" w:rsidRPr="00B90D86">
        <w:rPr>
          <w:rFonts w:ascii="Arial" w:hAnsi="Arial" w:cs="Arial"/>
        </w:rPr>
        <w:t xml:space="preserve"> </w:t>
      </w:r>
      <w:r w:rsidRPr="00B90D86">
        <w:rPr>
          <w:rFonts w:ascii="Arial" w:hAnsi="Arial" w:cs="Arial"/>
        </w:rPr>
        <w:fldChar w:fldCharType="begin" w:fldLock="1"/>
      </w:r>
      <w:r w:rsidR="00D64033" w:rsidRPr="00B90D86">
        <w:rPr>
          <w:rFonts w:ascii="Arial" w:hAnsi="Arial" w:cs="Arial"/>
        </w:rPr>
        <w:instrText>ADDIN CSL_CITATION {"citationItems":[{"id":"ITEM-1","itemData":{"DOI":"10.1038/s41592-019-0667-5","ISSN":"15487105","PMID":"31819264","abstract":"Computational methods that model how gene expression of a cell is influenced by interacting cells are lacking. We present NicheNet (https://github.com/saeyslab/nichenetr), a method that predicts ligand–target links between interacting cells by combining their expression data with prior knowledge on signaling and gene regulatory networks. We applied NicheNet to tumor and immune cell microenvironment data and demonstrate that NicheNet can infer active ligands and their gene regulatory effects on interacting cells.","author":[{"dropping-particle":"","family":"Browaeys","given":"Robin","non-dropping-particle":"","parse-names":false,"suffix":""},{"dropping-particle":"","family":"Saelens","given":"Wouter","non-dropping-particle":"","parse-names":false,"suffix":""},{"dropping-particle":"","family":"Saeys","given":"Yvan","non-dropping-particle":"","parse-names":false,"suffix":""}],"container-title":"Nature Methods","id":"ITEM-1","issued":{"date-parts":[["2019"]]},"publisher":"Springer US","title":"NicheNet: modeling intercellular communication by linking ligands to target genes","type":"article-journal"},"uris":["http://www.mendeley.com/documents/?uuid=befd855a-7637-4c6d-bba8-1223515ed7e5"]}],"mendeley":{"formattedCitation":"(9)","plainTextFormattedCitation":"(9)","previouslyFormattedCitation":"(Browaeys, Saelens, and Saeys 2019b)"},"properties":{"noteIndex":0},"schema":"https://github.com/citation-style-language/schema/raw/master/csl-citation.json"}</w:instrText>
      </w:r>
      <w:r w:rsidRPr="00B90D86">
        <w:rPr>
          <w:rFonts w:ascii="Arial" w:hAnsi="Arial" w:cs="Arial"/>
        </w:rPr>
        <w:fldChar w:fldCharType="separate"/>
      </w:r>
      <w:r w:rsidR="00D64033" w:rsidRPr="00B90D86">
        <w:rPr>
          <w:rFonts w:ascii="Arial" w:hAnsi="Arial" w:cs="Arial"/>
          <w:noProof/>
        </w:rPr>
        <w:t>(9)</w:t>
      </w:r>
      <w:r w:rsidRPr="00B90D86">
        <w:rPr>
          <w:rFonts w:ascii="Arial" w:hAnsi="Arial" w:cs="Arial"/>
        </w:rPr>
        <w:fldChar w:fldCharType="end"/>
      </w:r>
      <w:r w:rsidRPr="00B90D86">
        <w:rPr>
          <w:rFonts w:ascii="Arial" w:hAnsi="Arial" w:cs="Arial"/>
        </w:rPr>
        <w:t>. This analysis allows linking the activity of a ‘sender cell’, through its ligands, to a transcriptional program of a ‘receiver cell’. In our dataset we determined Transition macrophages as the sender cells and LDECs as the receivers. To sort the genes expressed at medium and high level in both cell types we followed a TPM-based approach, considering only the genes which had a mean log2 TPM values higher than 3, a criterion adapted from</w:t>
      </w:r>
      <w:r w:rsidR="00BE5757" w:rsidRPr="00B90D86">
        <w:rPr>
          <w:rFonts w:ascii="Arial" w:hAnsi="Arial" w:cs="Arial"/>
        </w:rPr>
        <w:t xml:space="preserve"> </w:t>
      </w:r>
      <w:r w:rsidRPr="00B90D86">
        <w:rPr>
          <w:rFonts w:ascii="Arial" w:hAnsi="Arial" w:cs="Arial"/>
        </w:rPr>
        <w:fldChar w:fldCharType="begin" w:fldLock="1"/>
      </w:r>
      <w:r w:rsidR="00D64033" w:rsidRPr="00B90D86">
        <w:rPr>
          <w:rFonts w:ascii="Arial" w:hAnsi="Arial" w:cs="Arial"/>
        </w:rPr>
        <w:instrText xml:space="preserve">ADDIN CSL_CITATION {"citationItems":[{"id":"ITEM-1","itemData":{"DOI":"10.1016/j.cell.2017.10.044","ISSN":"10974172","abstract":"The diverse malignant, stromal, and immune cells in tumors affect growth, metastasis, and response to therapy. We profiled transcriptomes of </w:instrText>
      </w:r>
      <w:r w:rsidR="00D64033" w:rsidRPr="00B90D86">
        <w:rPr>
          <w:rFonts w:ascii="Cambria Math" w:hAnsi="Cambria Math" w:cs="Cambria Math"/>
        </w:rPr>
        <w:instrText>∼</w:instrText>
      </w:r>
      <w:r w:rsidR="00D64033" w:rsidRPr="00B90D86">
        <w:rPr>
          <w:rFonts w:ascii="Arial" w:hAnsi="Arial" w:cs="Arial"/>
        </w:rPr>
        <w:instrText>6,000 single cells from 18 head and neck squamous cell carcinoma (HNSCC) patients, including five matched pairs of primary tumors and lymph node metastases. Stromal and immune cells had consistent expression programs across patients. Conversely, malignant cells varied within and between tumors in their expression of signatures related to cell cycle, stress, hypoxia, epithelial differentiation, and partial epithelial-to-mesenchymal transition (p-EMT). Cells expressing the p-EMT program spatially localized to the leading edge of primary tumors. By integrating single-cell transcriptomes with bulk expression profiles for hundreds of tumors, we refined HNSCC subtypes by their malignant and stromal composition and established p-EMT as an independent predictor of nodal metastasis, grade, and adverse pathologic features. Our results provide insight into the HNSCC ecosystem and define stromal interactions and a p-EMT program associated with metastasis. Single-cell transcriptomic analysis in patients with head and neck squamous cell carcinoma highlights the heterogeneous composition of malignant and non-malignant cells in the tumor microenvironment and associates a partial EMT program with metastasis.","author":[{"dropping-particle":"V.","family":"Puram","given":"Sidharth","non-dropping-particle":"","parse-names":false,"suffix":""},{"dropping-particle":"","family":"Tirosh","given":"Itay","non-dropping-particle":"","parse-names":false,"suffix":""},{"dropping-particle":"","family":"Parikh","given":"Anuraag S.","non-dropping-particle":"","parse-names":false,"suffix":""},{"dropping-particle":"","family":"Patel","given":"Anoop P.","non-dropping-particle":"","parse-names":false,"suffix":""},{"dropping-particle":"","family":"Yizhak","given":"Keren","non-dropping-particle":"","parse-names":false,"suffix":""},{"dropping-particle":"","family":"Gillespie","given":"Shawn","non-dropping-particle":"","parse-names":false,"suffix":""},{"dropping-particle":"","family":"Rodman","given":"Christopher","non-dropping-particle":"","parse-names":false,"suffix":""},{"dropping-particle":"","family":"Luo","given":"Christina L.","non-dropping-particle":"","parse-names":false,"suffix":""},{"dropping-particle":"","family":"Mroz","given":"Edmund A.","non-dropping-particle":"","parse-names":false,"suffix":""},{"dropping-particle":"","family":"Emerick","given":"Kevin S.","non-dropping-particle":"","parse-names":false,"suffix":""},{"dropping-particle":"","family":"Deschler","given":"Daniel G.","non-dropping-particle":"","parse-names":false,"suffix":""},{"dropping-particle":"","family":"Varvares","given":"Mark A.","non-dropping-particle":"","parse-names":false,"suffix":""},{"dropping-particle":"","family":"Mylvaganam","given":"Ravi","non-dropping-particle":"","parse-names":false,"suffix":""},{"dropping-particle":"","family":"Rozenblatt-Rosen","given":"Orit","non-dropping-particle":"","parse-names":false,"suffix":""},{"dropping-particle":"","family":"Rocco","given":"James W.","non-dropping-particle":"","parse-names":false,"suffix":""},{"dropping-particle":"","family":"Faquin","given":"William C.","non-dropping-particle":"","parse-names":false,"suffix":""},{"dropping-particle":"","family":"Lin","given":"Derrick T.","non-dropping-particle":"","parse-names":false,"suffix":""},{"dropping-particle":"","family":"Regev","given":"Aviv","non-dropping-particle":"","parse-names":false,"suffix":""},{"dropping-particle":"","family":"Bernstein","given":"Bradley E.","non-dropping-particle":"","parse-names":false,"suffix":""}],"container-title":"Cell","id":"ITEM-1","issue":"7","issued":{"date-parts":[["2017"]]},"page":"1611-1624.e24","publisher":"Elsevier Inc.","title":"Single-Cell Transcriptomic Analysis of Primary and Metastatic Tumor Ecosystems in Head and Neck Cancer","type":"article-journal","volume":"171"},"uris":["http://www.mendeley.com/documents/?uuid=35b56a53-0a52-4902-a0ed-01c4cc6ae48e"]}],"mendeley":{"formattedCitation":"(10)","plainTextFormattedCitation":"(10)","previouslyFormattedCitation":"(Puram et al. 2017)"},"properties":{"noteIndex":0},"schema":"https://github.com/citation-style-language/schema/raw/master/csl-citation.json"}</w:instrText>
      </w:r>
      <w:r w:rsidRPr="00B90D86">
        <w:rPr>
          <w:rFonts w:ascii="Arial" w:hAnsi="Arial" w:cs="Arial"/>
        </w:rPr>
        <w:fldChar w:fldCharType="separate"/>
      </w:r>
      <w:r w:rsidR="00D64033" w:rsidRPr="00B90D86">
        <w:rPr>
          <w:rFonts w:ascii="Arial" w:hAnsi="Arial" w:cs="Arial"/>
          <w:noProof/>
        </w:rPr>
        <w:t>(10)</w:t>
      </w:r>
      <w:r w:rsidRPr="00B90D86">
        <w:rPr>
          <w:rFonts w:ascii="Arial" w:hAnsi="Arial" w:cs="Arial"/>
        </w:rPr>
        <w:fldChar w:fldCharType="end"/>
      </w:r>
      <w:r w:rsidRPr="00B90D86">
        <w:rPr>
          <w:rFonts w:ascii="Arial" w:hAnsi="Arial" w:cs="Arial"/>
        </w:rPr>
        <w:t xml:space="preserve">. In order to transform the gene counts into TPM values, we used the total gene counts and the gene length obtained using the </w:t>
      </w:r>
      <w:proofErr w:type="spellStart"/>
      <w:r w:rsidRPr="00B90D86">
        <w:rPr>
          <w:rFonts w:ascii="Arial" w:hAnsi="Arial" w:cs="Arial"/>
        </w:rPr>
        <w:t>biomaRt</w:t>
      </w:r>
      <w:proofErr w:type="spellEnd"/>
      <w:r w:rsidRPr="00B90D86">
        <w:rPr>
          <w:rFonts w:ascii="Arial" w:hAnsi="Arial" w:cs="Arial"/>
        </w:rPr>
        <w:t xml:space="preserve"> package v.2.38.0</w:t>
      </w:r>
      <w:r w:rsidR="00BE5757" w:rsidRPr="00B90D86">
        <w:rPr>
          <w:rFonts w:ascii="Arial" w:hAnsi="Arial" w:cs="Arial"/>
        </w:rPr>
        <w:t xml:space="preserve"> </w:t>
      </w:r>
      <w:r w:rsidRPr="00B90D86">
        <w:rPr>
          <w:rFonts w:ascii="Arial" w:hAnsi="Arial" w:cs="Arial"/>
        </w:rPr>
        <w:fldChar w:fldCharType="begin" w:fldLock="1"/>
      </w:r>
      <w:r w:rsidR="00D64033" w:rsidRPr="00B90D86">
        <w:rPr>
          <w:rFonts w:ascii="Arial" w:hAnsi="Arial" w:cs="Arial"/>
        </w:rPr>
        <w:instrText>ADDIN CSL_CITATION {"citationItems":[{"id":"ITEM-1","itemData":{"DOI":"10.1038/nprot.2009.97","ISSN":"17542189","abstract":"Genomic experiments produce multiple views of biological systems, among them are DNA sequence and copy number variation, and mRNA and protein abundance. Understanding these systems needs integrated bioinformatic analysis. Public databases such as Ensembl provide relationships and mappings between the relevant sets of probe and target molecules. However, the relationships can be biologically complex and the content of the databases is dynamic. We demonstrate how to use the computational environment R to integrate and jointly analyze experimental datasets, employing BioMart web services to provide the molecule mappings. We also discuss typical problems that are encountered in making gene-to-transcript-to-protein mappings. The approach provides a flexible, programmable and reproducible basis for state-of-the-art bioinformatic data integration.","author":[{"dropping-particle":"","family":"Durinck","given":"Steffen","non-dropping-particle":"","parse-names":false,"suffix":""},{"dropping-particle":"","family":"Spellman","given":"Paul T.","non-dropping-particle":"","parse-names":false,"suffix":""},{"dropping-particle":"","family":"Birney","given":"Ewan","non-dropping-particle":"","parse-names":false,"suffix":""},{"dropping-particle":"","family":"Huber","given":"Wolfgang","non-dropping-particle":"","parse-names":false,"suffix":""}],"container-title":"Nature Protocols","id":"ITEM-1","issue":"8","issued":{"date-parts":[["2009"]]},"page":"1184-1191","title":"Mapping identifiers for the integration of genomic datasets with the R/ Bioconductor package biomaRt","type":"article-journal","volume":"4"},"uris":["http://www.mendeley.com/documents/?uuid=48aa9b90-b547-4860-ad1b-131d49fe77c2"]}],"mendeley":{"formattedCitation":"(11)","plainTextFormattedCitation":"(11)","previouslyFormattedCitation":"(Durinck et al. 2009)"},"properties":{"noteIndex":0},"schema":"https://github.com/citation-style-language/schema/raw/master/csl-citation.json"}</w:instrText>
      </w:r>
      <w:r w:rsidRPr="00B90D86">
        <w:rPr>
          <w:rFonts w:ascii="Arial" w:hAnsi="Arial" w:cs="Arial"/>
        </w:rPr>
        <w:fldChar w:fldCharType="separate"/>
      </w:r>
      <w:r w:rsidR="00D64033" w:rsidRPr="00B90D86">
        <w:rPr>
          <w:rFonts w:ascii="Arial" w:hAnsi="Arial" w:cs="Arial"/>
          <w:noProof/>
        </w:rPr>
        <w:t>(11)</w:t>
      </w:r>
      <w:r w:rsidRPr="00B90D86">
        <w:rPr>
          <w:rFonts w:ascii="Arial" w:hAnsi="Arial" w:cs="Arial"/>
        </w:rPr>
        <w:fldChar w:fldCharType="end"/>
      </w:r>
      <w:r w:rsidRPr="00B90D86">
        <w:rPr>
          <w:rFonts w:ascii="Arial" w:hAnsi="Arial" w:cs="Arial"/>
        </w:rPr>
        <w:t xml:space="preserve"> and the corresponding </w:t>
      </w:r>
      <w:proofErr w:type="spellStart"/>
      <w:r w:rsidRPr="00B90D86">
        <w:rPr>
          <w:rFonts w:ascii="Arial" w:hAnsi="Arial" w:cs="Arial"/>
        </w:rPr>
        <w:t>Ensembl</w:t>
      </w:r>
      <w:proofErr w:type="spellEnd"/>
      <w:r w:rsidRPr="00B90D86">
        <w:rPr>
          <w:rFonts w:ascii="Arial" w:hAnsi="Arial" w:cs="Arial"/>
        </w:rPr>
        <w:t xml:space="preserve"> version. To apply </w:t>
      </w:r>
      <w:proofErr w:type="spellStart"/>
      <w:r w:rsidRPr="00B90D86">
        <w:rPr>
          <w:rFonts w:ascii="Arial" w:hAnsi="Arial" w:cs="Arial"/>
        </w:rPr>
        <w:t>NicheNet</w:t>
      </w:r>
      <w:proofErr w:type="spellEnd"/>
      <w:r w:rsidRPr="00B90D86">
        <w:rPr>
          <w:rFonts w:ascii="Arial" w:hAnsi="Arial" w:cs="Arial"/>
        </w:rPr>
        <w:t xml:space="preserve"> pipeline we used available information (ligand-to-target matrix and network)</w:t>
      </w:r>
      <w:r w:rsidR="00BE5757" w:rsidRPr="00B90D86">
        <w:rPr>
          <w:rFonts w:ascii="Arial" w:hAnsi="Arial" w:cs="Arial"/>
        </w:rPr>
        <w:t xml:space="preserve"> </w:t>
      </w:r>
      <w:r w:rsidRPr="00B90D86">
        <w:rPr>
          <w:rFonts w:ascii="Arial" w:hAnsi="Arial" w:cs="Arial"/>
        </w:rPr>
        <w:fldChar w:fldCharType="begin" w:fldLock="1"/>
      </w:r>
      <w:r w:rsidR="00D64033" w:rsidRPr="00B90D86">
        <w:rPr>
          <w:rFonts w:ascii="Arial" w:hAnsi="Arial" w:cs="Arial"/>
        </w:rPr>
        <w:instrText>ADDIN CSL_CITATION {"citationItems":[{"id":"ITEM-1","itemData":{"author":[{"dropping-particle":"","family":"Browaeys","given":"Robin","non-dropping-particle":"","parse-names":false,"suffix":""},{"dropping-particle":"","family":"Saelens","given":"Wouter","non-dropping-particle":"","parse-names":false,"suffix":""},{"dropping-particle":"","family":"Saeys","given":"Yvan","non-dropping-particle":"","parse-names":false,"suffix":""}],"container-title":"Zenodo","id":"ITEM-1","issued":{"date-parts":[["2019"]]},"title":"Development, evaluation and application of NicheNet: datasets [Data set].","type":"article-journal"},"uris":["http://www.mendeley.com/documents/?uuid=667eba61-cc78-4fe0-9648-0abd12acaf25"]}],"mendeley":{"formattedCitation":"(12)","plainTextFormattedCitation":"(12)","previouslyFormattedCitation":"(Browaeys, Saelens, and Saeys 2019a)"},"properties":{"noteIndex":0},"schema":"https://github.com/citation-style-language/schema/raw/master/csl-citation.json"}</w:instrText>
      </w:r>
      <w:r w:rsidRPr="00B90D86">
        <w:rPr>
          <w:rFonts w:ascii="Arial" w:hAnsi="Arial" w:cs="Arial"/>
        </w:rPr>
        <w:fldChar w:fldCharType="separate"/>
      </w:r>
      <w:r w:rsidR="00D64033" w:rsidRPr="00B90D86">
        <w:rPr>
          <w:rFonts w:ascii="Arial" w:hAnsi="Arial" w:cs="Arial"/>
          <w:noProof/>
        </w:rPr>
        <w:t>(12)</w:t>
      </w:r>
      <w:r w:rsidRPr="00B90D86">
        <w:rPr>
          <w:rFonts w:ascii="Arial" w:hAnsi="Arial" w:cs="Arial"/>
        </w:rPr>
        <w:fldChar w:fldCharType="end"/>
      </w:r>
      <w:r w:rsidRPr="00B90D86">
        <w:rPr>
          <w:rFonts w:ascii="Arial" w:hAnsi="Arial" w:cs="Arial"/>
        </w:rPr>
        <w:t xml:space="preserve"> and a transcriptional program defined by us. These were filtered to include only the ligands expressed by the sender cells as well as the receptors expressed in the receiver cells. To determine the most relevant ligands explaining the downstream transcriptional signature, we used the Pearson Correlation Coefficient values, as recommended by the algorithm’s authors</w:t>
      </w:r>
      <w:r w:rsidR="00BE5757" w:rsidRPr="00B90D86">
        <w:rPr>
          <w:rFonts w:ascii="Arial" w:hAnsi="Arial" w:cs="Arial"/>
        </w:rPr>
        <w:t xml:space="preserve"> </w:t>
      </w:r>
      <w:r w:rsidR="008F25EB" w:rsidRPr="00B90D86">
        <w:rPr>
          <w:rFonts w:ascii="Arial" w:hAnsi="Arial" w:cs="Arial"/>
        </w:rPr>
        <w:fldChar w:fldCharType="begin" w:fldLock="1"/>
      </w:r>
      <w:r w:rsidR="00D64033" w:rsidRPr="00B90D86">
        <w:rPr>
          <w:rFonts w:ascii="Arial" w:hAnsi="Arial" w:cs="Arial"/>
        </w:rPr>
        <w:instrText>ADDIN CSL_CITATION {"citationItems":[{"id":"ITEM-1","itemData":{"author":[{"dropping-particle":"","family":"Browaeys","given":"Robin","non-dropping-particle":"","parse-names":false,"suffix":""},{"dropping-particle":"","family":"Saelens","given":"Wouter","non-dropping-particle":"","parse-names":false,"suffix":""},{"dropping-particle":"","family":"Saeys","given":"Yvan","non-dropping-particle":"","parse-names":false,"suffix":""}],"container-title":"Zenodo","id":"ITEM-1","issued":{"date-parts":[["2019"]]},"title":"Development, evaluation and application of NicheNet: datasets [Data set].","type":"article-journal"},"uris":["http://www.mendeley.com/documents/?uuid=667eba61-cc78-4fe0-9648-0abd12acaf25"]}],"mendeley":{"formattedCitation":"(12)","plainTextFormattedCitation":"(12)","previouslyFormattedCitation":"(Browaeys et al. 2019a)"},"properties":{"noteIndex":0},"schema":"https://github.com/citation-style-language/schema/raw/master/csl-citation.json"}</w:instrText>
      </w:r>
      <w:r w:rsidR="008F25EB" w:rsidRPr="00B90D86">
        <w:rPr>
          <w:rFonts w:ascii="Arial" w:hAnsi="Arial" w:cs="Arial"/>
        </w:rPr>
        <w:fldChar w:fldCharType="separate"/>
      </w:r>
      <w:r w:rsidR="00D64033" w:rsidRPr="00B90D86">
        <w:rPr>
          <w:rFonts w:ascii="Arial" w:hAnsi="Arial" w:cs="Arial"/>
          <w:noProof/>
        </w:rPr>
        <w:t>(12)</w:t>
      </w:r>
      <w:r w:rsidR="008F25EB" w:rsidRPr="00B90D86">
        <w:rPr>
          <w:rFonts w:ascii="Arial" w:hAnsi="Arial" w:cs="Arial"/>
        </w:rPr>
        <w:fldChar w:fldCharType="end"/>
      </w:r>
      <w:r w:rsidRPr="00B90D86">
        <w:rPr>
          <w:rFonts w:ascii="Arial" w:hAnsi="Arial" w:cs="Arial"/>
        </w:rPr>
        <w:t>. Regarding network analysis, we performed several iterations, modifying the number of ligands and the size of the considered database.</w:t>
      </w:r>
    </w:p>
    <w:p w14:paraId="4D7A51A1" w14:textId="77777777" w:rsidR="00624163" w:rsidRPr="00B90D86" w:rsidRDefault="00624163" w:rsidP="00224FEF">
      <w:pPr>
        <w:jc w:val="both"/>
        <w:rPr>
          <w:rStyle w:val="Heading3Char"/>
          <w:rFonts w:eastAsiaTheme="minorHAnsi" w:cs="Arial"/>
          <w:szCs w:val="22"/>
        </w:rPr>
      </w:pPr>
    </w:p>
    <w:p w14:paraId="28C3806C" w14:textId="01431037" w:rsidR="004D36AB" w:rsidRPr="00B90D86" w:rsidRDefault="00624163" w:rsidP="00224FEF">
      <w:pPr>
        <w:jc w:val="both"/>
        <w:rPr>
          <w:rStyle w:val="Heading3Char"/>
          <w:rFonts w:eastAsiaTheme="minorHAnsi" w:cs="Arial"/>
          <w:szCs w:val="22"/>
        </w:rPr>
      </w:pPr>
      <w:r w:rsidRPr="00B90D86">
        <w:rPr>
          <w:rStyle w:val="Heading3Char"/>
          <w:rFonts w:eastAsiaTheme="minorHAnsi" w:cs="Arial"/>
          <w:szCs w:val="22"/>
        </w:rPr>
        <w:t>Data and Code Availability</w:t>
      </w:r>
    </w:p>
    <w:p w14:paraId="04D1B6AC" w14:textId="13850021" w:rsidR="00526694" w:rsidRPr="00B90D86" w:rsidRDefault="00526694" w:rsidP="00526694">
      <w:pPr>
        <w:spacing w:line="360" w:lineRule="auto"/>
        <w:jc w:val="both"/>
        <w:rPr>
          <w:rFonts w:ascii="Arial" w:hAnsi="Arial" w:cs="Arial"/>
          <w:b/>
          <w:bCs/>
          <w:i/>
          <w:iCs/>
        </w:rPr>
      </w:pPr>
      <w:r w:rsidRPr="00B90D86">
        <w:rPr>
          <w:rStyle w:val="Heading3Char"/>
          <w:rFonts w:eastAsiaTheme="minorHAnsi" w:cs="Arial"/>
          <w:b w:val="0"/>
          <w:bCs w:val="0"/>
          <w:i w:val="0"/>
          <w:iCs/>
          <w:szCs w:val="22"/>
        </w:rPr>
        <w:t xml:space="preserve">The RNA-seq datasets and scripts generated during this study are available on GitHub: </w:t>
      </w:r>
      <w:r w:rsidRPr="00B90D86">
        <w:rPr>
          <w:rFonts w:ascii="Arial" w:hAnsi="Arial" w:cs="Arial"/>
        </w:rPr>
        <w:t>https://github.com/andrebolerbarros/RNASeq_icoelho_etal_2020/</w:t>
      </w:r>
      <w:r w:rsidRPr="00B90D86">
        <w:rPr>
          <w:rFonts w:ascii="Arial" w:eastAsia="Times New Roman" w:hAnsi="Arial" w:cs="Arial"/>
        </w:rPr>
        <w:t>.</w:t>
      </w:r>
    </w:p>
    <w:p w14:paraId="6F226721" w14:textId="690A0699" w:rsidR="004D36AB" w:rsidRDefault="004D36AB" w:rsidP="00224FEF">
      <w:pPr>
        <w:jc w:val="both"/>
        <w:rPr>
          <w:rFonts w:ascii="Arial" w:hAnsi="Arial" w:cs="Arial"/>
        </w:rPr>
      </w:pPr>
    </w:p>
    <w:p w14:paraId="40ABFC64" w14:textId="20FE55E2" w:rsidR="00B72E89" w:rsidRDefault="00B72E89" w:rsidP="00224FEF">
      <w:pPr>
        <w:jc w:val="both"/>
        <w:rPr>
          <w:rFonts w:ascii="Arial" w:hAnsi="Arial" w:cs="Arial"/>
        </w:rPr>
      </w:pPr>
    </w:p>
    <w:p w14:paraId="58317280" w14:textId="77777777" w:rsidR="00B72E89" w:rsidRPr="00B90D86" w:rsidRDefault="00B72E89" w:rsidP="00224FEF">
      <w:pPr>
        <w:jc w:val="both"/>
        <w:rPr>
          <w:rFonts w:ascii="Arial" w:hAnsi="Arial" w:cs="Arial"/>
        </w:rPr>
      </w:pPr>
    </w:p>
    <w:p w14:paraId="15DB4A29" w14:textId="77777777" w:rsidR="004D36AB" w:rsidRPr="00B90D86" w:rsidRDefault="004D36AB" w:rsidP="00224FEF">
      <w:pPr>
        <w:jc w:val="both"/>
        <w:rPr>
          <w:rFonts w:ascii="Arial" w:hAnsi="Arial" w:cs="Arial"/>
        </w:rPr>
      </w:pPr>
    </w:p>
    <w:p w14:paraId="2B59AC81" w14:textId="77777777" w:rsidR="004D36AB" w:rsidRPr="00B90D86" w:rsidRDefault="00224FEF" w:rsidP="00224FEF">
      <w:pPr>
        <w:jc w:val="both"/>
        <w:rPr>
          <w:rFonts w:ascii="Arial" w:hAnsi="Arial" w:cs="Arial"/>
          <w:b/>
          <w:bCs/>
        </w:rPr>
      </w:pPr>
      <w:bookmarkStart w:id="7" w:name="_Toc19291596"/>
      <w:r w:rsidRPr="00B90D86">
        <w:rPr>
          <w:rFonts w:ascii="Arial" w:hAnsi="Arial" w:cs="Arial"/>
          <w:b/>
          <w:bCs/>
        </w:rPr>
        <w:lastRenderedPageBreak/>
        <w:t>Antibodies</w:t>
      </w:r>
      <w:bookmarkEnd w:id="7"/>
      <w:r w:rsidRPr="00B90D86">
        <w:rPr>
          <w:rFonts w:ascii="Arial" w:hAnsi="Arial" w:cs="Arial"/>
          <w:b/>
          <w:bCs/>
        </w:rPr>
        <w:t xml:space="preserve"> </w:t>
      </w: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2241"/>
        <w:gridCol w:w="1180"/>
      </w:tblGrid>
      <w:tr w:rsidR="004D36AB" w:rsidRPr="00B90D86" w14:paraId="49B82A9D" w14:textId="77777777">
        <w:trPr>
          <w:gridAfter w:val="2"/>
          <w:wAfter w:w="3421" w:type="dxa"/>
          <w:trHeight w:val="90"/>
          <w:jc w:val="center"/>
        </w:trPr>
        <w:tc>
          <w:tcPr>
            <w:tcW w:w="3397" w:type="dxa"/>
            <w:shd w:val="clear" w:color="auto" w:fill="auto"/>
            <w:noWrap/>
            <w:vAlign w:val="center"/>
          </w:tcPr>
          <w:p w14:paraId="2A3B8DB5" w14:textId="77777777" w:rsidR="004D36AB" w:rsidRPr="00B90D86" w:rsidRDefault="00224FEF" w:rsidP="00224FEF">
            <w:pPr>
              <w:jc w:val="both"/>
              <w:rPr>
                <w:rFonts w:ascii="Arial" w:eastAsia="Times New Roman" w:hAnsi="Arial" w:cs="Arial"/>
                <w:b/>
                <w:bCs/>
                <w:color w:val="000000"/>
                <w:lang w:val="pt-PT" w:eastAsia="pt-PT"/>
              </w:rPr>
            </w:pPr>
            <w:r w:rsidRPr="00B90D86">
              <w:rPr>
                <w:rFonts w:ascii="Arial" w:eastAsia="Times New Roman" w:hAnsi="Arial" w:cs="Arial"/>
                <w:b/>
                <w:bCs/>
                <w:color w:val="000000"/>
                <w:lang w:val="pt-PT" w:eastAsia="pt-PT"/>
              </w:rPr>
              <w:t>Immunohistochemistry/ Immunofluorescence</w:t>
            </w:r>
          </w:p>
        </w:tc>
      </w:tr>
      <w:tr w:rsidR="004D36AB" w:rsidRPr="00B90D86" w14:paraId="5203F70C" w14:textId="77777777">
        <w:trPr>
          <w:trHeight w:val="87"/>
          <w:jc w:val="center"/>
        </w:trPr>
        <w:tc>
          <w:tcPr>
            <w:tcW w:w="3397" w:type="dxa"/>
            <w:shd w:val="clear" w:color="auto" w:fill="auto"/>
            <w:noWrap/>
            <w:vAlign w:val="center"/>
          </w:tcPr>
          <w:p w14:paraId="3947A0AA" w14:textId="77777777" w:rsidR="004D36AB" w:rsidRPr="00B90D86" w:rsidRDefault="00224FEF" w:rsidP="00224FEF">
            <w:pPr>
              <w:jc w:val="both"/>
              <w:rPr>
                <w:rFonts w:ascii="Arial" w:eastAsia="Times New Roman" w:hAnsi="Arial" w:cs="Arial"/>
                <w:b/>
                <w:bCs/>
                <w:color w:val="000000"/>
                <w:lang w:val="pt-PT" w:eastAsia="pt-PT"/>
              </w:rPr>
            </w:pPr>
            <w:bookmarkStart w:id="8" w:name="_Toc19291597"/>
            <w:bookmarkStart w:id="9" w:name="_Toc19222671"/>
            <w:bookmarkStart w:id="10" w:name="_Toc15297028"/>
            <w:bookmarkStart w:id="11" w:name="_Toc15306694"/>
            <w:bookmarkStart w:id="12" w:name="_Toc15144254"/>
            <w:bookmarkStart w:id="13" w:name="_Toc15307343"/>
            <w:r w:rsidRPr="00B90D86">
              <w:rPr>
                <w:rFonts w:ascii="Arial" w:eastAsia="Times New Roman" w:hAnsi="Arial" w:cs="Arial"/>
                <w:b/>
                <w:bCs/>
                <w:color w:val="000000"/>
                <w:lang w:val="pt-PT" w:eastAsia="pt-PT"/>
              </w:rPr>
              <w:t>Antibody</w:t>
            </w:r>
            <w:bookmarkEnd w:id="8"/>
            <w:bookmarkEnd w:id="9"/>
            <w:bookmarkEnd w:id="10"/>
            <w:bookmarkEnd w:id="11"/>
            <w:bookmarkEnd w:id="12"/>
            <w:bookmarkEnd w:id="13"/>
          </w:p>
        </w:tc>
        <w:tc>
          <w:tcPr>
            <w:tcW w:w="2241" w:type="dxa"/>
            <w:shd w:val="clear" w:color="auto" w:fill="auto"/>
            <w:noWrap/>
            <w:vAlign w:val="center"/>
          </w:tcPr>
          <w:p w14:paraId="0BEB70D4" w14:textId="77777777" w:rsidR="004D36AB" w:rsidRPr="00B90D86" w:rsidRDefault="00224FEF" w:rsidP="00224FEF">
            <w:pPr>
              <w:jc w:val="both"/>
              <w:rPr>
                <w:rFonts w:ascii="Arial" w:eastAsia="Times New Roman" w:hAnsi="Arial" w:cs="Arial"/>
                <w:b/>
                <w:bCs/>
                <w:color w:val="000000"/>
                <w:lang w:val="pt-PT" w:eastAsia="pt-PT"/>
              </w:rPr>
            </w:pPr>
            <w:r w:rsidRPr="00B90D86">
              <w:rPr>
                <w:rFonts w:ascii="Arial" w:eastAsia="Times New Roman" w:hAnsi="Arial" w:cs="Arial"/>
                <w:b/>
                <w:bCs/>
                <w:color w:val="000000"/>
                <w:lang w:val="pt-PT" w:eastAsia="pt-PT"/>
              </w:rPr>
              <w:t xml:space="preserve">Supplier </w:t>
            </w:r>
          </w:p>
        </w:tc>
        <w:tc>
          <w:tcPr>
            <w:tcW w:w="1180" w:type="dxa"/>
            <w:shd w:val="clear" w:color="auto" w:fill="auto"/>
            <w:noWrap/>
            <w:vAlign w:val="center"/>
          </w:tcPr>
          <w:p w14:paraId="62542B0A" w14:textId="77777777" w:rsidR="004D36AB" w:rsidRPr="00B90D86" w:rsidRDefault="00224FEF" w:rsidP="00224FEF">
            <w:pPr>
              <w:jc w:val="both"/>
              <w:rPr>
                <w:rFonts w:ascii="Arial" w:eastAsia="Times New Roman" w:hAnsi="Arial" w:cs="Arial"/>
                <w:b/>
                <w:bCs/>
                <w:color w:val="000000"/>
                <w:lang w:val="pt-PT" w:eastAsia="pt-PT"/>
              </w:rPr>
            </w:pPr>
            <w:r w:rsidRPr="00B90D86">
              <w:rPr>
                <w:rFonts w:ascii="Arial" w:eastAsia="Times New Roman" w:hAnsi="Arial" w:cs="Arial"/>
                <w:b/>
                <w:bCs/>
                <w:color w:val="000000"/>
                <w:lang w:val="pt-PT" w:eastAsia="pt-PT"/>
              </w:rPr>
              <w:t>Clone</w:t>
            </w:r>
          </w:p>
        </w:tc>
      </w:tr>
      <w:tr w:rsidR="004D36AB" w:rsidRPr="00B90D86" w14:paraId="54409C36" w14:textId="77777777">
        <w:trPr>
          <w:trHeight w:val="82"/>
          <w:jc w:val="center"/>
        </w:trPr>
        <w:tc>
          <w:tcPr>
            <w:tcW w:w="3397" w:type="dxa"/>
            <w:shd w:val="clear" w:color="auto" w:fill="auto"/>
            <w:noWrap/>
            <w:vAlign w:val="center"/>
          </w:tcPr>
          <w:p w14:paraId="7D296E15"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Rat anti-F4/80</w:t>
            </w:r>
          </w:p>
        </w:tc>
        <w:tc>
          <w:tcPr>
            <w:tcW w:w="2241" w:type="dxa"/>
            <w:shd w:val="clear" w:color="auto" w:fill="auto"/>
            <w:noWrap/>
            <w:vAlign w:val="center"/>
          </w:tcPr>
          <w:p w14:paraId="39711CF5"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BioRad</w:t>
            </w:r>
          </w:p>
        </w:tc>
        <w:tc>
          <w:tcPr>
            <w:tcW w:w="1180" w:type="dxa"/>
            <w:shd w:val="clear" w:color="auto" w:fill="auto"/>
            <w:noWrap/>
            <w:vAlign w:val="center"/>
          </w:tcPr>
          <w:p w14:paraId="4370AA43" w14:textId="77777777" w:rsidR="004D36AB" w:rsidRPr="00B90D86" w:rsidRDefault="00224FEF" w:rsidP="00224FEF">
            <w:pPr>
              <w:jc w:val="both"/>
              <w:rPr>
                <w:rFonts w:ascii="Arial" w:eastAsia="Times New Roman" w:hAnsi="Arial" w:cs="Arial"/>
                <w:color w:val="212529"/>
                <w:lang w:val="pt-PT" w:eastAsia="pt-PT"/>
              </w:rPr>
            </w:pPr>
            <w:r w:rsidRPr="00B90D86">
              <w:rPr>
                <w:rFonts w:ascii="Arial" w:eastAsia="Times New Roman" w:hAnsi="Arial" w:cs="Arial"/>
                <w:color w:val="212529"/>
                <w:lang w:val="pt-PT" w:eastAsia="pt-PT"/>
              </w:rPr>
              <w:t>Cl:A3-1</w:t>
            </w:r>
          </w:p>
        </w:tc>
      </w:tr>
      <w:tr w:rsidR="004D36AB" w:rsidRPr="00B90D86" w14:paraId="2728982E" w14:textId="77777777">
        <w:trPr>
          <w:trHeight w:val="90"/>
          <w:jc w:val="center"/>
        </w:trPr>
        <w:tc>
          <w:tcPr>
            <w:tcW w:w="3397" w:type="dxa"/>
            <w:shd w:val="clear" w:color="auto" w:fill="auto"/>
            <w:noWrap/>
            <w:vAlign w:val="center"/>
          </w:tcPr>
          <w:p w14:paraId="4DB5B595"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Rabbit anti-Caspase-3</w:t>
            </w:r>
          </w:p>
        </w:tc>
        <w:tc>
          <w:tcPr>
            <w:tcW w:w="2241" w:type="dxa"/>
            <w:shd w:val="clear" w:color="auto" w:fill="auto"/>
            <w:noWrap/>
            <w:vAlign w:val="center"/>
          </w:tcPr>
          <w:p w14:paraId="4F03F988"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Abcam</w:t>
            </w:r>
          </w:p>
        </w:tc>
        <w:tc>
          <w:tcPr>
            <w:tcW w:w="1180" w:type="dxa"/>
            <w:shd w:val="clear" w:color="auto" w:fill="auto"/>
            <w:noWrap/>
            <w:vAlign w:val="center"/>
          </w:tcPr>
          <w:p w14:paraId="6688BF87"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polyclonal</w:t>
            </w:r>
          </w:p>
        </w:tc>
      </w:tr>
      <w:tr w:rsidR="004D36AB" w:rsidRPr="00B90D86" w14:paraId="26A4B452" w14:textId="77777777">
        <w:trPr>
          <w:trHeight w:val="97"/>
          <w:jc w:val="center"/>
        </w:trPr>
        <w:tc>
          <w:tcPr>
            <w:tcW w:w="3397" w:type="dxa"/>
            <w:shd w:val="clear" w:color="auto" w:fill="auto"/>
            <w:noWrap/>
            <w:vAlign w:val="center"/>
          </w:tcPr>
          <w:p w14:paraId="5B62D308" w14:textId="77777777" w:rsidR="004D36AB" w:rsidRPr="00B90D86" w:rsidRDefault="00224FEF" w:rsidP="00224FEF">
            <w:pPr>
              <w:jc w:val="both"/>
              <w:rPr>
                <w:rFonts w:ascii="Arial" w:eastAsia="Times New Roman" w:hAnsi="Arial" w:cs="Arial"/>
                <w:color w:val="000000"/>
                <w:lang w:eastAsia="pt-PT"/>
              </w:rPr>
            </w:pPr>
            <w:r w:rsidRPr="00B90D86">
              <w:rPr>
                <w:rFonts w:ascii="Arial" w:eastAsia="Times New Roman" w:hAnsi="Arial" w:cs="Arial"/>
                <w:color w:val="000000"/>
                <w:lang w:eastAsia="pt-PT"/>
              </w:rPr>
              <w:t>Goat anti-rat IgG Alexa Fluor 647</w:t>
            </w:r>
          </w:p>
        </w:tc>
        <w:tc>
          <w:tcPr>
            <w:tcW w:w="2241" w:type="dxa"/>
            <w:shd w:val="clear" w:color="auto" w:fill="auto"/>
            <w:noWrap/>
            <w:vAlign w:val="center"/>
          </w:tcPr>
          <w:p w14:paraId="7946CE31"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ThermoFisher</w:t>
            </w:r>
          </w:p>
        </w:tc>
        <w:tc>
          <w:tcPr>
            <w:tcW w:w="1180" w:type="dxa"/>
            <w:shd w:val="clear" w:color="auto" w:fill="auto"/>
            <w:noWrap/>
            <w:vAlign w:val="center"/>
          </w:tcPr>
          <w:p w14:paraId="2C612A68"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 polyclonal</w:t>
            </w:r>
          </w:p>
        </w:tc>
      </w:tr>
      <w:tr w:rsidR="004D36AB" w:rsidRPr="00B90D86" w14:paraId="4A3E93CA" w14:textId="77777777">
        <w:trPr>
          <w:trHeight w:val="94"/>
          <w:jc w:val="center"/>
        </w:trPr>
        <w:tc>
          <w:tcPr>
            <w:tcW w:w="3397" w:type="dxa"/>
            <w:shd w:val="clear" w:color="auto" w:fill="auto"/>
            <w:noWrap/>
            <w:vAlign w:val="center"/>
          </w:tcPr>
          <w:p w14:paraId="17A66DC8" w14:textId="77777777" w:rsidR="004D36AB" w:rsidRPr="00B90D86" w:rsidRDefault="00224FEF" w:rsidP="00224FEF">
            <w:pPr>
              <w:jc w:val="both"/>
              <w:rPr>
                <w:rFonts w:ascii="Arial" w:eastAsia="Times New Roman" w:hAnsi="Arial" w:cs="Arial"/>
                <w:color w:val="000000"/>
                <w:lang w:eastAsia="pt-PT"/>
              </w:rPr>
            </w:pPr>
            <w:r w:rsidRPr="00B90D86">
              <w:rPr>
                <w:rFonts w:ascii="Arial" w:eastAsia="Times New Roman" w:hAnsi="Arial" w:cs="Arial"/>
                <w:color w:val="000000"/>
                <w:lang w:eastAsia="pt-PT"/>
              </w:rPr>
              <w:t>Goat anti-rabbit IgG Alexa Fluor 568</w:t>
            </w:r>
          </w:p>
        </w:tc>
        <w:tc>
          <w:tcPr>
            <w:tcW w:w="2241" w:type="dxa"/>
            <w:shd w:val="clear" w:color="auto" w:fill="auto"/>
            <w:noWrap/>
            <w:vAlign w:val="center"/>
          </w:tcPr>
          <w:p w14:paraId="66CE49C7"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ThermoFisher</w:t>
            </w:r>
          </w:p>
        </w:tc>
        <w:tc>
          <w:tcPr>
            <w:tcW w:w="1180" w:type="dxa"/>
            <w:shd w:val="clear" w:color="auto" w:fill="auto"/>
            <w:noWrap/>
            <w:vAlign w:val="center"/>
          </w:tcPr>
          <w:p w14:paraId="12F13302"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 polyclonal</w:t>
            </w:r>
          </w:p>
        </w:tc>
      </w:tr>
      <w:tr w:rsidR="004D36AB" w:rsidRPr="00B90D86" w14:paraId="0CBF9656" w14:textId="77777777">
        <w:trPr>
          <w:gridAfter w:val="2"/>
          <w:wAfter w:w="3421" w:type="dxa"/>
          <w:trHeight w:val="152"/>
          <w:jc w:val="center"/>
        </w:trPr>
        <w:tc>
          <w:tcPr>
            <w:tcW w:w="3397" w:type="dxa"/>
            <w:shd w:val="clear" w:color="auto" w:fill="auto"/>
            <w:noWrap/>
            <w:vAlign w:val="center"/>
          </w:tcPr>
          <w:p w14:paraId="5DB891D6" w14:textId="77777777" w:rsidR="004D36AB" w:rsidRPr="00B90D86" w:rsidRDefault="00224FEF" w:rsidP="00224FEF">
            <w:pPr>
              <w:jc w:val="both"/>
              <w:rPr>
                <w:rFonts w:ascii="Arial" w:eastAsia="Times New Roman" w:hAnsi="Arial" w:cs="Arial"/>
                <w:b/>
                <w:bCs/>
                <w:color w:val="000000"/>
                <w:lang w:val="pt-PT" w:eastAsia="pt-PT"/>
              </w:rPr>
            </w:pPr>
            <w:r w:rsidRPr="00B90D86">
              <w:rPr>
                <w:rFonts w:ascii="Arial" w:eastAsia="Times New Roman" w:hAnsi="Arial" w:cs="Arial"/>
                <w:b/>
                <w:bCs/>
                <w:color w:val="000000"/>
                <w:lang w:val="pt-PT" w:eastAsia="pt-PT"/>
              </w:rPr>
              <w:t>Flow Cytometry</w:t>
            </w:r>
          </w:p>
        </w:tc>
      </w:tr>
      <w:tr w:rsidR="004D36AB" w:rsidRPr="00B90D86" w14:paraId="2D6A9646" w14:textId="77777777">
        <w:trPr>
          <w:trHeight w:val="63"/>
          <w:jc w:val="center"/>
        </w:trPr>
        <w:tc>
          <w:tcPr>
            <w:tcW w:w="3397" w:type="dxa"/>
            <w:shd w:val="clear" w:color="auto" w:fill="auto"/>
            <w:noWrap/>
            <w:vAlign w:val="center"/>
          </w:tcPr>
          <w:p w14:paraId="2CF721AF" w14:textId="77777777" w:rsidR="004D36AB" w:rsidRPr="00B90D86" w:rsidRDefault="00224FEF" w:rsidP="00224FEF">
            <w:pPr>
              <w:jc w:val="both"/>
              <w:rPr>
                <w:rFonts w:ascii="Arial" w:eastAsia="Times New Roman" w:hAnsi="Arial" w:cs="Arial"/>
                <w:b/>
                <w:bCs/>
                <w:color w:val="000000"/>
                <w:lang w:val="pt-PT" w:eastAsia="pt-PT"/>
              </w:rPr>
            </w:pPr>
            <w:bookmarkStart w:id="14" w:name="_Toc15307344"/>
            <w:bookmarkStart w:id="15" w:name="_Toc19291598"/>
            <w:bookmarkStart w:id="16" w:name="_Toc19222672"/>
            <w:bookmarkStart w:id="17" w:name="_Toc15144255"/>
            <w:bookmarkStart w:id="18" w:name="_Toc15306695"/>
            <w:bookmarkStart w:id="19" w:name="_Toc15297029"/>
            <w:r w:rsidRPr="00B90D86">
              <w:rPr>
                <w:rFonts w:ascii="Arial" w:eastAsia="Times New Roman" w:hAnsi="Arial" w:cs="Arial"/>
                <w:b/>
                <w:bCs/>
                <w:color w:val="000000"/>
                <w:lang w:val="pt-PT" w:eastAsia="pt-PT"/>
              </w:rPr>
              <w:t>Antibody</w:t>
            </w:r>
            <w:bookmarkEnd w:id="14"/>
            <w:bookmarkEnd w:id="15"/>
            <w:bookmarkEnd w:id="16"/>
            <w:bookmarkEnd w:id="17"/>
            <w:bookmarkEnd w:id="18"/>
            <w:bookmarkEnd w:id="19"/>
          </w:p>
        </w:tc>
        <w:tc>
          <w:tcPr>
            <w:tcW w:w="2241" w:type="dxa"/>
            <w:shd w:val="clear" w:color="auto" w:fill="auto"/>
            <w:noWrap/>
            <w:vAlign w:val="center"/>
          </w:tcPr>
          <w:p w14:paraId="1FD3F225" w14:textId="77777777" w:rsidR="004D36AB" w:rsidRPr="00B90D86" w:rsidRDefault="00224FEF" w:rsidP="00224FEF">
            <w:pPr>
              <w:jc w:val="both"/>
              <w:rPr>
                <w:rFonts w:ascii="Arial" w:eastAsia="Times New Roman" w:hAnsi="Arial" w:cs="Arial"/>
                <w:b/>
                <w:bCs/>
                <w:color w:val="000000"/>
                <w:lang w:val="pt-PT" w:eastAsia="pt-PT"/>
              </w:rPr>
            </w:pPr>
            <w:r w:rsidRPr="00B90D86">
              <w:rPr>
                <w:rFonts w:ascii="Arial" w:eastAsia="Times New Roman" w:hAnsi="Arial" w:cs="Arial"/>
                <w:b/>
                <w:bCs/>
                <w:color w:val="000000"/>
                <w:lang w:val="pt-PT" w:eastAsia="pt-PT"/>
              </w:rPr>
              <w:t xml:space="preserve">Supplier </w:t>
            </w:r>
          </w:p>
        </w:tc>
        <w:tc>
          <w:tcPr>
            <w:tcW w:w="1180" w:type="dxa"/>
            <w:shd w:val="clear" w:color="auto" w:fill="auto"/>
            <w:noWrap/>
            <w:vAlign w:val="center"/>
          </w:tcPr>
          <w:p w14:paraId="20FD386E" w14:textId="77777777" w:rsidR="004D36AB" w:rsidRPr="00B90D86" w:rsidRDefault="00224FEF" w:rsidP="00224FEF">
            <w:pPr>
              <w:jc w:val="both"/>
              <w:rPr>
                <w:rFonts w:ascii="Arial" w:eastAsia="Times New Roman" w:hAnsi="Arial" w:cs="Arial"/>
                <w:b/>
                <w:bCs/>
                <w:color w:val="000000"/>
                <w:lang w:val="pt-PT" w:eastAsia="pt-PT"/>
              </w:rPr>
            </w:pPr>
            <w:r w:rsidRPr="00B90D86">
              <w:rPr>
                <w:rFonts w:ascii="Arial" w:eastAsia="Times New Roman" w:hAnsi="Arial" w:cs="Arial"/>
                <w:b/>
                <w:bCs/>
                <w:color w:val="000000"/>
                <w:lang w:val="pt-PT" w:eastAsia="pt-PT"/>
              </w:rPr>
              <w:t>Clone</w:t>
            </w:r>
          </w:p>
        </w:tc>
      </w:tr>
      <w:tr w:rsidR="004D36AB" w:rsidRPr="00B90D86" w14:paraId="57346411" w14:textId="77777777">
        <w:trPr>
          <w:trHeight w:val="87"/>
          <w:jc w:val="center"/>
        </w:trPr>
        <w:tc>
          <w:tcPr>
            <w:tcW w:w="3397" w:type="dxa"/>
            <w:shd w:val="clear" w:color="auto" w:fill="auto"/>
            <w:noWrap/>
            <w:vAlign w:val="center"/>
          </w:tcPr>
          <w:p w14:paraId="6D13CBC0" w14:textId="77777777" w:rsidR="004D36AB" w:rsidRPr="00B90D86" w:rsidRDefault="00224FEF" w:rsidP="00224FEF">
            <w:pPr>
              <w:jc w:val="both"/>
              <w:rPr>
                <w:rFonts w:ascii="Arial" w:eastAsia="Times New Roman" w:hAnsi="Arial" w:cs="Arial"/>
                <w:color w:val="000000"/>
                <w:lang w:eastAsia="pt-PT"/>
              </w:rPr>
            </w:pPr>
            <w:r w:rsidRPr="00B90D86">
              <w:rPr>
                <w:rFonts w:ascii="Arial" w:eastAsia="Times New Roman" w:hAnsi="Arial" w:cs="Arial"/>
                <w:color w:val="000000"/>
                <w:lang w:eastAsia="pt-PT"/>
              </w:rPr>
              <w:t xml:space="preserve">Anti-mouse-Fc-block/CD16/32 </w:t>
            </w:r>
          </w:p>
        </w:tc>
        <w:tc>
          <w:tcPr>
            <w:tcW w:w="2241" w:type="dxa"/>
            <w:shd w:val="clear" w:color="auto" w:fill="auto"/>
            <w:noWrap/>
            <w:vAlign w:val="center"/>
          </w:tcPr>
          <w:p w14:paraId="2B7C7A2A" w14:textId="77777777" w:rsidR="004D36AB" w:rsidRPr="00B90D86" w:rsidRDefault="00224FEF" w:rsidP="00224FEF">
            <w:pPr>
              <w:jc w:val="both"/>
              <w:rPr>
                <w:rFonts w:ascii="Arial" w:eastAsia="Times New Roman" w:hAnsi="Arial" w:cs="Arial"/>
                <w:b/>
                <w:bCs/>
                <w:color w:val="000000"/>
                <w:lang w:eastAsia="pt-PT"/>
              </w:rPr>
            </w:pPr>
            <w:bookmarkStart w:id="20" w:name="_Toc19222673"/>
            <w:bookmarkStart w:id="21" w:name="_Toc15306696"/>
            <w:bookmarkStart w:id="22" w:name="_Toc19291599"/>
            <w:bookmarkStart w:id="23" w:name="_Toc15144256"/>
            <w:bookmarkStart w:id="24" w:name="_Toc15297030"/>
            <w:bookmarkStart w:id="25" w:name="_Toc15307345"/>
            <w:r w:rsidRPr="00B90D86">
              <w:rPr>
                <w:rFonts w:ascii="Arial" w:eastAsia="Times New Roman" w:hAnsi="Arial" w:cs="Arial"/>
                <w:color w:val="000000"/>
                <w:lang w:val="pt-PT" w:eastAsia="pt-PT"/>
              </w:rPr>
              <w:t>IGC (antibody facility)</w:t>
            </w:r>
            <w:bookmarkEnd w:id="20"/>
            <w:bookmarkEnd w:id="21"/>
            <w:bookmarkEnd w:id="22"/>
            <w:bookmarkEnd w:id="23"/>
            <w:bookmarkEnd w:id="24"/>
            <w:bookmarkEnd w:id="25"/>
          </w:p>
        </w:tc>
        <w:tc>
          <w:tcPr>
            <w:tcW w:w="1180" w:type="dxa"/>
            <w:shd w:val="clear" w:color="auto" w:fill="auto"/>
            <w:noWrap/>
            <w:vAlign w:val="center"/>
          </w:tcPr>
          <w:p w14:paraId="61676902" w14:textId="77777777" w:rsidR="004D36AB" w:rsidRPr="00B90D86" w:rsidRDefault="00224FEF" w:rsidP="00224FEF">
            <w:pPr>
              <w:jc w:val="both"/>
              <w:rPr>
                <w:rFonts w:ascii="Arial" w:eastAsia="Times New Roman" w:hAnsi="Arial" w:cs="Arial"/>
                <w:b/>
                <w:bCs/>
                <w:color w:val="000000"/>
                <w:lang w:eastAsia="pt-PT"/>
              </w:rPr>
            </w:pPr>
            <w:bookmarkStart w:id="26" w:name="_Toc15306697"/>
            <w:bookmarkStart w:id="27" w:name="_Toc19222674"/>
            <w:bookmarkStart w:id="28" w:name="_Toc15144257"/>
            <w:bookmarkStart w:id="29" w:name="_Toc15307346"/>
            <w:bookmarkStart w:id="30" w:name="_Toc19291600"/>
            <w:bookmarkStart w:id="31" w:name="_Toc15297031"/>
            <w:r w:rsidRPr="00B90D86">
              <w:rPr>
                <w:rFonts w:ascii="Arial" w:eastAsia="Times New Roman" w:hAnsi="Arial" w:cs="Arial"/>
                <w:color w:val="000000"/>
                <w:lang w:val="pt-PT" w:eastAsia="pt-PT"/>
              </w:rPr>
              <w:t>2.4G2</w:t>
            </w:r>
            <w:bookmarkEnd w:id="26"/>
            <w:bookmarkEnd w:id="27"/>
            <w:bookmarkEnd w:id="28"/>
            <w:bookmarkEnd w:id="29"/>
            <w:bookmarkEnd w:id="30"/>
            <w:bookmarkEnd w:id="31"/>
          </w:p>
        </w:tc>
      </w:tr>
      <w:tr w:rsidR="004D36AB" w:rsidRPr="00B90D86" w14:paraId="268070D1" w14:textId="77777777">
        <w:trPr>
          <w:trHeight w:val="87"/>
          <w:jc w:val="center"/>
        </w:trPr>
        <w:tc>
          <w:tcPr>
            <w:tcW w:w="3397" w:type="dxa"/>
            <w:shd w:val="clear" w:color="auto" w:fill="auto"/>
            <w:noWrap/>
            <w:vAlign w:val="center"/>
          </w:tcPr>
          <w:p w14:paraId="0FEFC110" w14:textId="77777777" w:rsidR="004D36AB" w:rsidRPr="00B90D86" w:rsidRDefault="00224FEF" w:rsidP="00224FEF">
            <w:pPr>
              <w:jc w:val="both"/>
              <w:rPr>
                <w:rFonts w:ascii="Arial" w:eastAsia="Times New Roman" w:hAnsi="Arial" w:cs="Arial"/>
                <w:color w:val="000000"/>
                <w:lang w:eastAsia="pt-PT"/>
              </w:rPr>
            </w:pPr>
            <w:r w:rsidRPr="00B90D86">
              <w:rPr>
                <w:rFonts w:ascii="Arial" w:eastAsia="Times New Roman" w:hAnsi="Arial" w:cs="Arial"/>
                <w:color w:val="000000"/>
                <w:lang w:eastAsia="pt-PT"/>
              </w:rPr>
              <w:t>Anti-mouse PE CD45</w:t>
            </w:r>
          </w:p>
        </w:tc>
        <w:tc>
          <w:tcPr>
            <w:tcW w:w="2241" w:type="dxa"/>
            <w:shd w:val="clear" w:color="auto" w:fill="auto"/>
            <w:noWrap/>
            <w:vAlign w:val="center"/>
          </w:tcPr>
          <w:p w14:paraId="7BCE30F7" w14:textId="77777777" w:rsidR="004D36AB" w:rsidRPr="00B90D86" w:rsidRDefault="00224FEF" w:rsidP="00224FEF">
            <w:pPr>
              <w:jc w:val="both"/>
              <w:rPr>
                <w:rFonts w:ascii="Arial" w:eastAsia="Times New Roman" w:hAnsi="Arial" w:cs="Arial"/>
                <w:b/>
                <w:bCs/>
                <w:color w:val="000000"/>
                <w:lang w:eastAsia="pt-PT"/>
              </w:rPr>
            </w:pPr>
            <w:r w:rsidRPr="00B90D86">
              <w:rPr>
                <w:rFonts w:ascii="Arial" w:eastAsia="Times New Roman" w:hAnsi="Arial" w:cs="Arial"/>
                <w:color w:val="000000"/>
                <w:lang w:val="pt-PT" w:eastAsia="pt-PT"/>
              </w:rPr>
              <w:t>BioLegend</w:t>
            </w:r>
          </w:p>
        </w:tc>
        <w:tc>
          <w:tcPr>
            <w:tcW w:w="1180" w:type="dxa"/>
            <w:shd w:val="clear" w:color="auto" w:fill="auto"/>
            <w:noWrap/>
            <w:vAlign w:val="center"/>
          </w:tcPr>
          <w:p w14:paraId="30396FBD" w14:textId="77777777" w:rsidR="004D36AB" w:rsidRPr="00B90D86" w:rsidRDefault="00224FEF" w:rsidP="00224FEF">
            <w:pPr>
              <w:jc w:val="both"/>
              <w:rPr>
                <w:rFonts w:ascii="Arial" w:eastAsia="Times New Roman" w:hAnsi="Arial" w:cs="Arial"/>
                <w:bCs/>
                <w:color w:val="000000"/>
                <w:lang w:eastAsia="pt-PT"/>
              </w:rPr>
            </w:pPr>
            <w:r w:rsidRPr="00B90D86">
              <w:rPr>
                <w:rFonts w:ascii="Arial" w:eastAsia="Times New Roman" w:hAnsi="Arial" w:cs="Arial"/>
                <w:bCs/>
                <w:color w:val="000000"/>
                <w:lang w:eastAsia="pt-PT"/>
              </w:rPr>
              <w:t>104.2</w:t>
            </w:r>
          </w:p>
        </w:tc>
      </w:tr>
      <w:tr w:rsidR="004D36AB" w:rsidRPr="00B90D86" w14:paraId="5F6401E0" w14:textId="77777777">
        <w:trPr>
          <w:trHeight w:val="97"/>
          <w:jc w:val="center"/>
        </w:trPr>
        <w:tc>
          <w:tcPr>
            <w:tcW w:w="3397" w:type="dxa"/>
            <w:shd w:val="clear" w:color="auto" w:fill="auto"/>
            <w:noWrap/>
            <w:vAlign w:val="center"/>
          </w:tcPr>
          <w:p w14:paraId="2874BC85"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 xml:space="preserve">Anti-mouse Alexa-700 F4/80 </w:t>
            </w:r>
          </w:p>
        </w:tc>
        <w:tc>
          <w:tcPr>
            <w:tcW w:w="2241" w:type="dxa"/>
            <w:shd w:val="clear" w:color="auto" w:fill="auto"/>
            <w:noWrap/>
            <w:vAlign w:val="center"/>
          </w:tcPr>
          <w:p w14:paraId="217115CE"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BioLegend</w:t>
            </w:r>
          </w:p>
        </w:tc>
        <w:tc>
          <w:tcPr>
            <w:tcW w:w="1180" w:type="dxa"/>
            <w:shd w:val="clear" w:color="auto" w:fill="auto"/>
            <w:noWrap/>
            <w:vAlign w:val="center"/>
          </w:tcPr>
          <w:p w14:paraId="0A5E515D" w14:textId="77777777" w:rsidR="004D36AB" w:rsidRPr="00B90D86" w:rsidRDefault="00224FEF" w:rsidP="00224FEF">
            <w:pPr>
              <w:jc w:val="both"/>
              <w:rPr>
                <w:rFonts w:ascii="Arial" w:eastAsia="Times New Roman" w:hAnsi="Arial" w:cs="Arial"/>
                <w:color w:val="000000"/>
                <w:lang w:val="pt-PT" w:eastAsia="pt-PT"/>
              </w:rPr>
            </w:pPr>
            <w:bookmarkStart w:id="32" w:name="_Toc19222675"/>
            <w:bookmarkStart w:id="33" w:name="_Toc19291601"/>
            <w:bookmarkStart w:id="34" w:name="_Toc15306698"/>
            <w:bookmarkStart w:id="35" w:name="_Toc15307347"/>
            <w:bookmarkStart w:id="36" w:name="_Toc15144258"/>
            <w:bookmarkStart w:id="37" w:name="_Toc15297032"/>
            <w:r w:rsidRPr="00B90D86">
              <w:rPr>
                <w:rFonts w:ascii="Arial" w:eastAsia="Times New Roman" w:hAnsi="Arial" w:cs="Arial"/>
                <w:color w:val="000000"/>
                <w:lang w:val="pt-PT" w:eastAsia="pt-PT"/>
              </w:rPr>
              <w:t>BM8</w:t>
            </w:r>
            <w:bookmarkEnd w:id="32"/>
            <w:bookmarkEnd w:id="33"/>
            <w:bookmarkEnd w:id="34"/>
            <w:bookmarkEnd w:id="35"/>
            <w:bookmarkEnd w:id="36"/>
            <w:bookmarkEnd w:id="37"/>
          </w:p>
        </w:tc>
      </w:tr>
      <w:tr w:rsidR="004D36AB" w:rsidRPr="00B90D86" w14:paraId="3CCF038D" w14:textId="77777777">
        <w:trPr>
          <w:trHeight w:val="84"/>
          <w:jc w:val="center"/>
        </w:trPr>
        <w:tc>
          <w:tcPr>
            <w:tcW w:w="3397" w:type="dxa"/>
            <w:shd w:val="clear" w:color="auto" w:fill="auto"/>
            <w:noWrap/>
            <w:vAlign w:val="center"/>
          </w:tcPr>
          <w:p w14:paraId="1AA8C4D8"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Anti-mouse efluor450 Ly6c</w:t>
            </w:r>
          </w:p>
        </w:tc>
        <w:tc>
          <w:tcPr>
            <w:tcW w:w="2241" w:type="dxa"/>
            <w:shd w:val="clear" w:color="auto" w:fill="auto"/>
            <w:noWrap/>
            <w:vAlign w:val="center"/>
          </w:tcPr>
          <w:p w14:paraId="57945D79"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BioLegend</w:t>
            </w:r>
          </w:p>
        </w:tc>
        <w:tc>
          <w:tcPr>
            <w:tcW w:w="1180" w:type="dxa"/>
            <w:shd w:val="clear" w:color="auto" w:fill="auto"/>
            <w:noWrap/>
            <w:vAlign w:val="center"/>
          </w:tcPr>
          <w:p w14:paraId="71D2BDFA" w14:textId="77777777" w:rsidR="004D36AB" w:rsidRPr="00B90D86" w:rsidRDefault="00224FEF" w:rsidP="00224FEF">
            <w:pPr>
              <w:jc w:val="both"/>
              <w:rPr>
                <w:rFonts w:ascii="Arial" w:eastAsia="Times New Roman" w:hAnsi="Arial" w:cs="Arial"/>
                <w:color w:val="000000"/>
                <w:lang w:val="pt-PT" w:eastAsia="pt-PT"/>
              </w:rPr>
            </w:pPr>
            <w:bookmarkStart w:id="38" w:name="_Toc15297033"/>
            <w:bookmarkStart w:id="39" w:name="_Toc15306699"/>
            <w:bookmarkStart w:id="40" w:name="_Toc15307348"/>
            <w:bookmarkStart w:id="41" w:name="_Toc15144259"/>
            <w:bookmarkStart w:id="42" w:name="_Toc19222676"/>
            <w:bookmarkStart w:id="43" w:name="_Toc19291602"/>
            <w:r w:rsidRPr="00B90D86">
              <w:rPr>
                <w:rFonts w:ascii="Arial" w:eastAsia="Times New Roman" w:hAnsi="Arial" w:cs="Arial"/>
                <w:color w:val="000000"/>
                <w:lang w:val="pt-PT" w:eastAsia="pt-PT"/>
              </w:rPr>
              <w:t>HK1.4</w:t>
            </w:r>
            <w:bookmarkEnd w:id="38"/>
            <w:bookmarkEnd w:id="39"/>
            <w:bookmarkEnd w:id="40"/>
            <w:bookmarkEnd w:id="41"/>
            <w:bookmarkEnd w:id="42"/>
            <w:bookmarkEnd w:id="43"/>
          </w:p>
        </w:tc>
      </w:tr>
      <w:tr w:rsidR="004D36AB" w:rsidRPr="00B90D86" w14:paraId="5BA23D52" w14:textId="77777777">
        <w:trPr>
          <w:trHeight w:val="78"/>
          <w:jc w:val="center"/>
        </w:trPr>
        <w:tc>
          <w:tcPr>
            <w:tcW w:w="3397" w:type="dxa"/>
            <w:shd w:val="clear" w:color="auto" w:fill="auto"/>
            <w:noWrap/>
            <w:vAlign w:val="center"/>
          </w:tcPr>
          <w:p w14:paraId="6CC80911" w14:textId="77777777" w:rsidR="004D36AB" w:rsidRPr="00B90D86" w:rsidRDefault="00224FEF" w:rsidP="00224FEF">
            <w:pPr>
              <w:jc w:val="both"/>
              <w:rPr>
                <w:rFonts w:ascii="Arial" w:eastAsia="Times New Roman" w:hAnsi="Arial" w:cs="Arial"/>
                <w:color w:val="000000"/>
                <w:lang w:eastAsia="pt-PT"/>
              </w:rPr>
            </w:pPr>
            <w:r w:rsidRPr="00B90D86">
              <w:rPr>
                <w:rFonts w:ascii="Arial" w:eastAsia="Times New Roman" w:hAnsi="Arial" w:cs="Arial"/>
                <w:color w:val="000000"/>
                <w:lang w:eastAsia="pt-PT"/>
              </w:rPr>
              <w:t>Anti-mouse Brilliant Violet-785-CD11b/Mac-1</w:t>
            </w:r>
          </w:p>
        </w:tc>
        <w:tc>
          <w:tcPr>
            <w:tcW w:w="2241" w:type="dxa"/>
            <w:shd w:val="clear" w:color="auto" w:fill="auto"/>
            <w:noWrap/>
            <w:vAlign w:val="center"/>
          </w:tcPr>
          <w:p w14:paraId="5110D101"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eBiosciences</w:t>
            </w:r>
          </w:p>
        </w:tc>
        <w:tc>
          <w:tcPr>
            <w:tcW w:w="1180" w:type="dxa"/>
            <w:shd w:val="clear" w:color="auto" w:fill="auto"/>
            <w:noWrap/>
            <w:vAlign w:val="center"/>
          </w:tcPr>
          <w:p w14:paraId="0D2EE8B6" w14:textId="77777777" w:rsidR="004D36AB" w:rsidRPr="00B90D86" w:rsidRDefault="00224FEF" w:rsidP="00224FEF">
            <w:pPr>
              <w:jc w:val="both"/>
              <w:rPr>
                <w:rFonts w:ascii="Arial" w:eastAsia="Times New Roman" w:hAnsi="Arial" w:cs="Arial"/>
                <w:color w:val="000000"/>
                <w:lang w:val="pt-PT" w:eastAsia="pt-PT"/>
              </w:rPr>
            </w:pPr>
            <w:bookmarkStart w:id="44" w:name="_Toc15306700"/>
            <w:bookmarkStart w:id="45" w:name="_Toc19222677"/>
            <w:bookmarkStart w:id="46" w:name="_Toc15144260"/>
            <w:bookmarkStart w:id="47" w:name="_Toc19291603"/>
            <w:bookmarkStart w:id="48" w:name="_Toc15297034"/>
            <w:bookmarkStart w:id="49" w:name="_Toc15307349"/>
            <w:r w:rsidRPr="00B90D86">
              <w:rPr>
                <w:rFonts w:ascii="Arial" w:eastAsia="Times New Roman" w:hAnsi="Arial" w:cs="Arial"/>
                <w:color w:val="000000"/>
                <w:lang w:val="pt-PT" w:eastAsia="pt-PT"/>
              </w:rPr>
              <w:t>M1/70</w:t>
            </w:r>
            <w:bookmarkEnd w:id="44"/>
            <w:bookmarkEnd w:id="45"/>
            <w:bookmarkEnd w:id="46"/>
            <w:bookmarkEnd w:id="47"/>
            <w:bookmarkEnd w:id="48"/>
            <w:bookmarkEnd w:id="49"/>
          </w:p>
        </w:tc>
      </w:tr>
      <w:tr w:rsidR="004D36AB" w:rsidRPr="00B90D86" w14:paraId="7D600FD5" w14:textId="77777777">
        <w:trPr>
          <w:trHeight w:val="78"/>
          <w:jc w:val="center"/>
        </w:trPr>
        <w:tc>
          <w:tcPr>
            <w:tcW w:w="3397" w:type="dxa"/>
            <w:shd w:val="clear" w:color="auto" w:fill="auto"/>
            <w:noWrap/>
            <w:vAlign w:val="center"/>
          </w:tcPr>
          <w:p w14:paraId="7A175D42" w14:textId="77777777" w:rsidR="004D36AB" w:rsidRPr="00B90D86" w:rsidRDefault="00224FEF" w:rsidP="00224FEF">
            <w:pPr>
              <w:jc w:val="both"/>
              <w:rPr>
                <w:rFonts w:ascii="Arial" w:eastAsia="Times New Roman" w:hAnsi="Arial" w:cs="Arial"/>
                <w:color w:val="000000"/>
                <w:lang w:eastAsia="pt-PT"/>
              </w:rPr>
            </w:pPr>
            <w:r w:rsidRPr="00B90D86">
              <w:rPr>
                <w:rFonts w:ascii="Arial" w:eastAsia="Times New Roman" w:hAnsi="Arial" w:cs="Arial"/>
                <w:color w:val="000000"/>
                <w:lang w:eastAsia="pt-PT"/>
              </w:rPr>
              <w:t>Anti-mouse Alexa-488 Ki67</w:t>
            </w:r>
          </w:p>
        </w:tc>
        <w:tc>
          <w:tcPr>
            <w:tcW w:w="2241" w:type="dxa"/>
            <w:shd w:val="clear" w:color="auto" w:fill="auto"/>
            <w:noWrap/>
            <w:vAlign w:val="center"/>
          </w:tcPr>
          <w:p w14:paraId="6D61B173"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BD Pharmigen</w:t>
            </w:r>
          </w:p>
        </w:tc>
        <w:tc>
          <w:tcPr>
            <w:tcW w:w="1180" w:type="dxa"/>
            <w:shd w:val="clear" w:color="auto" w:fill="auto"/>
            <w:noWrap/>
            <w:vAlign w:val="center"/>
          </w:tcPr>
          <w:p w14:paraId="57E16803"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B56</w:t>
            </w:r>
          </w:p>
        </w:tc>
      </w:tr>
      <w:tr w:rsidR="004D36AB" w:rsidRPr="00B90D86" w14:paraId="22C4C5B2" w14:textId="77777777">
        <w:trPr>
          <w:trHeight w:val="78"/>
          <w:jc w:val="center"/>
        </w:trPr>
        <w:tc>
          <w:tcPr>
            <w:tcW w:w="3397" w:type="dxa"/>
            <w:shd w:val="clear" w:color="auto" w:fill="auto"/>
            <w:noWrap/>
            <w:vAlign w:val="center"/>
          </w:tcPr>
          <w:p w14:paraId="694C48ED" w14:textId="77777777" w:rsidR="004D36AB" w:rsidRPr="00B90D86" w:rsidRDefault="00224FEF" w:rsidP="00224FEF">
            <w:pPr>
              <w:jc w:val="both"/>
              <w:rPr>
                <w:rFonts w:ascii="Arial" w:eastAsia="Times New Roman" w:hAnsi="Arial" w:cs="Arial"/>
                <w:color w:val="000000"/>
                <w:lang w:eastAsia="pt-PT"/>
              </w:rPr>
            </w:pPr>
            <w:r w:rsidRPr="00B90D86">
              <w:rPr>
                <w:rFonts w:ascii="Arial" w:eastAsia="Times New Roman" w:hAnsi="Arial" w:cs="Arial"/>
                <w:color w:val="000000"/>
                <w:lang w:eastAsia="pt-PT"/>
              </w:rPr>
              <w:t xml:space="preserve">Anti-mouse </w:t>
            </w:r>
            <w:proofErr w:type="spellStart"/>
            <w:r w:rsidRPr="00B90D86">
              <w:rPr>
                <w:rFonts w:ascii="Arial" w:eastAsia="Times New Roman" w:hAnsi="Arial" w:cs="Arial"/>
                <w:color w:val="000000"/>
                <w:lang w:eastAsia="pt-PT"/>
              </w:rPr>
              <w:t>Fitc</w:t>
            </w:r>
            <w:proofErr w:type="spellEnd"/>
            <w:r w:rsidRPr="00B90D86">
              <w:rPr>
                <w:rFonts w:ascii="Arial" w:eastAsia="Times New Roman" w:hAnsi="Arial" w:cs="Arial"/>
                <w:color w:val="000000"/>
                <w:lang w:eastAsia="pt-PT"/>
              </w:rPr>
              <w:t xml:space="preserve"> CD26</w:t>
            </w:r>
          </w:p>
        </w:tc>
        <w:tc>
          <w:tcPr>
            <w:tcW w:w="2241" w:type="dxa"/>
            <w:shd w:val="clear" w:color="auto" w:fill="auto"/>
            <w:noWrap/>
            <w:vAlign w:val="center"/>
          </w:tcPr>
          <w:p w14:paraId="2E969154"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BioLegend</w:t>
            </w:r>
          </w:p>
        </w:tc>
        <w:tc>
          <w:tcPr>
            <w:tcW w:w="1180" w:type="dxa"/>
            <w:shd w:val="clear" w:color="auto" w:fill="auto"/>
            <w:noWrap/>
            <w:vAlign w:val="center"/>
          </w:tcPr>
          <w:p w14:paraId="61520633"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H194-112</w:t>
            </w:r>
          </w:p>
        </w:tc>
      </w:tr>
      <w:tr w:rsidR="004D36AB" w:rsidRPr="00B90D86" w14:paraId="6F5E1407" w14:textId="77777777">
        <w:trPr>
          <w:trHeight w:val="78"/>
          <w:jc w:val="center"/>
        </w:trPr>
        <w:tc>
          <w:tcPr>
            <w:tcW w:w="3397" w:type="dxa"/>
            <w:shd w:val="clear" w:color="auto" w:fill="auto"/>
            <w:noWrap/>
            <w:vAlign w:val="center"/>
          </w:tcPr>
          <w:p w14:paraId="71E0F81B" w14:textId="77777777" w:rsidR="004D36AB" w:rsidRPr="00B90D86" w:rsidRDefault="00224FEF" w:rsidP="00224FEF">
            <w:pPr>
              <w:jc w:val="both"/>
              <w:rPr>
                <w:rFonts w:ascii="Arial" w:eastAsia="Times New Roman" w:hAnsi="Arial" w:cs="Arial"/>
                <w:color w:val="000000"/>
                <w:lang w:eastAsia="pt-PT"/>
              </w:rPr>
            </w:pPr>
            <w:r w:rsidRPr="00B90D86">
              <w:rPr>
                <w:rFonts w:ascii="Arial" w:eastAsia="Times New Roman" w:hAnsi="Arial" w:cs="Arial"/>
                <w:color w:val="000000"/>
                <w:lang w:eastAsia="pt-PT"/>
              </w:rPr>
              <w:t>Anti-mouse APC CD31</w:t>
            </w:r>
          </w:p>
        </w:tc>
        <w:tc>
          <w:tcPr>
            <w:tcW w:w="2241" w:type="dxa"/>
            <w:shd w:val="clear" w:color="auto" w:fill="auto"/>
            <w:noWrap/>
            <w:vAlign w:val="center"/>
          </w:tcPr>
          <w:p w14:paraId="5E9B17B9"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BD Pharmigen</w:t>
            </w:r>
          </w:p>
        </w:tc>
        <w:tc>
          <w:tcPr>
            <w:tcW w:w="1180" w:type="dxa"/>
            <w:shd w:val="clear" w:color="auto" w:fill="auto"/>
            <w:noWrap/>
            <w:vAlign w:val="center"/>
          </w:tcPr>
          <w:p w14:paraId="7EE9EE0B" w14:textId="77777777" w:rsidR="004D36AB" w:rsidRPr="00B90D86" w:rsidRDefault="00224FEF" w:rsidP="00224FEF">
            <w:pPr>
              <w:jc w:val="both"/>
              <w:rPr>
                <w:rFonts w:ascii="Arial" w:eastAsia="Times New Roman" w:hAnsi="Arial" w:cs="Arial"/>
                <w:color w:val="000000"/>
                <w:lang w:val="pt-PT" w:eastAsia="pt-PT"/>
              </w:rPr>
            </w:pPr>
            <w:r w:rsidRPr="00B90D86">
              <w:rPr>
                <w:rFonts w:ascii="Arial" w:eastAsia="Times New Roman" w:hAnsi="Arial" w:cs="Arial"/>
                <w:color w:val="000000"/>
                <w:lang w:val="pt-PT" w:eastAsia="pt-PT"/>
              </w:rPr>
              <w:t>MEC 13.3</w:t>
            </w:r>
          </w:p>
        </w:tc>
      </w:tr>
      <w:tr w:rsidR="004D36AB" w:rsidRPr="00B90D86" w14:paraId="73C53068" w14:textId="77777777">
        <w:trPr>
          <w:trHeight w:val="78"/>
          <w:jc w:val="center"/>
        </w:trPr>
        <w:tc>
          <w:tcPr>
            <w:tcW w:w="3397" w:type="dxa"/>
            <w:shd w:val="clear" w:color="auto" w:fill="auto"/>
            <w:noWrap/>
            <w:vAlign w:val="center"/>
          </w:tcPr>
          <w:p w14:paraId="07335073" w14:textId="77777777" w:rsidR="004D36AB" w:rsidRPr="00B90D86" w:rsidRDefault="00224FEF" w:rsidP="00224FEF">
            <w:pPr>
              <w:jc w:val="both"/>
              <w:rPr>
                <w:rFonts w:ascii="Arial" w:eastAsia="Times New Roman" w:hAnsi="Arial" w:cs="Arial"/>
                <w:color w:val="000000"/>
                <w:lang w:eastAsia="pt-PT"/>
              </w:rPr>
            </w:pPr>
            <w:bookmarkStart w:id="50" w:name="_Toc15144261"/>
            <w:bookmarkStart w:id="51" w:name="_Toc15297035"/>
            <w:bookmarkStart w:id="52" w:name="_Toc19222678"/>
            <w:bookmarkStart w:id="53" w:name="_Toc15306701"/>
            <w:bookmarkStart w:id="54" w:name="_Toc19291604"/>
            <w:bookmarkStart w:id="55" w:name="_Toc15307350"/>
            <w:r w:rsidRPr="00B90D86">
              <w:rPr>
                <w:rFonts w:ascii="Arial" w:eastAsia="Times New Roman" w:hAnsi="Arial" w:cs="Arial"/>
                <w:color w:val="000000"/>
                <w:lang w:eastAsia="pt-PT"/>
              </w:rPr>
              <w:t>Anti-mouse biotinylated TCR beta</w:t>
            </w:r>
            <w:bookmarkEnd w:id="50"/>
            <w:bookmarkEnd w:id="51"/>
            <w:bookmarkEnd w:id="52"/>
            <w:bookmarkEnd w:id="53"/>
            <w:bookmarkEnd w:id="54"/>
            <w:bookmarkEnd w:id="55"/>
          </w:p>
        </w:tc>
        <w:tc>
          <w:tcPr>
            <w:tcW w:w="2241" w:type="dxa"/>
            <w:shd w:val="clear" w:color="auto" w:fill="auto"/>
            <w:noWrap/>
            <w:vAlign w:val="center"/>
          </w:tcPr>
          <w:p w14:paraId="56A201A6" w14:textId="77777777" w:rsidR="004D36AB" w:rsidRPr="00B90D86" w:rsidRDefault="00224FEF" w:rsidP="00224FEF">
            <w:pPr>
              <w:jc w:val="both"/>
              <w:rPr>
                <w:rFonts w:ascii="Arial" w:eastAsia="Times New Roman" w:hAnsi="Arial" w:cs="Arial"/>
                <w:color w:val="000000"/>
                <w:lang w:val="pt-PT" w:eastAsia="pt-PT"/>
              </w:rPr>
            </w:pPr>
            <w:bookmarkStart w:id="56" w:name="_Toc19222679"/>
            <w:bookmarkStart w:id="57" w:name="_Toc15297036"/>
            <w:bookmarkStart w:id="58" w:name="_Toc15307351"/>
            <w:bookmarkStart w:id="59" w:name="_Toc15144262"/>
            <w:bookmarkStart w:id="60" w:name="_Toc19291605"/>
            <w:bookmarkStart w:id="61" w:name="_Toc15306702"/>
            <w:r w:rsidRPr="00B90D86">
              <w:rPr>
                <w:rFonts w:ascii="Arial" w:eastAsia="Times New Roman" w:hAnsi="Arial" w:cs="Arial"/>
                <w:color w:val="000000"/>
                <w:lang w:val="pt-PT" w:eastAsia="pt-PT"/>
              </w:rPr>
              <w:t>IGC (antibody facility)</w:t>
            </w:r>
            <w:bookmarkEnd w:id="56"/>
            <w:bookmarkEnd w:id="57"/>
            <w:bookmarkEnd w:id="58"/>
            <w:bookmarkEnd w:id="59"/>
            <w:bookmarkEnd w:id="60"/>
            <w:bookmarkEnd w:id="61"/>
          </w:p>
        </w:tc>
        <w:tc>
          <w:tcPr>
            <w:tcW w:w="1180" w:type="dxa"/>
            <w:shd w:val="clear" w:color="auto" w:fill="auto"/>
            <w:noWrap/>
            <w:vAlign w:val="center"/>
          </w:tcPr>
          <w:p w14:paraId="20262E26" w14:textId="77777777" w:rsidR="004D36AB" w:rsidRPr="00B90D86" w:rsidRDefault="00224FEF" w:rsidP="00224FEF">
            <w:pPr>
              <w:jc w:val="both"/>
              <w:rPr>
                <w:rFonts w:ascii="Arial" w:eastAsia="Times New Roman" w:hAnsi="Arial" w:cs="Arial"/>
                <w:color w:val="000000"/>
                <w:lang w:val="pt-PT" w:eastAsia="pt-PT"/>
              </w:rPr>
            </w:pPr>
            <w:bookmarkStart w:id="62" w:name="_Toc15306703"/>
            <w:bookmarkStart w:id="63" w:name="_Toc15144263"/>
            <w:bookmarkStart w:id="64" w:name="_Toc19222680"/>
            <w:bookmarkStart w:id="65" w:name="_Toc15307352"/>
            <w:bookmarkStart w:id="66" w:name="_Toc19291606"/>
            <w:bookmarkStart w:id="67" w:name="_Toc15297037"/>
            <w:r w:rsidRPr="00B90D86">
              <w:rPr>
                <w:rFonts w:ascii="Arial" w:eastAsia="Times New Roman" w:hAnsi="Arial" w:cs="Arial"/>
                <w:color w:val="000000"/>
                <w:lang w:val="pt-PT" w:eastAsia="pt-PT"/>
              </w:rPr>
              <w:t>H57-597</w:t>
            </w:r>
            <w:bookmarkEnd w:id="62"/>
            <w:bookmarkEnd w:id="63"/>
            <w:bookmarkEnd w:id="64"/>
            <w:bookmarkEnd w:id="65"/>
            <w:bookmarkEnd w:id="66"/>
            <w:bookmarkEnd w:id="67"/>
          </w:p>
        </w:tc>
      </w:tr>
      <w:tr w:rsidR="004D36AB" w:rsidRPr="00B90D86" w14:paraId="0C69AA7C" w14:textId="77777777">
        <w:trPr>
          <w:trHeight w:val="78"/>
          <w:jc w:val="center"/>
        </w:trPr>
        <w:tc>
          <w:tcPr>
            <w:tcW w:w="3397" w:type="dxa"/>
            <w:shd w:val="clear" w:color="auto" w:fill="auto"/>
            <w:noWrap/>
            <w:vAlign w:val="center"/>
          </w:tcPr>
          <w:p w14:paraId="6EDF065B" w14:textId="77777777" w:rsidR="004D36AB" w:rsidRPr="00B90D86" w:rsidRDefault="00224FEF" w:rsidP="00224FEF">
            <w:pPr>
              <w:jc w:val="both"/>
              <w:rPr>
                <w:rFonts w:ascii="Arial" w:eastAsia="Times New Roman" w:hAnsi="Arial" w:cs="Arial"/>
                <w:color w:val="000000"/>
                <w:lang w:eastAsia="pt-PT"/>
              </w:rPr>
            </w:pPr>
            <w:bookmarkStart w:id="68" w:name="_Toc19291607"/>
            <w:bookmarkStart w:id="69" w:name="_Toc15297038"/>
            <w:bookmarkStart w:id="70" w:name="_Toc15306704"/>
            <w:bookmarkStart w:id="71" w:name="_Toc15144264"/>
            <w:bookmarkStart w:id="72" w:name="_Toc19222681"/>
            <w:bookmarkStart w:id="73" w:name="_Toc15307353"/>
            <w:r w:rsidRPr="00B90D86">
              <w:rPr>
                <w:rFonts w:ascii="Arial" w:eastAsia="Times New Roman" w:hAnsi="Arial" w:cs="Arial"/>
                <w:color w:val="000000"/>
                <w:lang w:eastAsia="pt-PT"/>
              </w:rPr>
              <w:t xml:space="preserve">Anti-mouse </w:t>
            </w:r>
            <w:proofErr w:type="spellStart"/>
            <w:r w:rsidRPr="00B90D86">
              <w:rPr>
                <w:rFonts w:ascii="Arial" w:eastAsia="Times New Roman" w:hAnsi="Arial" w:cs="Arial"/>
                <w:color w:val="000000"/>
                <w:lang w:eastAsia="pt-PT"/>
              </w:rPr>
              <w:t>biotnylated</w:t>
            </w:r>
            <w:proofErr w:type="spellEnd"/>
            <w:r w:rsidRPr="00B90D86">
              <w:rPr>
                <w:rFonts w:ascii="Arial" w:eastAsia="Times New Roman" w:hAnsi="Arial" w:cs="Arial"/>
                <w:color w:val="000000"/>
                <w:lang w:eastAsia="pt-PT"/>
              </w:rPr>
              <w:t xml:space="preserve"> B220</w:t>
            </w:r>
            <w:bookmarkEnd w:id="68"/>
            <w:bookmarkEnd w:id="69"/>
            <w:bookmarkEnd w:id="70"/>
            <w:bookmarkEnd w:id="71"/>
            <w:bookmarkEnd w:id="72"/>
            <w:bookmarkEnd w:id="73"/>
          </w:p>
        </w:tc>
        <w:tc>
          <w:tcPr>
            <w:tcW w:w="2241" w:type="dxa"/>
            <w:shd w:val="clear" w:color="auto" w:fill="auto"/>
            <w:noWrap/>
            <w:vAlign w:val="center"/>
          </w:tcPr>
          <w:p w14:paraId="7D03C592" w14:textId="77777777" w:rsidR="004D36AB" w:rsidRPr="00B90D86" w:rsidRDefault="00224FEF" w:rsidP="00224FEF">
            <w:pPr>
              <w:jc w:val="both"/>
              <w:rPr>
                <w:rFonts w:ascii="Arial" w:eastAsia="Times New Roman" w:hAnsi="Arial" w:cs="Arial"/>
                <w:color w:val="000000"/>
                <w:lang w:val="pt-PT" w:eastAsia="pt-PT"/>
              </w:rPr>
            </w:pPr>
            <w:bookmarkStart w:id="74" w:name="_Toc15306705"/>
            <w:bookmarkStart w:id="75" w:name="_Toc19291608"/>
            <w:bookmarkStart w:id="76" w:name="_Toc15307354"/>
            <w:bookmarkStart w:id="77" w:name="_Toc15297039"/>
            <w:bookmarkStart w:id="78" w:name="_Toc19222682"/>
            <w:bookmarkStart w:id="79" w:name="_Toc15144265"/>
            <w:r w:rsidRPr="00B90D86">
              <w:rPr>
                <w:rFonts w:ascii="Arial" w:eastAsia="Times New Roman" w:hAnsi="Arial" w:cs="Arial"/>
                <w:color w:val="000000"/>
                <w:lang w:val="pt-PT" w:eastAsia="pt-PT"/>
              </w:rPr>
              <w:t>IGC (antibody facility)</w:t>
            </w:r>
            <w:bookmarkEnd w:id="74"/>
            <w:bookmarkEnd w:id="75"/>
            <w:bookmarkEnd w:id="76"/>
            <w:bookmarkEnd w:id="77"/>
            <w:bookmarkEnd w:id="78"/>
            <w:bookmarkEnd w:id="79"/>
          </w:p>
        </w:tc>
        <w:tc>
          <w:tcPr>
            <w:tcW w:w="1180" w:type="dxa"/>
            <w:shd w:val="clear" w:color="auto" w:fill="auto"/>
            <w:noWrap/>
            <w:vAlign w:val="center"/>
          </w:tcPr>
          <w:p w14:paraId="14BF5D44" w14:textId="77777777" w:rsidR="004D36AB" w:rsidRPr="00B90D86" w:rsidRDefault="00224FEF" w:rsidP="00224FEF">
            <w:pPr>
              <w:jc w:val="both"/>
              <w:rPr>
                <w:rFonts w:ascii="Arial" w:eastAsia="Times New Roman" w:hAnsi="Arial" w:cs="Arial"/>
                <w:color w:val="000000"/>
                <w:lang w:val="pt-PT" w:eastAsia="pt-PT"/>
              </w:rPr>
            </w:pPr>
            <w:bookmarkStart w:id="80" w:name="_Toc19291609"/>
            <w:bookmarkStart w:id="81" w:name="_Toc15297040"/>
            <w:bookmarkStart w:id="82" w:name="_Toc15306706"/>
            <w:bookmarkStart w:id="83" w:name="_Toc15144266"/>
            <w:bookmarkStart w:id="84" w:name="_Toc15307355"/>
            <w:bookmarkStart w:id="85" w:name="_Toc19222683"/>
            <w:r w:rsidRPr="00B90D86">
              <w:rPr>
                <w:rFonts w:ascii="Arial" w:eastAsia="Times New Roman" w:hAnsi="Arial" w:cs="Arial"/>
                <w:color w:val="000000"/>
                <w:lang w:val="pt-PT" w:eastAsia="pt-PT"/>
              </w:rPr>
              <w:t>RA3-6B2</w:t>
            </w:r>
            <w:bookmarkEnd w:id="80"/>
            <w:bookmarkEnd w:id="81"/>
            <w:bookmarkEnd w:id="82"/>
            <w:bookmarkEnd w:id="83"/>
            <w:bookmarkEnd w:id="84"/>
            <w:bookmarkEnd w:id="85"/>
          </w:p>
        </w:tc>
      </w:tr>
      <w:tr w:rsidR="004D36AB" w:rsidRPr="00B90D86" w14:paraId="6569E9F7" w14:textId="77777777">
        <w:trPr>
          <w:trHeight w:val="78"/>
          <w:jc w:val="center"/>
        </w:trPr>
        <w:tc>
          <w:tcPr>
            <w:tcW w:w="3397" w:type="dxa"/>
            <w:shd w:val="clear" w:color="auto" w:fill="auto"/>
            <w:noWrap/>
            <w:vAlign w:val="center"/>
          </w:tcPr>
          <w:p w14:paraId="4CBE140A" w14:textId="77777777" w:rsidR="004D36AB" w:rsidRPr="00B90D86" w:rsidRDefault="00224FEF" w:rsidP="00224FEF">
            <w:pPr>
              <w:jc w:val="both"/>
              <w:rPr>
                <w:rFonts w:ascii="Arial" w:eastAsia="Times New Roman" w:hAnsi="Arial" w:cs="Arial"/>
                <w:color w:val="000000"/>
                <w:lang w:eastAsia="pt-PT"/>
              </w:rPr>
            </w:pPr>
            <w:bookmarkStart w:id="86" w:name="_Toc19222684"/>
            <w:bookmarkStart w:id="87" w:name="_Toc15306707"/>
            <w:bookmarkStart w:id="88" w:name="_Toc15144267"/>
            <w:bookmarkStart w:id="89" w:name="_Toc15297041"/>
            <w:bookmarkStart w:id="90" w:name="_Toc19291610"/>
            <w:bookmarkStart w:id="91" w:name="_Toc15307356"/>
            <w:r w:rsidRPr="00B90D86">
              <w:rPr>
                <w:rFonts w:ascii="Arial" w:eastAsia="Times New Roman" w:hAnsi="Arial" w:cs="Arial"/>
                <w:color w:val="000000"/>
                <w:lang w:eastAsia="pt-PT"/>
              </w:rPr>
              <w:t>Anti-mouse biotinylated NK1.1</w:t>
            </w:r>
            <w:bookmarkEnd w:id="86"/>
            <w:bookmarkEnd w:id="87"/>
            <w:bookmarkEnd w:id="88"/>
            <w:bookmarkEnd w:id="89"/>
            <w:bookmarkEnd w:id="90"/>
            <w:bookmarkEnd w:id="91"/>
          </w:p>
        </w:tc>
        <w:tc>
          <w:tcPr>
            <w:tcW w:w="2241" w:type="dxa"/>
            <w:shd w:val="clear" w:color="auto" w:fill="auto"/>
            <w:noWrap/>
            <w:vAlign w:val="center"/>
          </w:tcPr>
          <w:p w14:paraId="331397EE" w14:textId="77777777" w:rsidR="004D36AB" w:rsidRPr="00B90D86" w:rsidRDefault="00224FEF" w:rsidP="00224FEF">
            <w:pPr>
              <w:jc w:val="both"/>
              <w:rPr>
                <w:rFonts w:ascii="Arial" w:eastAsia="Times New Roman" w:hAnsi="Arial" w:cs="Arial"/>
                <w:color w:val="000000"/>
                <w:lang w:val="pt-PT" w:eastAsia="pt-PT"/>
              </w:rPr>
            </w:pPr>
            <w:bookmarkStart w:id="92" w:name="_Toc19222685"/>
            <w:bookmarkStart w:id="93" w:name="_Toc15306708"/>
            <w:bookmarkStart w:id="94" w:name="_Toc15144268"/>
            <w:bookmarkStart w:id="95" w:name="_Toc15297042"/>
            <w:bookmarkStart w:id="96" w:name="_Toc19291611"/>
            <w:bookmarkStart w:id="97" w:name="_Toc15307357"/>
            <w:r w:rsidRPr="00B90D86">
              <w:rPr>
                <w:rFonts w:ascii="Arial" w:eastAsia="Times New Roman" w:hAnsi="Arial" w:cs="Arial"/>
                <w:color w:val="000000"/>
                <w:lang w:val="pt-PT" w:eastAsia="pt-PT"/>
              </w:rPr>
              <w:t>IGC (antibody facility)</w:t>
            </w:r>
            <w:bookmarkEnd w:id="92"/>
            <w:bookmarkEnd w:id="93"/>
            <w:bookmarkEnd w:id="94"/>
            <w:bookmarkEnd w:id="95"/>
            <w:bookmarkEnd w:id="96"/>
            <w:bookmarkEnd w:id="97"/>
          </w:p>
        </w:tc>
        <w:tc>
          <w:tcPr>
            <w:tcW w:w="1180" w:type="dxa"/>
            <w:shd w:val="clear" w:color="auto" w:fill="auto"/>
            <w:noWrap/>
            <w:vAlign w:val="center"/>
          </w:tcPr>
          <w:p w14:paraId="11B84634" w14:textId="77777777" w:rsidR="004D36AB" w:rsidRPr="00B90D86" w:rsidRDefault="00224FEF" w:rsidP="00224FEF">
            <w:pPr>
              <w:jc w:val="both"/>
              <w:rPr>
                <w:rFonts w:ascii="Arial" w:eastAsia="Times New Roman" w:hAnsi="Arial" w:cs="Arial"/>
                <w:color w:val="000000"/>
                <w:lang w:val="pt-PT" w:eastAsia="pt-PT"/>
              </w:rPr>
            </w:pPr>
            <w:bookmarkStart w:id="98" w:name="_Toc15306709"/>
            <w:bookmarkStart w:id="99" w:name="_Toc15307358"/>
            <w:bookmarkStart w:id="100" w:name="_Toc15144269"/>
            <w:bookmarkStart w:id="101" w:name="_Toc19222686"/>
            <w:bookmarkStart w:id="102" w:name="_Toc15297043"/>
            <w:bookmarkStart w:id="103" w:name="_Toc19291612"/>
            <w:r w:rsidRPr="00B90D86">
              <w:rPr>
                <w:rFonts w:ascii="Arial" w:eastAsia="Times New Roman" w:hAnsi="Arial" w:cs="Arial"/>
                <w:color w:val="000000"/>
                <w:lang w:val="pt-PT" w:eastAsia="pt-PT"/>
              </w:rPr>
              <w:t>PK136</w:t>
            </w:r>
            <w:bookmarkEnd w:id="98"/>
            <w:bookmarkEnd w:id="99"/>
            <w:bookmarkEnd w:id="100"/>
            <w:bookmarkEnd w:id="101"/>
            <w:bookmarkEnd w:id="102"/>
            <w:bookmarkEnd w:id="103"/>
          </w:p>
        </w:tc>
      </w:tr>
    </w:tbl>
    <w:p w14:paraId="2B41A7F6" w14:textId="77777777" w:rsidR="004D36AB" w:rsidRPr="00B90D86" w:rsidRDefault="004D36AB" w:rsidP="00224FEF">
      <w:pPr>
        <w:jc w:val="both"/>
        <w:rPr>
          <w:rFonts w:ascii="Arial" w:hAnsi="Arial" w:cs="Arial"/>
          <w:lang w:val="en-GB"/>
        </w:rPr>
      </w:pPr>
    </w:p>
    <w:p w14:paraId="10D54C2E" w14:textId="77777777" w:rsidR="004D36AB" w:rsidRPr="00B90D86" w:rsidRDefault="004D36AB" w:rsidP="00224FEF">
      <w:pPr>
        <w:jc w:val="both"/>
      </w:pPr>
    </w:p>
    <w:p w14:paraId="61D842F2" w14:textId="3FA42CB2" w:rsidR="004D36AB" w:rsidRPr="00B90D86" w:rsidRDefault="004D36AB" w:rsidP="00224FEF">
      <w:pPr>
        <w:jc w:val="both"/>
      </w:pPr>
    </w:p>
    <w:p w14:paraId="18538C06" w14:textId="4CF259DF" w:rsidR="00224FEF" w:rsidRPr="00B90D86" w:rsidRDefault="00224FEF" w:rsidP="00224FEF">
      <w:pPr>
        <w:jc w:val="both"/>
      </w:pPr>
    </w:p>
    <w:p w14:paraId="086E98E1" w14:textId="15EBB38D" w:rsidR="00224FEF" w:rsidRPr="00B90D86" w:rsidRDefault="00224FEF" w:rsidP="00224FEF">
      <w:pPr>
        <w:jc w:val="both"/>
      </w:pPr>
    </w:p>
    <w:p w14:paraId="0E53EA76" w14:textId="77777777" w:rsidR="00224FEF" w:rsidRPr="00B90D86" w:rsidRDefault="00224FEF" w:rsidP="00224FEF">
      <w:pPr>
        <w:jc w:val="both"/>
      </w:pPr>
    </w:p>
    <w:p w14:paraId="408D2DA2" w14:textId="77777777" w:rsidR="004D36AB" w:rsidRPr="00B90D86" w:rsidRDefault="004D36AB" w:rsidP="00224FEF">
      <w:pPr>
        <w:jc w:val="both"/>
      </w:pPr>
    </w:p>
    <w:p w14:paraId="031C7307" w14:textId="77777777" w:rsidR="004D36AB" w:rsidRPr="00B90D86" w:rsidRDefault="004D36AB" w:rsidP="00224FEF">
      <w:pPr>
        <w:jc w:val="both"/>
      </w:pPr>
    </w:p>
    <w:p w14:paraId="7575787B" w14:textId="77777777" w:rsidR="004D36AB" w:rsidRPr="00B90D86" w:rsidRDefault="004D36AB" w:rsidP="00224FEF">
      <w:pPr>
        <w:jc w:val="both"/>
      </w:pPr>
    </w:p>
    <w:p w14:paraId="369BF595" w14:textId="77777777" w:rsidR="004D36AB" w:rsidRPr="00B90D86" w:rsidRDefault="004D36AB" w:rsidP="00224FEF">
      <w:pPr>
        <w:jc w:val="both"/>
      </w:pPr>
    </w:p>
    <w:p w14:paraId="18291917" w14:textId="77777777" w:rsidR="004D36AB" w:rsidRPr="00B90D86" w:rsidRDefault="00224FEF" w:rsidP="00224FEF">
      <w:pPr>
        <w:jc w:val="both"/>
        <w:rPr>
          <w:rFonts w:ascii="Arial" w:hAnsi="Arial" w:cs="Arial"/>
          <w:b/>
          <w:bCs/>
        </w:rPr>
      </w:pPr>
      <w:r w:rsidRPr="00B90D86">
        <w:rPr>
          <w:rFonts w:ascii="Arial" w:hAnsi="Arial" w:cs="Arial"/>
          <w:b/>
          <w:bCs/>
        </w:rPr>
        <w:lastRenderedPageBreak/>
        <w:t>References</w:t>
      </w:r>
    </w:p>
    <w:p w14:paraId="7BB45787" w14:textId="77777777" w:rsidR="004D36AB" w:rsidRPr="00B90D86" w:rsidRDefault="004D36AB" w:rsidP="00224FEF">
      <w:pPr>
        <w:jc w:val="both"/>
        <w:rPr>
          <w:rFonts w:ascii="Arial" w:hAnsi="Arial" w:cs="Arial"/>
          <w:b/>
          <w:bCs/>
        </w:rPr>
      </w:pPr>
    </w:p>
    <w:p w14:paraId="58CBD7A6" w14:textId="577E2990" w:rsidR="00D64033" w:rsidRPr="00B90D86" w:rsidRDefault="00224FEF" w:rsidP="00D64033">
      <w:pPr>
        <w:widowControl w:val="0"/>
        <w:autoSpaceDE w:val="0"/>
        <w:autoSpaceDN w:val="0"/>
        <w:adjustRightInd w:val="0"/>
        <w:spacing w:line="240" w:lineRule="auto"/>
        <w:ind w:left="640" w:hanging="640"/>
        <w:rPr>
          <w:rFonts w:ascii="Arial" w:hAnsi="Arial" w:cs="Arial"/>
          <w:noProof/>
          <w:szCs w:val="24"/>
        </w:rPr>
      </w:pPr>
      <w:r w:rsidRPr="00B90D86">
        <w:rPr>
          <w:rFonts w:ascii="Arial" w:hAnsi="Arial" w:cs="Arial"/>
          <w:b/>
          <w:bCs/>
        </w:rPr>
        <w:fldChar w:fldCharType="begin" w:fldLock="1"/>
      </w:r>
      <w:r w:rsidRPr="00B90D86">
        <w:rPr>
          <w:rFonts w:ascii="Arial" w:hAnsi="Arial" w:cs="Arial"/>
          <w:b/>
          <w:bCs/>
        </w:rPr>
        <w:instrText xml:space="preserve">ADDIN Mendeley Bibliography CSL_BIBLIOGRAPHY </w:instrText>
      </w:r>
      <w:r w:rsidRPr="00B90D86">
        <w:rPr>
          <w:rFonts w:ascii="Arial" w:hAnsi="Arial" w:cs="Arial"/>
          <w:b/>
          <w:bCs/>
        </w:rPr>
        <w:fldChar w:fldCharType="separate"/>
      </w:r>
      <w:r w:rsidR="00D64033" w:rsidRPr="00B90D86">
        <w:rPr>
          <w:rFonts w:ascii="Arial" w:hAnsi="Arial" w:cs="Arial"/>
          <w:noProof/>
          <w:szCs w:val="24"/>
        </w:rPr>
        <w:t xml:space="preserve">1. </w:t>
      </w:r>
      <w:r w:rsidR="00D64033" w:rsidRPr="00B90D86">
        <w:rPr>
          <w:rFonts w:ascii="Arial" w:hAnsi="Arial" w:cs="Arial"/>
          <w:noProof/>
          <w:szCs w:val="24"/>
        </w:rPr>
        <w:tab/>
        <w:t xml:space="preserve">Girgis NM, Gundra UM, Ward LN, Cabrera M, Frevert U, Loke P. Ly6Chigh Monocytes Become Alternatively Activated Macrophages in Schistosome Granulomas with Help from CD4+ Cells. </w:t>
      </w:r>
      <w:r w:rsidR="00D64033" w:rsidRPr="00B90D86">
        <w:rPr>
          <w:rFonts w:ascii="Arial" w:hAnsi="Arial" w:cs="Arial"/>
          <w:i/>
          <w:iCs/>
          <w:noProof/>
          <w:szCs w:val="24"/>
        </w:rPr>
        <w:t>PLoS Pathog</w:t>
      </w:r>
      <w:r w:rsidR="00D64033" w:rsidRPr="00B90D86">
        <w:rPr>
          <w:rFonts w:ascii="Arial" w:hAnsi="Arial" w:cs="Arial"/>
          <w:noProof/>
          <w:szCs w:val="24"/>
        </w:rPr>
        <w:t xml:space="preserve"> (2014) </w:t>
      </w:r>
      <w:r w:rsidR="00D64033" w:rsidRPr="00B90D86">
        <w:rPr>
          <w:rFonts w:ascii="Arial" w:hAnsi="Arial" w:cs="Arial"/>
          <w:b/>
          <w:bCs/>
          <w:noProof/>
          <w:szCs w:val="24"/>
        </w:rPr>
        <w:t>10</w:t>
      </w:r>
      <w:r w:rsidR="00D64033" w:rsidRPr="00B90D86">
        <w:rPr>
          <w:rFonts w:ascii="Arial" w:hAnsi="Arial" w:cs="Arial"/>
          <w:noProof/>
          <w:szCs w:val="24"/>
        </w:rPr>
        <w:t>: doi:10.1371/journal.ppat.1004080</w:t>
      </w:r>
    </w:p>
    <w:p w14:paraId="1F1CD645" w14:textId="77777777" w:rsidR="00D64033" w:rsidRPr="00B90D86" w:rsidRDefault="00D64033" w:rsidP="00D64033">
      <w:pPr>
        <w:widowControl w:val="0"/>
        <w:autoSpaceDE w:val="0"/>
        <w:autoSpaceDN w:val="0"/>
        <w:adjustRightInd w:val="0"/>
        <w:spacing w:line="240" w:lineRule="auto"/>
        <w:ind w:left="640" w:hanging="640"/>
        <w:rPr>
          <w:rFonts w:ascii="Arial" w:hAnsi="Arial" w:cs="Arial"/>
          <w:noProof/>
          <w:szCs w:val="24"/>
        </w:rPr>
      </w:pPr>
      <w:r w:rsidRPr="00B90D86">
        <w:rPr>
          <w:rFonts w:ascii="Arial" w:hAnsi="Arial" w:cs="Arial"/>
          <w:noProof/>
          <w:szCs w:val="24"/>
        </w:rPr>
        <w:t xml:space="preserve">2. </w:t>
      </w:r>
      <w:r w:rsidRPr="00B90D86">
        <w:rPr>
          <w:rFonts w:ascii="Arial" w:hAnsi="Arial" w:cs="Arial"/>
          <w:noProof/>
          <w:szCs w:val="24"/>
        </w:rPr>
        <w:tab/>
        <w:t xml:space="preserve">Schindelin J, Arganda-Carreras I, Frise E, Kaynig V, Longair M, Pietzsch T, Preibisch S, Rueden C, Saalfeld S, Schmid B, et al. Fiji: An open-source platform for biological-image analysis. </w:t>
      </w:r>
      <w:r w:rsidRPr="00B90D86">
        <w:rPr>
          <w:rFonts w:ascii="Arial" w:hAnsi="Arial" w:cs="Arial"/>
          <w:i/>
          <w:iCs/>
          <w:noProof/>
          <w:szCs w:val="24"/>
        </w:rPr>
        <w:t>Nat Methods</w:t>
      </w:r>
      <w:r w:rsidRPr="00B90D86">
        <w:rPr>
          <w:rFonts w:ascii="Arial" w:hAnsi="Arial" w:cs="Arial"/>
          <w:noProof/>
          <w:szCs w:val="24"/>
        </w:rPr>
        <w:t xml:space="preserve"> (2012) </w:t>
      </w:r>
      <w:r w:rsidRPr="00B90D86">
        <w:rPr>
          <w:rFonts w:ascii="Arial" w:hAnsi="Arial" w:cs="Arial"/>
          <w:b/>
          <w:bCs/>
          <w:noProof/>
          <w:szCs w:val="24"/>
        </w:rPr>
        <w:t>9</w:t>
      </w:r>
      <w:r w:rsidRPr="00B90D86">
        <w:rPr>
          <w:rFonts w:ascii="Arial" w:hAnsi="Arial" w:cs="Arial"/>
          <w:noProof/>
          <w:szCs w:val="24"/>
        </w:rPr>
        <w:t>:676–682. doi:10.1038/nmeth.2019</w:t>
      </w:r>
    </w:p>
    <w:p w14:paraId="3054DC2D" w14:textId="77777777" w:rsidR="00D64033" w:rsidRPr="00B90D86" w:rsidRDefault="00D64033" w:rsidP="00D64033">
      <w:pPr>
        <w:widowControl w:val="0"/>
        <w:autoSpaceDE w:val="0"/>
        <w:autoSpaceDN w:val="0"/>
        <w:adjustRightInd w:val="0"/>
        <w:spacing w:line="240" w:lineRule="auto"/>
        <w:ind w:left="640" w:hanging="640"/>
        <w:rPr>
          <w:rFonts w:ascii="Arial" w:hAnsi="Arial" w:cs="Arial"/>
          <w:noProof/>
          <w:szCs w:val="24"/>
        </w:rPr>
      </w:pPr>
      <w:r w:rsidRPr="00B90D86">
        <w:rPr>
          <w:rFonts w:ascii="Arial" w:hAnsi="Arial" w:cs="Arial"/>
          <w:noProof/>
          <w:szCs w:val="24"/>
        </w:rPr>
        <w:t xml:space="preserve">3. </w:t>
      </w:r>
      <w:r w:rsidRPr="00B90D86">
        <w:rPr>
          <w:rFonts w:ascii="Arial" w:hAnsi="Arial" w:cs="Arial"/>
          <w:noProof/>
          <w:szCs w:val="24"/>
        </w:rPr>
        <w:tab/>
        <w:t xml:space="preserve">Andrews S. FastQC: a quality control tool for high throughput sequence data. </w:t>
      </w:r>
      <w:r w:rsidRPr="00B90D86">
        <w:rPr>
          <w:rFonts w:ascii="Arial" w:hAnsi="Arial" w:cs="Arial"/>
          <w:i/>
          <w:iCs/>
          <w:noProof/>
          <w:szCs w:val="24"/>
        </w:rPr>
        <w:t>Available: https://www.bioinformatics.babraham.ac.uk/projects/fastqc/</w:t>
      </w:r>
      <w:r w:rsidRPr="00B90D86">
        <w:rPr>
          <w:rFonts w:ascii="Arial" w:hAnsi="Arial" w:cs="Arial"/>
          <w:noProof/>
          <w:szCs w:val="24"/>
        </w:rPr>
        <w:t xml:space="preserve"> (2010) Available at: http://www.bioinformatics.babraham.ac.uk/projects/fastqc</w:t>
      </w:r>
    </w:p>
    <w:p w14:paraId="428F6C49" w14:textId="77777777" w:rsidR="00D64033" w:rsidRPr="00B90D86" w:rsidRDefault="00D64033" w:rsidP="00D64033">
      <w:pPr>
        <w:widowControl w:val="0"/>
        <w:autoSpaceDE w:val="0"/>
        <w:autoSpaceDN w:val="0"/>
        <w:adjustRightInd w:val="0"/>
        <w:spacing w:line="240" w:lineRule="auto"/>
        <w:ind w:left="640" w:hanging="640"/>
        <w:rPr>
          <w:rFonts w:ascii="Arial" w:hAnsi="Arial" w:cs="Arial"/>
          <w:noProof/>
          <w:szCs w:val="24"/>
        </w:rPr>
      </w:pPr>
      <w:r w:rsidRPr="00B90D86">
        <w:rPr>
          <w:rFonts w:ascii="Arial" w:hAnsi="Arial" w:cs="Arial"/>
          <w:noProof/>
          <w:szCs w:val="24"/>
        </w:rPr>
        <w:t xml:space="preserve">4. </w:t>
      </w:r>
      <w:r w:rsidRPr="00B90D86">
        <w:rPr>
          <w:rFonts w:ascii="Arial" w:hAnsi="Arial" w:cs="Arial"/>
          <w:noProof/>
          <w:szCs w:val="24"/>
        </w:rPr>
        <w:tab/>
        <w:t xml:space="preserve">Ewels P, Magnusson M, Lundin S, Käller M. MultiQC: Summarize analysis results for multiple tools and samples in a single report. </w:t>
      </w:r>
      <w:r w:rsidRPr="00B90D86">
        <w:rPr>
          <w:rFonts w:ascii="Arial" w:hAnsi="Arial" w:cs="Arial"/>
          <w:i/>
          <w:iCs/>
          <w:noProof/>
          <w:szCs w:val="24"/>
        </w:rPr>
        <w:t>Bioinformatics</w:t>
      </w:r>
      <w:r w:rsidRPr="00B90D86">
        <w:rPr>
          <w:rFonts w:ascii="Arial" w:hAnsi="Arial" w:cs="Arial"/>
          <w:noProof/>
          <w:szCs w:val="24"/>
        </w:rPr>
        <w:t xml:space="preserve"> (2016) </w:t>
      </w:r>
      <w:r w:rsidRPr="00B90D86">
        <w:rPr>
          <w:rFonts w:ascii="Arial" w:hAnsi="Arial" w:cs="Arial"/>
          <w:b/>
          <w:bCs/>
          <w:noProof/>
          <w:szCs w:val="24"/>
        </w:rPr>
        <w:t>32</w:t>
      </w:r>
      <w:r w:rsidRPr="00B90D86">
        <w:rPr>
          <w:rFonts w:ascii="Arial" w:hAnsi="Arial" w:cs="Arial"/>
          <w:noProof/>
          <w:szCs w:val="24"/>
        </w:rPr>
        <w:t>:3047–3048. doi:10.1093/bioinformatics/btw354</w:t>
      </w:r>
    </w:p>
    <w:p w14:paraId="133A005E" w14:textId="77777777" w:rsidR="00D64033" w:rsidRPr="00B90D86" w:rsidRDefault="00D64033" w:rsidP="00D64033">
      <w:pPr>
        <w:widowControl w:val="0"/>
        <w:autoSpaceDE w:val="0"/>
        <w:autoSpaceDN w:val="0"/>
        <w:adjustRightInd w:val="0"/>
        <w:spacing w:line="240" w:lineRule="auto"/>
        <w:ind w:left="640" w:hanging="640"/>
        <w:rPr>
          <w:rFonts w:ascii="Arial" w:hAnsi="Arial" w:cs="Arial"/>
          <w:noProof/>
          <w:szCs w:val="24"/>
        </w:rPr>
      </w:pPr>
      <w:r w:rsidRPr="00B90D86">
        <w:rPr>
          <w:rFonts w:ascii="Arial" w:hAnsi="Arial" w:cs="Arial"/>
          <w:noProof/>
          <w:szCs w:val="24"/>
        </w:rPr>
        <w:t xml:space="preserve">5. </w:t>
      </w:r>
      <w:r w:rsidRPr="00B90D86">
        <w:rPr>
          <w:rFonts w:ascii="Arial" w:hAnsi="Arial" w:cs="Arial"/>
          <w:noProof/>
          <w:szCs w:val="24"/>
        </w:rPr>
        <w:tab/>
        <w:t xml:space="preserve">Dobin A, Davis CA, Schlesinger F, Drenkow J, Zaleski C, Jha S, Batut P, Chaisson M, Gingeras TR. STAR: Ultrafast universal RNA-seq aligner. </w:t>
      </w:r>
      <w:r w:rsidRPr="00B90D86">
        <w:rPr>
          <w:rFonts w:ascii="Arial" w:hAnsi="Arial" w:cs="Arial"/>
          <w:i/>
          <w:iCs/>
          <w:noProof/>
          <w:szCs w:val="24"/>
        </w:rPr>
        <w:t>Bioinformatics</w:t>
      </w:r>
      <w:r w:rsidRPr="00B90D86">
        <w:rPr>
          <w:rFonts w:ascii="Arial" w:hAnsi="Arial" w:cs="Arial"/>
          <w:noProof/>
          <w:szCs w:val="24"/>
        </w:rPr>
        <w:t xml:space="preserve"> (2013) </w:t>
      </w:r>
      <w:r w:rsidRPr="00B90D86">
        <w:rPr>
          <w:rFonts w:ascii="Arial" w:hAnsi="Arial" w:cs="Arial"/>
          <w:b/>
          <w:bCs/>
          <w:noProof/>
          <w:szCs w:val="24"/>
        </w:rPr>
        <w:t>29</w:t>
      </w:r>
      <w:r w:rsidRPr="00B90D86">
        <w:rPr>
          <w:rFonts w:ascii="Arial" w:hAnsi="Arial" w:cs="Arial"/>
          <w:noProof/>
          <w:szCs w:val="24"/>
        </w:rPr>
        <w:t>:15–21. doi:10.1093/bioinformatics/bts635</w:t>
      </w:r>
    </w:p>
    <w:p w14:paraId="332CD371" w14:textId="77777777" w:rsidR="00D64033" w:rsidRPr="00B90D86" w:rsidRDefault="00D64033" w:rsidP="00D64033">
      <w:pPr>
        <w:widowControl w:val="0"/>
        <w:autoSpaceDE w:val="0"/>
        <w:autoSpaceDN w:val="0"/>
        <w:adjustRightInd w:val="0"/>
        <w:spacing w:line="240" w:lineRule="auto"/>
        <w:ind w:left="640" w:hanging="640"/>
        <w:rPr>
          <w:rFonts w:ascii="Arial" w:hAnsi="Arial" w:cs="Arial"/>
          <w:noProof/>
          <w:szCs w:val="24"/>
        </w:rPr>
      </w:pPr>
      <w:r w:rsidRPr="00B90D86">
        <w:rPr>
          <w:rFonts w:ascii="Arial" w:hAnsi="Arial" w:cs="Arial"/>
          <w:noProof/>
          <w:szCs w:val="24"/>
        </w:rPr>
        <w:t xml:space="preserve">6. </w:t>
      </w:r>
      <w:r w:rsidRPr="00B90D86">
        <w:rPr>
          <w:rFonts w:ascii="Arial" w:hAnsi="Arial" w:cs="Arial"/>
          <w:noProof/>
          <w:szCs w:val="24"/>
        </w:rPr>
        <w:tab/>
        <w:t xml:space="preserve">Love MI, Huber W, Anders S. Moderated estimation of fold change and dispersion for RNA-seq data with DESeq2. </w:t>
      </w:r>
      <w:r w:rsidRPr="00B90D86">
        <w:rPr>
          <w:rFonts w:ascii="Arial" w:hAnsi="Arial" w:cs="Arial"/>
          <w:i/>
          <w:iCs/>
          <w:noProof/>
          <w:szCs w:val="24"/>
        </w:rPr>
        <w:t>Genome Biol</w:t>
      </w:r>
      <w:r w:rsidRPr="00B90D86">
        <w:rPr>
          <w:rFonts w:ascii="Arial" w:hAnsi="Arial" w:cs="Arial"/>
          <w:noProof/>
          <w:szCs w:val="24"/>
        </w:rPr>
        <w:t xml:space="preserve"> (2014) </w:t>
      </w:r>
      <w:r w:rsidRPr="00B90D86">
        <w:rPr>
          <w:rFonts w:ascii="Arial" w:hAnsi="Arial" w:cs="Arial"/>
          <w:b/>
          <w:bCs/>
          <w:noProof/>
          <w:szCs w:val="24"/>
        </w:rPr>
        <w:t>15</w:t>
      </w:r>
      <w:r w:rsidRPr="00B90D86">
        <w:rPr>
          <w:rFonts w:ascii="Arial" w:hAnsi="Arial" w:cs="Arial"/>
          <w:noProof/>
          <w:szCs w:val="24"/>
        </w:rPr>
        <w:t>:1–21. doi:10.1186/s13059-014-0550-8</w:t>
      </w:r>
    </w:p>
    <w:p w14:paraId="59B85FDB" w14:textId="77777777" w:rsidR="00D64033" w:rsidRPr="00B90D86" w:rsidRDefault="00D64033" w:rsidP="00D64033">
      <w:pPr>
        <w:widowControl w:val="0"/>
        <w:autoSpaceDE w:val="0"/>
        <w:autoSpaceDN w:val="0"/>
        <w:adjustRightInd w:val="0"/>
        <w:spacing w:line="240" w:lineRule="auto"/>
        <w:ind w:left="640" w:hanging="640"/>
        <w:rPr>
          <w:rFonts w:ascii="Arial" w:hAnsi="Arial" w:cs="Arial"/>
          <w:noProof/>
          <w:szCs w:val="24"/>
        </w:rPr>
      </w:pPr>
      <w:r w:rsidRPr="00B90D86">
        <w:rPr>
          <w:rFonts w:ascii="Arial" w:hAnsi="Arial" w:cs="Arial"/>
          <w:noProof/>
          <w:szCs w:val="24"/>
        </w:rPr>
        <w:t xml:space="preserve">7. </w:t>
      </w:r>
      <w:r w:rsidRPr="00B90D86">
        <w:rPr>
          <w:rFonts w:ascii="Arial" w:hAnsi="Arial" w:cs="Arial"/>
          <w:noProof/>
          <w:szCs w:val="24"/>
        </w:rPr>
        <w:tab/>
        <w:t xml:space="preserve">Anders S, Huber W. Differential expression analysis for sequence count data. </w:t>
      </w:r>
      <w:r w:rsidRPr="00B90D86">
        <w:rPr>
          <w:rFonts w:ascii="Arial" w:hAnsi="Arial" w:cs="Arial"/>
          <w:i/>
          <w:iCs/>
          <w:noProof/>
          <w:szCs w:val="24"/>
        </w:rPr>
        <w:t>Genome Biol</w:t>
      </w:r>
      <w:r w:rsidRPr="00B90D86">
        <w:rPr>
          <w:rFonts w:ascii="Arial" w:hAnsi="Arial" w:cs="Arial"/>
          <w:noProof/>
          <w:szCs w:val="24"/>
        </w:rPr>
        <w:t xml:space="preserve"> (2010) </w:t>
      </w:r>
      <w:r w:rsidRPr="00B90D86">
        <w:rPr>
          <w:rFonts w:ascii="Arial" w:hAnsi="Arial" w:cs="Arial"/>
          <w:b/>
          <w:bCs/>
          <w:noProof/>
          <w:szCs w:val="24"/>
        </w:rPr>
        <w:t>11</w:t>
      </w:r>
      <w:r w:rsidRPr="00B90D86">
        <w:rPr>
          <w:rFonts w:ascii="Arial" w:hAnsi="Arial" w:cs="Arial"/>
          <w:noProof/>
          <w:szCs w:val="24"/>
        </w:rPr>
        <w:t>:R106. doi:10.1186/gb-2010-11-10-r106</w:t>
      </w:r>
    </w:p>
    <w:p w14:paraId="11422B2E" w14:textId="77777777" w:rsidR="00D64033" w:rsidRPr="00B90D86" w:rsidRDefault="00D64033" w:rsidP="00D64033">
      <w:pPr>
        <w:widowControl w:val="0"/>
        <w:autoSpaceDE w:val="0"/>
        <w:autoSpaceDN w:val="0"/>
        <w:adjustRightInd w:val="0"/>
        <w:spacing w:line="240" w:lineRule="auto"/>
        <w:ind w:left="640" w:hanging="640"/>
        <w:rPr>
          <w:rFonts w:ascii="Arial" w:hAnsi="Arial" w:cs="Arial"/>
          <w:noProof/>
          <w:szCs w:val="24"/>
        </w:rPr>
      </w:pPr>
      <w:r w:rsidRPr="00B90D86">
        <w:rPr>
          <w:rFonts w:ascii="Arial" w:hAnsi="Arial" w:cs="Arial"/>
          <w:noProof/>
          <w:szCs w:val="24"/>
        </w:rPr>
        <w:t xml:space="preserve">8. </w:t>
      </w:r>
      <w:r w:rsidRPr="00B90D86">
        <w:rPr>
          <w:rFonts w:ascii="Arial" w:hAnsi="Arial" w:cs="Arial"/>
          <w:noProof/>
          <w:szCs w:val="24"/>
        </w:rPr>
        <w:tab/>
        <w:t xml:space="preserve">Stephens M. False discovery rates: A new deal. </w:t>
      </w:r>
      <w:r w:rsidRPr="00B90D86">
        <w:rPr>
          <w:rFonts w:ascii="Arial" w:hAnsi="Arial" w:cs="Arial"/>
          <w:i/>
          <w:iCs/>
          <w:noProof/>
          <w:szCs w:val="24"/>
        </w:rPr>
        <w:t>Biostatistics</w:t>
      </w:r>
      <w:r w:rsidRPr="00B90D86">
        <w:rPr>
          <w:rFonts w:ascii="Arial" w:hAnsi="Arial" w:cs="Arial"/>
          <w:noProof/>
          <w:szCs w:val="24"/>
        </w:rPr>
        <w:t xml:space="preserve"> (2017) </w:t>
      </w:r>
      <w:r w:rsidRPr="00B90D86">
        <w:rPr>
          <w:rFonts w:ascii="Arial" w:hAnsi="Arial" w:cs="Arial"/>
          <w:b/>
          <w:bCs/>
          <w:noProof/>
          <w:szCs w:val="24"/>
        </w:rPr>
        <w:t>18</w:t>
      </w:r>
      <w:r w:rsidRPr="00B90D86">
        <w:rPr>
          <w:rFonts w:ascii="Arial" w:hAnsi="Arial" w:cs="Arial"/>
          <w:noProof/>
          <w:szCs w:val="24"/>
        </w:rPr>
        <w:t>:275–294. doi:10.1093/biostatistics/kxw041</w:t>
      </w:r>
    </w:p>
    <w:p w14:paraId="327F364A" w14:textId="77777777" w:rsidR="00D64033" w:rsidRPr="00B90D86" w:rsidRDefault="00D64033" w:rsidP="00D64033">
      <w:pPr>
        <w:widowControl w:val="0"/>
        <w:autoSpaceDE w:val="0"/>
        <w:autoSpaceDN w:val="0"/>
        <w:adjustRightInd w:val="0"/>
        <w:spacing w:line="240" w:lineRule="auto"/>
        <w:ind w:left="640" w:hanging="640"/>
        <w:rPr>
          <w:rFonts w:ascii="Arial" w:hAnsi="Arial" w:cs="Arial"/>
          <w:noProof/>
          <w:szCs w:val="24"/>
        </w:rPr>
      </w:pPr>
      <w:r w:rsidRPr="00B90D86">
        <w:rPr>
          <w:rFonts w:ascii="Arial" w:hAnsi="Arial" w:cs="Arial"/>
          <w:noProof/>
          <w:szCs w:val="24"/>
        </w:rPr>
        <w:t xml:space="preserve">9. </w:t>
      </w:r>
      <w:r w:rsidRPr="00B90D86">
        <w:rPr>
          <w:rFonts w:ascii="Arial" w:hAnsi="Arial" w:cs="Arial"/>
          <w:noProof/>
          <w:szCs w:val="24"/>
        </w:rPr>
        <w:tab/>
        <w:t xml:space="preserve">Browaeys R, Saelens W, Saeys Y. NicheNet: modeling intercellular communication by linking ligands to target genes. </w:t>
      </w:r>
      <w:r w:rsidRPr="00B90D86">
        <w:rPr>
          <w:rFonts w:ascii="Arial" w:hAnsi="Arial" w:cs="Arial"/>
          <w:i/>
          <w:iCs/>
          <w:noProof/>
          <w:szCs w:val="24"/>
        </w:rPr>
        <w:t>Nat Methods</w:t>
      </w:r>
      <w:r w:rsidRPr="00B90D86">
        <w:rPr>
          <w:rFonts w:ascii="Arial" w:hAnsi="Arial" w:cs="Arial"/>
          <w:noProof/>
          <w:szCs w:val="24"/>
        </w:rPr>
        <w:t xml:space="preserve"> (2019) doi:10.1038/s41592-019-0667-5</w:t>
      </w:r>
    </w:p>
    <w:p w14:paraId="55527FA9" w14:textId="77777777" w:rsidR="00D64033" w:rsidRPr="00B90D86" w:rsidRDefault="00D64033" w:rsidP="00D64033">
      <w:pPr>
        <w:widowControl w:val="0"/>
        <w:autoSpaceDE w:val="0"/>
        <w:autoSpaceDN w:val="0"/>
        <w:adjustRightInd w:val="0"/>
        <w:spacing w:line="240" w:lineRule="auto"/>
        <w:ind w:left="640" w:hanging="640"/>
        <w:rPr>
          <w:rFonts w:ascii="Arial" w:hAnsi="Arial" w:cs="Arial"/>
          <w:noProof/>
          <w:szCs w:val="24"/>
        </w:rPr>
      </w:pPr>
      <w:r w:rsidRPr="00B90D86">
        <w:rPr>
          <w:rFonts w:ascii="Arial" w:hAnsi="Arial" w:cs="Arial"/>
          <w:noProof/>
          <w:szCs w:val="24"/>
        </w:rPr>
        <w:t xml:space="preserve">10. </w:t>
      </w:r>
      <w:r w:rsidRPr="00B90D86">
        <w:rPr>
          <w:rFonts w:ascii="Arial" w:hAnsi="Arial" w:cs="Arial"/>
          <w:noProof/>
          <w:szCs w:val="24"/>
        </w:rPr>
        <w:tab/>
        <w:t xml:space="preserve">Puram S V., Tirosh I, Parikh AS, Patel AP, Yizhak K, Gillespie S, Rodman C, Luo CL, Mroz EA, Emerick KS, et al. Single-Cell Transcriptomic Analysis of Primary and Metastatic Tumor Ecosystems in Head and Neck Cancer. </w:t>
      </w:r>
      <w:r w:rsidRPr="00B90D86">
        <w:rPr>
          <w:rFonts w:ascii="Arial" w:hAnsi="Arial" w:cs="Arial"/>
          <w:i/>
          <w:iCs/>
          <w:noProof/>
          <w:szCs w:val="24"/>
        </w:rPr>
        <w:t>Cell</w:t>
      </w:r>
      <w:r w:rsidRPr="00B90D86">
        <w:rPr>
          <w:rFonts w:ascii="Arial" w:hAnsi="Arial" w:cs="Arial"/>
          <w:noProof/>
          <w:szCs w:val="24"/>
        </w:rPr>
        <w:t xml:space="preserve"> (2017) </w:t>
      </w:r>
      <w:r w:rsidRPr="00B90D86">
        <w:rPr>
          <w:rFonts w:ascii="Arial" w:hAnsi="Arial" w:cs="Arial"/>
          <w:b/>
          <w:bCs/>
          <w:noProof/>
          <w:szCs w:val="24"/>
        </w:rPr>
        <w:t>171</w:t>
      </w:r>
      <w:r w:rsidRPr="00B90D86">
        <w:rPr>
          <w:rFonts w:ascii="Arial" w:hAnsi="Arial" w:cs="Arial"/>
          <w:noProof/>
          <w:szCs w:val="24"/>
        </w:rPr>
        <w:t>:1611-1624.e24. doi:10.1016/j.cell.2017.10.044</w:t>
      </w:r>
    </w:p>
    <w:p w14:paraId="58F85ADF" w14:textId="77777777" w:rsidR="00D64033" w:rsidRPr="00B90D86" w:rsidRDefault="00D64033" w:rsidP="00D64033">
      <w:pPr>
        <w:widowControl w:val="0"/>
        <w:autoSpaceDE w:val="0"/>
        <w:autoSpaceDN w:val="0"/>
        <w:adjustRightInd w:val="0"/>
        <w:spacing w:line="240" w:lineRule="auto"/>
        <w:ind w:left="640" w:hanging="640"/>
        <w:rPr>
          <w:rFonts w:ascii="Arial" w:hAnsi="Arial" w:cs="Arial"/>
          <w:noProof/>
          <w:szCs w:val="24"/>
        </w:rPr>
      </w:pPr>
      <w:r w:rsidRPr="00B90D86">
        <w:rPr>
          <w:rFonts w:ascii="Arial" w:hAnsi="Arial" w:cs="Arial"/>
          <w:noProof/>
          <w:szCs w:val="24"/>
        </w:rPr>
        <w:t xml:space="preserve">11. </w:t>
      </w:r>
      <w:r w:rsidRPr="00B90D86">
        <w:rPr>
          <w:rFonts w:ascii="Arial" w:hAnsi="Arial" w:cs="Arial"/>
          <w:noProof/>
          <w:szCs w:val="24"/>
        </w:rPr>
        <w:tab/>
        <w:t xml:space="preserve">Durinck S, Spellman PT, Birney E, Huber W. Mapping identifiers for the integration of genomic datasets with the R/ Bioconductor package biomaRt. </w:t>
      </w:r>
      <w:r w:rsidRPr="00B90D86">
        <w:rPr>
          <w:rFonts w:ascii="Arial" w:hAnsi="Arial" w:cs="Arial"/>
          <w:i/>
          <w:iCs/>
          <w:noProof/>
          <w:szCs w:val="24"/>
        </w:rPr>
        <w:t>Nat Protoc</w:t>
      </w:r>
      <w:r w:rsidRPr="00B90D86">
        <w:rPr>
          <w:rFonts w:ascii="Arial" w:hAnsi="Arial" w:cs="Arial"/>
          <w:noProof/>
          <w:szCs w:val="24"/>
        </w:rPr>
        <w:t xml:space="preserve"> (2009) </w:t>
      </w:r>
      <w:r w:rsidRPr="00B90D86">
        <w:rPr>
          <w:rFonts w:ascii="Arial" w:hAnsi="Arial" w:cs="Arial"/>
          <w:b/>
          <w:bCs/>
          <w:noProof/>
          <w:szCs w:val="24"/>
        </w:rPr>
        <w:t>4</w:t>
      </w:r>
      <w:r w:rsidRPr="00B90D86">
        <w:rPr>
          <w:rFonts w:ascii="Arial" w:hAnsi="Arial" w:cs="Arial"/>
          <w:noProof/>
          <w:szCs w:val="24"/>
        </w:rPr>
        <w:t>:1184–1191. doi:10.1038/nprot.2009.97</w:t>
      </w:r>
    </w:p>
    <w:p w14:paraId="4AC30D1B" w14:textId="77777777" w:rsidR="00D64033" w:rsidRPr="00B90D86" w:rsidRDefault="00D64033" w:rsidP="00D64033">
      <w:pPr>
        <w:widowControl w:val="0"/>
        <w:autoSpaceDE w:val="0"/>
        <w:autoSpaceDN w:val="0"/>
        <w:adjustRightInd w:val="0"/>
        <w:spacing w:line="240" w:lineRule="auto"/>
        <w:ind w:left="640" w:hanging="640"/>
        <w:rPr>
          <w:rFonts w:ascii="Arial" w:hAnsi="Arial" w:cs="Arial"/>
          <w:noProof/>
        </w:rPr>
      </w:pPr>
      <w:r w:rsidRPr="00B90D86">
        <w:rPr>
          <w:rFonts w:ascii="Arial" w:hAnsi="Arial" w:cs="Arial"/>
          <w:noProof/>
          <w:szCs w:val="24"/>
        </w:rPr>
        <w:t xml:space="preserve">12. </w:t>
      </w:r>
      <w:r w:rsidRPr="00B90D86">
        <w:rPr>
          <w:rFonts w:ascii="Arial" w:hAnsi="Arial" w:cs="Arial"/>
          <w:noProof/>
          <w:szCs w:val="24"/>
        </w:rPr>
        <w:tab/>
        <w:t xml:space="preserve">Browaeys R, Saelens W, Saeys Y. Development, evaluation and application of NicheNet: datasets [Data set]. </w:t>
      </w:r>
      <w:r w:rsidRPr="00B90D86">
        <w:rPr>
          <w:rFonts w:ascii="Arial" w:hAnsi="Arial" w:cs="Arial"/>
          <w:i/>
          <w:iCs/>
          <w:noProof/>
          <w:szCs w:val="24"/>
        </w:rPr>
        <w:t>Zenodo</w:t>
      </w:r>
      <w:r w:rsidRPr="00B90D86">
        <w:rPr>
          <w:rFonts w:ascii="Arial" w:hAnsi="Arial" w:cs="Arial"/>
          <w:noProof/>
          <w:szCs w:val="24"/>
        </w:rPr>
        <w:t xml:space="preserve"> (2019) Available at: http://dx.doi.org/10.5281/zenodo.3260758</w:t>
      </w:r>
    </w:p>
    <w:p w14:paraId="36229563" w14:textId="77777777" w:rsidR="004D36AB" w:rsidRDefault="00224FEF" w:rsidP="00224FEF">
      <w:pPr>
        <w:jc w:val="both"/>
        <w:rPr>
          <w:rFonts w:ascii="Arial" w:hAnsi="Arial" w:cs="Arial"/>
          <w:b/>
          <w:bCs/>
        </w:rPr>
      </w:pPr>
      <w:r w:rsidRPr="00B90D86">
        <w:rPr>
          <w:rFonts w:ascii="Arial" w:hAnsi="Arial" w:cs="Arial"/>
          <w:b/>
          <w:bCs/>
        </w:rPr>
        <w:fldChar w:fldCharType="end"/>
      </w:r>
    </w:p>
    <w:sectPr w:rsidR="004D36AB" w:rsidSect="00B90D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09"/>
    <w:rsid w:val="00037635"/>
    <w:rsid w:val="000779EE"/>
    <w:rsid w:val="001852AC"/>
    <w:rsid w:val="00224FEF"/>
    <w:rsid w:val="002D0FE7"/>
    <w:rsid w:val="004C78C6"/>
    <w:rsid w:val="004D36AB"/>
    <w:rsid w:val="005168F7"/>
    <w:rsid w:val="00526694"/>
    <w:rsid w:val="00624163"/>
    <w:rsid w:val="008F25EB"/>
    <w:rsid w:val="009F7609"/>
    <w:rsid w:val="00B72E89"/>
    <w:rsid w:val="00B90D86"/>
    <w:rsid w:val="00BA2AB9"/>
    <w:rsid w:val="00BE5757"/>
    <w:rsid w:val="00BF37A4"/>
    <w:rsid w:val="00C53341"/>
    <w:rsid w:val="00D64033"/>
    <w:rsid w:val="00D90409"/>
    <w:rsid w:val="00ED1286"/>
    <w:rsid w:val="254F05D6"/>
    <w:rsid w:val="35382C6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D3A6"/>
  <w15:docId w15:val="{3CDA6763-1EDE-447A-887D-548BF71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Arial" w:eastAsia="Times New Roman" w:hAnsi="Arial" w:cs="Times New Roman"/>
      <w:b/>
      <w:bCs/>
      <w:i/>
      <w:szCs w:val="27"/>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Arial" w:eastAsia="Times New Roman" w:hAnsi="Arial" w:cs="Times New Roman"/>
      <w:b/>
      <w:bCs/>
      <w:i/>
      <w:szCs w:val="27"/>
      <w:lang w:eastAsia="pt-PT"/>
    </w:rPr>
  </w:style>
  <w:style w:type="paragraph" w:styleId="BalloonText">
    <w:name w:val="Balloon Text"/>
    <w:basedOn w:val="Normal"/>
    <w:link w:val="BalloonTextChar"/>
    <w:uiPriority w:val="99"/>
    <w:semiHidden/>
    <w:unhideWhenUsed/>
    <w:rsid w:val="008F2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5EB"/>
    <w:rPr>
      <w:rFonts w:ascii="Segoe UI" w:hAnsi="Segoe UI" w:cs="Segoe UI"/>
      <w:sz w:val="18"/>
      <w:szCs w:val="18"/>
      <w:lang w:val="en-US" w:eastAsia="en-US"/>
    </w:rPr>
  </w:style>
  <w:style w:type="character" w:styleId="LineNumber">
    <w:name w:val="line number"/>
    <w:basedOn w:val="DefaultParagraphFont"/>
    <w:uiPriority w:val="99"/>
    <w:semiHidden/>
    <w:unhideWhenUsed/>
    <w:rsid w:val="00D90409"/>
  </w:style>
  <w:style w:type="character" w:styleId="Hyperlink">
    <w:name w:val="Hyperlink"/>
    <w:basedOn w:val="DefaultParagraphFont"/>
    <w:uiPriority w:val="99"/>
    <w:semiHidden/>
    <w:unhideWhenUsed/>
    <w:rsid w:val="00526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A3F2BF-F6E8-4F26-AD89-9740AB2F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5686</Words>
  <Characters>30709</Characters>
  <Application>Microsoft Office Word</Application>
  <DocSecurity>0</DocSecurity>
  <Lines>255</Lines>
  <Paragraphs>72</Paragraphs>
  <ScaleCrop>false</ScaleCrop>
  <Company/>
  <LinksUpToDate>false</LinksUpToDate>
  <CharactersWithSpaces>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Inês Coelho</dc:creator>
  <cp:lastModifiedBy>Inês Coelho</cp:lastModifiedBy>
  <cp:revision>4</cp:revision>
  <dcterms:created xsi:type="dcterms:W3CDTF">2021-01-20T15:57:00Z</dcterms:created>
  <dcterms:modified xsi:type="dcterms:W3CDTF">2021-01-20T15:57:00Z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http://www.zotero.org/styles/frontiers-in-immunology</vt:lpwstr>
  </property>
  <property fmtid="{D5CDD505-2E9C-101B-9397-08002B2CF9AE}" pid="13" name="Mendeley Recent Style Name 5_1">
    <vt:lpwstr>Frontiers in Immunology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http://www.zotero.org/styles/the-journal-of-immunology</vt:lpwstr>
  </property>
  <property fmtid="{D5CDD505-2E9C-101B-9397-08002B2CF9AE}" pid="21" name="Mendeley Recent Style Name 9_1">
    <vt:lpwstr>The Journal of Immunology</vt:lpwstr>
  </property>
  <property fmtid="{D5CDD505-2E9C-101B-9397-08002B2CF9AE}" pid="22" name="Mendeley Document_1">
    <vt:lpwstr>True</vt:lpwstr>
  </property>
  <property fmtid="{D5CDD505-2E9C-101B-9397-08002B2CF9AE}" pid="23" name="Mendeley Unique User Id_1">
    <vt:lpwstr>f61f9b30-b2b1-368b-b096-cb92b09bcaae</vt:lpwstr>
  </property>
  <property fmtid="{D5CDD505-2E9C-101B-9397-08002B2CF9AE}" pid="24" name="Mendeley Citation Style_1">
    <vt:lpwstr>http://www.zotero.org/styles/frontiers-in-immunology</vt:lpwstr>
  </property>
  <property fmtid="{D5CDD505-2E9C-101B-9397-08002B2CF9AE}" pid="25" name="KSOProductBuildVer">
    <vt:lpwstr>2070-11.2.0.9150</vt:lpwstr>
  </property>
</Properties>
</file>