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06FB6" w14:textId="766C3C8B" w:rsidR="002674E1" w:rsidRPr="004447AA" w:rsidRDefault="002674E1" w:rsidP="002674E1">
      <w:pPr>
        <w:spacing w:line="480" w:lineRule="auto"/>
        <w:jc w:val="center"/>
        <w:rPr>
          <w:rFonts w:ascii="Arial" w:hAnsi="Arial" w:cs="Arial"/>
          <w:b/>
          <w:bCs/>
          <w:i/>
          <w:color w:val="000000" w:themeColor="text1"/>
        </w:rPr>
      </w:pPr>
      <w:r w:rsidRPr="004447AA">
        <w:rPr>
          <w:rFonts w:ascii="Arial" w:hAnsi="Arial" w:cs="Arial"/>
          <w:b/>
          <w:bCs/>
          <w:i/>
          <w:color w:val="000000" w:themeColor="text1"/>
        </w:rPr>
        <w:t>Supplementa</w:t>
      </w:r>
      <w:r w:rsidR="005C3B98">
        <w:rPr>
          <w:rFonts w:ascii="Arial" w:hAnsi="Arial" w:cs="Arial"/>
          <w:b/>
          <w:bCs/>
          <w:i/>
          <w:color w:val="000000" w:themeColor="text1"/>
        </w:rPr>
        <w:t>ry</w:t>
      </w:r>
      <w:r w:rsidRPr="004447AA">
        <w:rPr>
          <w:rFonts w:ascii="Arial" w:hAnsi="Arial" w:cs="Arial"/>
          <w:b/>
          <w:bCs/>
          <w:i/>
          <w:color w:val="000000" w:themeColor="text1"/>
        </w:rPr>
        <w:t xml:space="preserve"> Material</w:t>
      </w:r>
    </w:p>
    <w:p w14:paraId="304A82D8" w14:textId="21CF349C" w:rsidR="002674E1" w:rsidRPr="004447AA" w:rsidRDefault="005C3B98" w:rsidP="002674E1">
      <w:pPr>
        <w:spacing w:line="480" w:lineRule="auto"/>
        <w:jc w:val="both"/>
        <w:rPr>
          <w:rFonts w:ascii="Arial" w:hAnsi="Arial" w:cs="Arial"/>
          <w:b/>
          <w:bCs/>
          <w:color w:val="000000" w:themeColor="text1"/>
        </w:rPr>
      </w:pPr>
      <w:r>
        <w:rPr>
          <w:rFonts w:ascii="Arial" w:hAnsi="Arial" w:cs="Arial"/>
          <w:b/>
          <w:bCs/>
          <w:i/>
          <w:color w:val="000000" w:themeColor="text1"/>
        </w:rPr>
        <w:t xml:space="preserve">1 </w:t>
      </w:r>
      <w:r w:rsidR="002674E1" w:rsidRPr="004447AA">
        <w:rPr>
          <w:rFonts w:ascii="Arial" w:hAnsi="Arial" w:cs="Arial"/>
          <w:b/>
          <w:bCs/>
          <w:i/>
          <w:color w:val="000000" w:themeColor="text1"/>
        </w:rPr>
        <w:t>Pilot Experiment</w:t>
      </w:r>
    </w:p>
    <w:p w14:paraId="358A5742" w14:textId="34B87B73" w:rsidR="002674E1" w:rsidRPr="004447AA" w:rsidRDefault="002674E1" w:rsidP="00A670C3">
      <w:pPr>
        <w:jc w:val="both"/>
        <w:rPr>
          <w:rFonts w:ascii="Arial" w:hAnsi="Arial" w:cs="Arial"/>
          <w:color w:val="000000" w:themeColor="text1"/>
        </w:rPr>
      </w:pPr>
      <w:r w:rsidRPr="004447AA">
        <w:rPr>
          <w:rFonts w:ascii="Arial" w:hAnsi="Arial" w:cs="Arial"/>
          <w:color w:val="000000" w:themeColor="text1"/>
        </w:rPr>
        <w:tab/>
        <w:t xml:space="preserve">A pilot experiment with different stimulus selection criteria but similar methods and procedure was conducted prior to the main study. The stimuli (standard nouns) in the pilot experiment (described below) were retrieved from the Medical Research Council (MRC) Psycholinguistic Database (Wilson, 1988) with word properties that matched those used by Palmer et al. (2014). See </w:t>
      </w:r>
      <w:r w:rsidR="005C3B98">
        <w:rPr>
          <w:rFonts w:ascii="Arial" w:hAnsi="Arial" w:cs="Arial"/>
          <w:color w:val="000000" w:themeColor="text1"/>
        </w:rPr>
        <w:t xml:space="preserve">Supplementary </w:t>
      </w:r>
      <w:r w:rsidRPr="004447AA">
        <w:rPr>
          <w:rFonts w:ascii="Arial" w:hAnsi="Arial" w:cs="Arial"/>
          <w:color w:val="000000" w:themeColor="text1"/>
        </w:rPr>
        <w:t xml:space="preserve">Table 1 for stimulus characteristics in the pilot and the main study. The pilot experiment produced many high performers (13 out of 34 performed at 90% correct or better in the associative task; 8 out of 34 performed at 90% correct or better in the item task). For this reason, we expanded stimulus selection in the MRC database to include a larger range of words, creating more variability in the main study’s stimulus set. As a result, we made the current study more difficult. For example, in the main study, 4 out of 49 performed at 90% correct or better in the associative task; 2 out of 49 performed at 90% correct or better in the item task. </w:t>
      </w:r>
    </w:p>
    <w:p w14:paraId="184513FF" w14:textId="77777777" w:rsidR="002674E1" w:rsidRPr="004447AA" w:rsidRDefault="002674E1" w:rsidP="00A670C3">
      <w:pPr>
        <w:ind w:firstLine="720"/>
        <w:jc w:val="both"/>
        <w:rPr>
          <w:rFonts w:ascii="Arial" w:hAnsi="Arial" w:cs="Arial"/>
          <w:color w:val="000000" w:themeColor="text1"/>
        </w:rPr>
      </w:pPr>
      <w:r w:rsidRPr="004447AA">
        <w:rPr>
          <w:rFonts w:ascii="Arial" w:hAnsi="Arial" w:cs="Arial"/>
          <w:color w:val="000000" w:themeColor="text1"/>
        </w:rPr>
        <w:t xml:space="preserve">A second difference between the pilot and the main study is that older adults in the pilot were recruited exclusively from University of Richmond’s </w:t>
      </w:r>
      <w:proofErr w:type="spellStart"/>
      <w:r w:rsidRPr="004447AA">
        <w:rPr>
          <w:rFonts w:ascii="Arial" w:hAnsi="Arial" w:cs="Arial"/>
          <w:color w:val="000000" w:themeColor="text1"/>
        </w:rPr>
        <w:t>Osher</w:t>
      </w:r>
      <w:proofErr w:type="spellEnd"/>
      <w:r w:rsidRPr="004447AA">
        <w:rPr>
          <w:rFonts w:ascii="Arial" w:hAnsi="Arial" w:cs="Arial"/>
          <w:color w:val="000000" w:themeColor="text1"/>
        </w:rPr>
        <w:t xml:space="preserve"> Lifelong Learning Institute. These adults often participate in psychology experiments on campus and may have more experience with computerized tasks than the general older adult population. For this reason, in the main study, we excluded all </w:t>
      </w:r>
      <w:proofErr w:type="spellStart"/>
      <w:r w:rsidRPr="004447AA">
        <w:rPr>
          <w:rFonts w:ascii="Arial" w:hAnsi="Arial" w:cs="Arial"/>
          <w:color w:val="000000" w:themeColor="text1"/>
        </w:rPr>
        <w:t>Osher</w:t>
      </w:r>
      <w:proofErr w:type="spellEnd"/>
      <w:r w:rsidRPr="004447AA">
        <w:rPr>
          <w:rFonts w:ascii="Arial" w:hAnsi="Arial" w:cs="Arial"/>
          <w:color w:val="000000" w:themeColor="text1"/>
        </w:rPr>
        <w:t xml:space="preserve"> members as well as those who have participated in previous research in the Cognitive Aging Laboratory.</w:t>
      </w:r>
    </w:p>
    <w:p w14:paraId="7256BC54" w14:textId="77777777" w:rsidR="001E3029" w:rsidRDefault="001E3029" w:rsidP="00A670C3">
      <w:pPr>
        <w:jc w:val="both"/>
        <w:rPr>
          <w:rFonts w:ascii="Arial" w:hAnsi="Arial" w:cs="Arial"/>
          <w:i/>
          <w:color w:val="000000" w:themeColor="text1"/>
        </w:rPr>
      </w:pPr>
    </w:p>
    <w:p w14:paraId="2D1CE665" w14:textId="1561496D" w:rsidR="002674E1" w:rsidRPr="004447AA" w:rsidRDefault="001E3029" w:rsidP="00A670C3">
      <w:pPr>
        <w:jc w:val="both"/>
        <w:rPr>
          <w:rFonts w:ascii="Arial" w:hAnsi="Arial" w:cs="Arial"/>
          <w:i/>
          <w:color w:val="000000" w:themeColor="text1"/>
        </w:rPr>
      </w:pPr>
      <w:r>
        <w:rPr>
          <w:rFonts w:ascii="Arial" w:hAnsi="Arial" w:cs="Arial"/>
          <w:i/>
          <w:color w:val="000000" w:themeColor="text1"/>
        </w:rPr>
        <w:t xml:space="preserve">1.1 </w:t>
      </w:r>
      <w:r w:rsidR="002674E1" w:rsidRPr="004447AA">
        <w:rPr>
          <w:rFonts w:ascii="Arial" w:hAnsi="Arial" w:cs="Arial"/>
          <w:i/>
          <w:color w:val="000000" w:themeColor="text1"/>
        </w:rPr>
        <w:t>Method</w:t>
      </w:r>
    </w:p>
    <w:p w14:paraId="5ABEAE3F" w14:textId="583C6C44" w:rsidR="002674E1" w:rsidRPr="004447AA" w:rsidRDefault="001E3029" w:rsidP="00A670C3">
      <w:pPr>
        <w:ind w:firstLine="720"/>
        <w:jc w:val="both"/>
        <w:rPr>
          <w:rFonts w:ascii="Arial" w:hAnsi="Arial" w:cs="Arial"/>
          <w:color w:val="000000" w:themeColor="text1"/>
        </w:rPr>
      </w:pPr>
      <w:r>
        <w:rPr>
          <w:rFonts w:ascii="Arial" w:hAnsi="Arial" w:cs="Arial"/>
          <w:i/>
          <w:color w:val="000000" w:themeColor="text1"/>
        </w:rPr>
        <w:t xml:space="preserve">1.1.1 </w:t>
      </w:r>
      <w:r w:rsidR="002674E1" w:rsidRPr="004447AA">
        <w:rPr>
          <w:rFonts w:ascii="Arial" w:hAnsi="Arial" w:cs="Arial"/>
          <w:i/>
          <w:color w:val="000000" w:themeColor="text1"/>
        </w:rPr>
        <w:t xml:space="preserve">Design and Participants. </w:t>
      </w:r>
      <w:r w:rsidR="002674E1" w:rsidRPr="004447AA">
        <w:rPr>
          <w:rFonts w:ascii="Arial" w:hAnsi="Arial" w:cs="Arial"/>
          <w:color w:val="000000" w:themeColor="text1"/>
        </w:rPr>
        <w:t>As in the main study, the pilot utilized a mixed design with age group (young, old) as a between-subjects factor and test type (item, associative) as a within-subjects factor. There were 35 participants, 26 older adults (19 female) aged 57-90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69.48, </w:t>
      </w:r>
      <w:r w:rsidR="002674E1" w:rsidRPr="004447AA">
        <w:rPr>
          <w:rFonts w:ascii="Arial" w:hAnsi="Arial" w:cs="Arial"/>
          <w:i/>
          <w:color w:val="000000" w:themeColor="text1"/>
        </w:rPr>
        <w:t xml:space="preserve">SD </w:t>
      </w:r>
      <w:r w:rsidR="002674E1" w:rsidRPr="004447AA">
        <w:rPr>
          <w:rFonts w:ascii="Arial" w:hAnsi="Arial" w:cs="Arial"/>
          <w:color w:val="000000" w:themeColor="text1"/>
        </w:rPr>
        <w:t>= 7.69) and 9 younger adults (3 female) aged 18-19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18.44, </w:t>
      </w:r>
      <w:r w:rsidR="002674E1" w:rsidRPr="004447AA">
        <w:rPr>
          <w:rFonts w:ascii="Arial" w:hAnsi="Arial" w:cs="Arial"/>
          <w:i/>
          <w:color w:val="000000" w:themeColor="text1"/>
        </w:rPr>
        <w:t xml:space="preserve">SD </w:t>
      </w:r>
      <w:r w:rsidR="002674E1" w:rsidRPr="004447AA">
        <w:rPr>
          <w:rFonts w:ascii="Arial" w:hAnsi="Arial" w:cs="Arial"/>
          <w:color w:val="000000" w:themeColor="text1"/>
        </w:rPr>
        <w:t xml:space="preserve">= 0.53). Younger adults were students recruited from introductory psychology classes and received course credit for participation. Older adults were recruited from University of Richmond’s </w:t>
      </w:r>
      <w:proofErr w:type="spellStart"/>
      <w:r w:rsidR="002674E1" w:rsidRPr="004447AA">
        <w:rPr>
          <w:rFonts w:ascii="Arial" w:hAnsi="Arial" w:cs="Arial"/>
          <w:color w:val="000000" w:themeColor="text1"/>
        </w:rPr>
        <w:t>Osher</w:t>
      </w:r>
      <w:proofErr w:type="spellEnd"/>
      <w:r w:rsidR="002674E1" w:rsidRPr="004447AA">
        <w:rPr>
          <w:rFonts w:ascii="Arial" w:hAnsi="Arial" w:cs="Arial"/>
          <w:color w:val="000000" w:themeColor="text1"/>
        </w:rPr>
        <w:t xml:space="preserve"> Lifelong Learning Institute. They received $20 for participation. The entire experiment lasted approximately one hour and twenty minutes. One participant (older adult) was dropped due to low performance (</w:t>
      </w:r>
      <w:r w:rsidR="002674E1" w:rsidRPr="004447AA">
        <w:rPr>
          <w:rFonts w:ascii="Arial" w:hAnsi="Arial" w:cs="Arial"/>
          <w:i/>
          <w:color w:val="000000" w:themeColor="text1"/>
        </w:rPr>
        <w:t xml:space="preserve">d’ </w:t>
      </w:r>
      <w:r w:rsidR="00446584">
        <w:rPr>
          <w:rFonts w:ascii="Arial" w:hAnsi="Arial" w:cs="Arial"/>
          <w:color w:val="000000" w:themeColor="text1"/>
        </w:rPr>
        <w:t>=</w:t>
      </w:r>
      <w:r w:rsidR="002674E1" w:rsidRPr="004447AA">
        <w:rPr>
          <w:rFonts w:ascii="Arial" w:hAnsi="Arial" w:cs="Arial"/>
          <w:color w:val="000000" w:themeColor="text1"/>
        </w:rPr>
        <w:t xml:space="preserve"> 0.15 or below). The final dataset included 34 participants (25 OAs and 9 YAs). Demographic data and standardized scores on processing speed and vocabulary measures are reported in </w:t>
      </w:r>
      <w:r w:rsidR="005C3B98">
        <w:rPr>
          <w:rFonts w:ascii="Arial" w:hAnsi="Arial" w:cs="Arial"/>
          <w:color w:val="000000" w:themeColor="text1"/>
        </w:rPr>
        <w:t xml:space="preserve">Supplementary </w:t>
      </w:r>
      <w:r w:rsidR="002674E1" w:rsidRPr="004447AA">
        <w:rPr>
          <w:rFonts w:ascii="Arial" w:hAnsi="Arial" w:cs="Arial"/>
          <w:color w:val="000000" w:themeColor="text1"/>
        </w:rPr>
        <w:t xml:space="preserve">Table </w:t>
      </w:r>
      <w:r w:rsidR="005C3B98">
        <w:rPr>
          <w:rFonts w:ascii="Arial" w:hAnsi="Arial" w:cs="Arial"/>
          <w:color w:val="000000" w:themeColor="text1"/>
        </w:rPr>
        <w:t>2</w:t>
      </w:r>
      <w:r w:rsidR="002674E1" w:rsidRPr="004447AA">
        <w:rPr>
          <w:rFonts w:ascii="Arial" w:hAnsi="Arial" w:cs="Arial"/>
          <w:color w:val="000000" w:themeColor="text1"/>
        </w:rPr>
        <w:t xml:space="preserve">. </w:t>
      </w:r>
    </w:p>
    <w:p w14:paraId="56E64855" w14:textId="0327859C" w:rsidR="002674E1" w:rsidRPr="004447AA" w:rsidRDefault="001E3029" w:rsidP="00A670C3">
      <w:pPr>
        <w:ind w:firstLine="720"/>
        <w:jc w:val="both"/>
        <w:rPr>
          <w:rFonts w:ascii="Arial" w:hAnsi="Arial" w:cs="Arial"/>
          <w:color w:val="000000" w:themeColor="text1"/>
        </w:rPr>
      </w:pPr>
      <w:r>
        <w:rPr>
          <w:rFonts w:ascii="Arial" w:hAnsi="Arial" w:cs="Arial"/>
          <w:i/>
          <w:color w:val="000000" w:themeColor="text1"/>
        </w:rPr>
        <w:t xml:space="preserve">1.1.2 </w:t>
      </w:r>
      <w:r w:rsidR="002674E1" w:rsidRPr="004447AA">
        <w:rPr>
          <w:rFonts w:ascii="Arial" w:hAnsi="Arial" w:cs="Arial"/>
          <w:i/>
          <w:color w:val="000000" w:themeColor="text1"/>
        </w:rPr>
        <w:t xml:space="preserve">Materials. </w:t>
      </w:r>
      <w:r w:rsidR="002674E1" w:rsidRPr="004447AA">
        <w:rPr>
          <w:rFonts w:ascii="Arial" w:hAnsi="Arial" w:cs="Arial"/>
          <w:color w:val="000000" w:themeColor="text1"/>
        </w:rPr>
        <w:t>The stimuli consisted of English words generated using the Medical Research Council Psycholinguistic Database (Wilson, 1988). See</w:t>
      </w:r>
      <w:r w:rsidR="005C3B98">
        <w:rPr>
          <w:rFonts w:ascii="Arial" w:hAnsi="Arial" w:cs="Arial"/>
          <w:color w:val="000000" w:themeColor="text1"/>
        </w:rPr>
        <w:t xml:space="preserve"> Supplementary</w:t>
      </w:r>
      <w:r w:rsidR="002674E1" w:rsidRPr="004447AA">
        <w:rPr>
          <w:rFonts w:ascii="Arial" w:hAnsi="Arial" w:cs="Arial"/>
          <w:color w:val="000000" w:themeColor="text1"/>
        </w:rPr>
        <w:t xml:space="preserve"> Table 1 for stimulus properties. The same number of words as well as the same sorting and pairing methods were used as in the main experiment.</w:t>
      </w:r>
    </w:p>
    <w:p w14:paraId="5B71CD8D" w14:textId="327B4A35" w:rsidR="002674E1" w:rsidRPr="004447AA" w:rsidRDefault="001E3029" w:rsidP="00A670C3">
      <w:pPr>
        <w:ind w:firstLine="720"/>
        <w:jc w:val="both"/>
        <w:rPr>
          <w:rFonts w:ascii="Arial" w:hAnsi="Arial" w:cs="Arial"/>
          <w:color w:val="000000" w:themeColor="text1"/>
        </w:rPr>
      </w:pPr>
      <w:r>
        <w:rPr>
          <w:rFonts w:ascii="Arial" w:hAnsi="Arial" w:cs="Arial"/>
          <w:i/>
          <w:color w:val="000000" w:themeColor="text1"/>
        </w:rPr>
        <w:t xml:space="preserve">1.1.3 </w:t>
      </w:r>
      <w:r w:rsidR="002674E1" w:rsidRPr="004447AA">
        <w:rPr>
          <w:rFonts w:ascii="Arial" w:hAnsi="Arial" w:cs="Arial"/>
          <w:i/>
          <w:color w:val="000000" w:themeColor="text1"/>
        </w:rPr>
        <w:t xml:space="preserve">Procedure. </w:t>
      </w:r>
      <w:r w:rsidR="002674E1" w:rsidRPr="004447AA">
        <w:rPr>
          <w:rFonts w:ascii="Arial" w:hAnsi="Arial" w:cs="Arial"/>
          <w:color w:val="000000" w:themeColor="text1"/>
        </w:rPr>
        <w:t>Same as in the main study.</w:t>
      </w:r>
    </w:p>
    <w:p w14:paraId="49AF09B2" w14:textId="18FC3DAB" w:rsidR="002674E1" w:rsidRPr="004447AA" w:rsidRDefault="001E3029" w:rsidP="003F3C50">
      <w:pPr>
        <w:ind w:firstLine="720"/>
        <w:jc w:val="both"/>
        <w:rPr>
          <w:rFonts w:ascii="Arial" w:hAnsi="Arial" w:cs="Arial"/>
          <w:color w:val="000000" w:themeColor="text1"/>
        </w:rPr>
      </w:pPr>
      <w:r>
        <w:rPr>
          <w:rFonts w:ascii="Arial" w:hAnsi="Arial" w:cs="Arial"/>
          <w:i/>
          <w:color w:val="000000" w:themeColor="text1"/>
        </w:rPr>
        <w:t xml:space="preserve">1.1.4 </w:t>
      </w:r>
      <w:r w:rsidR="002674E1" w:rsidRPr="004447AA">
        <w:rPr>
          <w:rFonts w:ascii="Arial" w:hAnsi="Arial" w:cs="Arial"/>
          <w:i/>
          <w:color w:val="000000" w:themeColor="text1"/>
        </w:rPr>
        <w:t>Metacognitive efficiency.</w:t>
      </w:r>
      <w:r w:rsidR="002674E1" w:rsidRPr="004447AA">
        <w:rPr>
          <w:rFonts w:ascii="Arial" w:hAnsi="Arial" w:cs="Arial"/>
          <w:color w:val="000000" w:themeColor="text1"/>
        </w:rPr>
        <w:t xml:space="preserve"> Same as in the main study.</w:t>
      </w:r>
    </w:p>
    <w:p w14:paraId="53BFD174" w14:textId="77777777" w:rsidR="001E3029" w:rsidRDefault="001E3029" w:rsidP="00A670C3">
      <w:pPr>
        <w:jc w:val="both"/>
        <w:rPr>
          <w:rFonts w:ascii="Arial" w:hAnsi="Arial" w:cs="Arial"/>
          <w:i/>
          <w:color w:val="000000" w:themeColor="text1"/>
        </w:rPr>
      </w:pPr>
    </w:p>
    <w:p w14:paraId="5B13BD57" w14:textId="57AC3B66" w:rsidR="002674E1" w:rsidRPr="004447AA" w:rsidRDefault="001E3029" w:rsidP="00A670C3">
      <w:pPr>
        <w:jc w:val="both"/>
        <w:rPr>
          <w:rFonts w:ascii="Arial" w:hAnsi="Arial" w:cs="Arial"/>
          <w:i/>
          <w:color w:val="000000" w:themeColor="text1"/>
        </w:rPr>
      </w:pPr>
      <w:r>
        <w:rPr>
          <w:rFonts w:ascii="Arial" w:hAnsi="Arial" w:cs="Arial"/>
          <w:i/>
          <w:color w:val="000000" w:themeColor="text1"/>
        </w:rPr>
        <w:t xml:space="preserve">1.2 </w:t>
      </w:r>
      <w:r w:rsidR="002674E1" w:rsidRPr="004447AA">
        <w:rPr>
          <w:rFonts w:ascii="Arial" w:hAnsi="Arial" w:cs="Arial"/>
          <w:i/>
          <w:color w:val="000000" w:themeColor="text1"/>
        </w:rPr>
        <w:t>Results and Discussion</w:t>
      </w:r>
    </w:p>
    <w:p w14:paraId="6C88C6CB" w14:textId="6712BCD2" w:rsidR="002674E1" w:rsidRPr="008C5C19" w:rsidRDefault="001E3029" w:rsidP="00A670C3">
      <w:pPr>
        <w:ind w:firstLine="720"/>
        <w:jc w:val="both"/>
        <w:rPr>
          <w:rFonts w:ascii="Arial" w:hAnsi="Arial" w:cs="Arial"/>
          <w:color w:val="000000" w:themeColor="text1"/>
        </w:rPr>
      </w:pPr>
      <w:r>
        <w:rPr>
          <w:rFonts w:ascii="Arial" w:hAnsi="Arial" w:cs="Arial"/>
          <w:i/>
          <w:color w:val="000000" w:themeColor="text1"/>
        </w:rPr>
        <w:t xml:space="preserve">1.2.1 </w:t>
      </w:r>
      <w:r w:rsidR="002674E1" w:rsidRPr="004447AA">
        <w:rPr>
          <w:rFonts w:ascii="Arial" w:hAnsi="Arial" w:cs="Arial"/>
          <w:i/>
          <w:color w:val="000000" w:themeColor="text1"/>
        </w:rPr>
        <w:t xml:space="preserve">Metacognitive Efficiency. </w:t>
      </w:r>
      <w:r w:rsidR="00832124">
        <w:rPr>
          <w:rFonts w:ascii="Arial" w:hAnsi="Arial" w:cs="Arial"/>
          <w:color w:val="000000" w:themeColor="text1"/>
        </w:rPr>
        <w:t>T</w:t>
      </w:r>
      <w:r w:rsidR="002674E1" w:rsidRPr="004447AA">
        <w:rPr>
          <w:rFonts w:ascii="Arial" w:hAnsi="Arial" w:cs="Arial"/>
          <w:color w:val="000000" w:themeColor="text1"/>
        </w:rPr>
        <w:t xml:space="preserve">o test effects </w:t>
      </w:r>
      <w:r w:rsidR="00832124">
        <w:rPr>
          <w:rFonts w:ascii="Arial" w:hAnsi="Arial" w:cs="Arial"/>
          <w:color w:val="000000" w:themeColor="text1"/>
        </w:rPr>
        <w:t xml:space="preserve">of age and test type </w:t>
      </w:r>
      <w:r w:rsidR="002674E1" w:rsidRPr="004447AA">
        <w:rPr>
          <w:rFonts w:ascii="Arial" w:hAnsi="Arial" w:cs="Arial"/>
          <w:color w:val="000000" w:themeColor="text1"/>
        </w:rPr>
        <w:t>on metacognition, we entered individuals’ meta-</w:t>
      </w:r>
      <w:r w:rsidR="002674E1" w:rsidRPr="004447AA">
        <w:rPr>
          <w:rFonts w:ascii="Arial" w:hAnsi="Arial" w:cs="Arial"/>
          <w:i/>
          <w:color w:val="000000" w:themeColor="text1"/>
        </w:rPr>
        <w:t xml:space="preserve">d’/d’ </w:t>
      </w:r>
      <w:r w:rsidR="002674E1" w:rsidRPr="004447AA">
        <w:rPr>
          <w:rFonts w:ascii="Arial" w:hAnsi="Arial" w:cs="Arial"/>
          <w:color w:val="000000" w:themeColor="text1"/>
        </w:rPr>
        <w:t xml:space="preserve">scores into </w:t>
      </w:r>
      <w:r w:rsidR="00832124">
        <w:rPr>
          <w:rFonts w:ascii="Arial" w:hAnsi="Arial" w:cs="Arial"/>
          <w:color w:val="000000" w:themeColor="text1"/>
        </w:rPr>
        <w:t xml:space="preserve">a </w:t>
      </w:r>
      <w:r w:rsidR="00832124" w:rsidRPr="004447AA">
        <w:rPr>
          <w:rFonts w:ascii="Arial" w:hAnsi="Arial" w:cs="Arial"/>
          <w:color w:val="000000" w:themeColor="text1"/>
        </w:rPr>
        <w:t xml:space="preserve">two-way ANOVA with age </w:t>
      </w:r>
      <w:r w:rsidR="00832124" w:rsidRPr="004447AA">
        <w:rPr>
          <w:rFonts w:ascii="Arial" w:hAnsi="Arial" w:cs="Arial"/>
          <w:color w:val="000000" w:themeColor="text1"/>
        </w:rPr>
        <w:lastRenderedPageBreak/>
        <w:t>group (</w:t>
      </w:r>
      <w:r w:rsidR="00832124">
        <w:rPr>
          <w:rFonts w:ascii="Arial" w:hAnsi="Arial" w:cs="Arial"/>
          <w:color w:val="000000" w:themeColor="text1"/>
        </w:rPr>
        <w:t>YA</w:t>
      </w:r>
      <w:r w:rsidR="00832124" w:rsidRPr="004447AA">
        <w:rPr>
          <w:rFonts w:ascii="Arial" w:hAnsi="Arial" w:cs="Arial"/>
          <w:color w:val="000000" w:themeColor="text1"/>
        </w:rPr>
        <w:t xml:space="preserve">, </w:t>
      </w:r>
      <w:r w:rsidR="00832124">
        <w:rPr>
          <w:rFonts w:ascii="Arial" w:hAnsi="Arial" w:cs="Arial"/>
          <w:color w:val="000000" w:themeColor="text1"/>
        </w:rPr>
        <w:t>OA</w:t>
      </w:r>
      <w:r w:rsidR="00832124" w:rsidRPr="004447AA">
        <w:rPr>
          <w:rFonts w:ascii="Arial" w:hAnsi="Arial" w:cs="Arial"/>
          <w:color w:val="000000" w:themeColor="text1"/>
        </w:rPr>
        <w:t>) as the between-participants factor and test type (item, associative) as the within-participants factor</w:t>
      </w:r>
      <w:r w:rsidR="008C5C19">
        <w:rPr>
          <w:rFonts w:ascii="Arial" w:hAnsi="Arial" w:cs="Arial"/>
          <w:color w:val="000000" w:themeColor="text1"/>
        </w:rPr>
        <w:t xml:space="preserve">. </w:t>
      </w:r>
      <w:r w:rsidR="002674E1" w:rsidRPr="004447AA">
        <w:rPr>
          <w:rFonts w:ascii="Arial" w:hAnsi="Arial" w:cs="Arial"/>
          <w:color w:val="000000" w:themeColor="text1"/>
        </w:rPr>
        <w:t xml:space="preserve">There was a significant main effect of test type, </w:t>
      </w:r>
      <w:proofErr w:type="gramStart"/>
      <w:r w:rsidR="002674E1" w:rsidRPr="004447AA">
        <w:rPr>
          <w:rFonts w:ascii="Arial" w:hAnsi="Arial" w:cs="Arial"/>
          <w:i/>
          <w:color w:val="000000" w:themeColor="text1"/>
        </w:rPr>
        <w:t>F</w:t>
      </w:r>
      <w:r w:rsidR="002674E1" w:rsidRPr="004447AA">
        <w:rPr>
          <w:rFonts w:ascii="Arial" w:hAnsi="Arial" w:cs="Arial"/>
          <w:color w:val="000000" w:themeColor="text1"/>
        </w:rPr>
        <w:t>(</w:t>
      </w:r>
      <w:proofErr w:type="gramEnd"/>
      <w:r w:rsidR="002674E1" w:rsidRPr="004447AA">
        <w:rPr>
          <w:rFonts w:ascii="Arial" w:hAnsi="Arial" w:cs="Arial"/>
          <w:color w:val="000000" w:themeColor="text1"/>
        </w:rPr>
        <w:t xml:space="preserve">1,32) = 18.75, </w:t>
      </w:r>
      <w:r w:rsidR="002674E1" w:rsidRPr="004447AA">
        <w:rPr>
          <w:rFonts w:ascii="Arial" w:hAnsi="Arial" w:cs="Arial"/>
          <w:i/>
          <w:color w:val="000000" w:themeColor="text1"/>
        </w:rPr>
        <w:t xml:space="preserve">p </w:t>
      </w:r>
      <w:r w:rsidR="002674E1" w:rsidRPr="004447AA">
        <w:rPr>
          <w:rFonts w:ascii="Arial" w:hAnsi="Arial" w:cs="Arial"/>
          <w:color w:val="000000" w:themeColor="text1"/>
        </w:rPr>
        <w:t xml:space="preserve">&lt; .001, </w:t>
      </w:r>
      <w:r w:rsidR="002674E1" w:rsidRPr="004447AA">
        <w:rPr>
          <w:rFonts w:ascii="Arial" w:hAnsi="Arial" w:cs="Arial"/>
          <w:i/>
          <w:color w:val="000000" w:themeColor="text1"/>
        </w:rPr>
        <w:t>η</w:t>
      </w:r>
      <w:r w:rsidR="002674E1" w:rsidRPr="004447AA">
        <w:rPr>
          <w:rFonts w:ascii="Arial" w:hAnsi="Arial" w:cs="Arial"/>
          <w:i/>
          <w:color w:val="000000" w:themeColor="text1"/>
          <w:vertAlign w:val="subscript"/>
        </w:rPr>
        <w:t>p</w:t>
      </w:r>
      <w:r w:rsidR="002674E1" w:rsidRPr="004447AA">
        <w:rPr>
          <w:rFonts w:ascii="Arial" w:hAnsi="Arial" w:cs="Arial"/>
          <w:i/>
          <w:color w:val="000000" w:themeColor="text1"/>
          <w:vertAlign w:val="superscript"/>
        </w:rPr>
        <w:t>2</w:t>
      </w:r>
      <w:r w:rsidR="002674E1" w:rsidRPr="004447AA">
        <w:rPr>
          <w:rFonts w:ascii="Arial" w:hAnsi="Arial" w:cs="Arial"/>
          <w:i/>
          <w:color w:val="000000" w:themeColor="text1"/>
        </w:rPr>
        <w:t xml:space="preserve"> </w:t>
      </w:r>
      <w:r w:rsidR="002674E1" w:rsidRPr="004447AA">
        <w:rPr>
          <w:rFonts w:ascii="Arial" w:hAnsi="Arial" w:cs="Arial"/>
          <w:color w:val="000000" w:themeColor="text1"/>
        </w:rPr>
        <w:t>= .370, but no significant main effect of age or interaction between age and test type (</w:t>
      </w:r>
      <w:r w:rsidR="002674E1" w:rsidRPr="004447AA">
        <w:rPr>
          <w:rFonts w:ascii="Arial" w:hAnsi="Arial" w:cs="Arial"/>
          <w:i/>
          <w:color w:val="000000" w:themeColor="text1"/>
        </w:rPr>
        <w:t>F</w:t>
      </w:r>
      <w:r w:rsidR="002674E1" w:rsidRPr="004447AA">
        <w:rPr>
          <w:rFonts w:ascii="Arial" w:hAnsi="Arial" w:cs="Arial"/>
          <w:color w:val="000000" w:themeColor="text1"/>
        </w:rPr>
        <w:t>s &lt; 1.03). As in the main study, we found overall associative meta-</w:t>
      </w:r>
      <w:r w:rsidR="002674E1" w:rsidRPr="004447AA">
        <w:rPr>
          <w:rFonts w:ascii="Arial" w:hAnsi="Arial" w:cs="Arial"/>
          <w:i/>
          <w:color w:val="000000" w:themeColor="text1"/>
        </w:rPr>
        <w:t>d’</w:t>
      </w:r>
      <w:r w:rsidR="002674E1" w:rsidRPr="004447AA">
        <w:rPr>
          <w:rFonts w:ascii="Arial" w:hAnsi="Arial" w:cs="Arial"/>
          <w:color w:val="000000" w:themeColor="text1"/>
        </w:rPr>
        <w:t>/</w:t>
      </w:r>
      <w:r w:rsidR="002674E1" w:rsidRPr="004447AA">
        <w:rPr>
          <w:rFonts w:ascii="Arial" w:hAnsi="Arial" w:cs="Arial"/>
          <w:i/>
          <w:color w:val="000000" w:themeColor="text1"/>
        </w:rPr>
        <w:t>d’</w:t>
      </w:r>
      <w:r w:rsidR="002674E1" w:rsidRPr="004447AA">
        <w:rPr>
          <w:rFonts w:ascii="Arial" w:hAnsi="Arial" w:cs="Arial"/>
          <w:color w:val="000000" w:themeColor="text1"/>
        </w:rPr>
        <w:t xml:space="preserve"> (</w:t>
      </w:r>
      <w:r w:rsidR="002674E1" w:rsidRPr="004447AA">
        <w:rPr>
          <w:rFonts w:ascii="Arial" w:hAnsi="Arial" w:cs="Arial"/>
          <w:i/>
          <w:color w:val="000000" w:themeColor="text1"/>
        </w:rPr>
        <w:t>M</w:t>
      </w:r>
      <w:r w:rsidR="002674E1" w:rsidRPr="004447AA">
        <w:rPr>
          <w:rFonts w:ascii="Arial" w:hAnsi="Arial" w:cs="Arial"/>
          <w:color w:val="000000" w:themeColor="text1"/>
        </w:rPr>
        <w:t xml:space="preserve"> = 1.18, </w:t>
      </w:r>
      <w:r w:rsidR="002674E1" w:rsidRPr="004447AA">
        <w:rPr>
          <w:rFonts w:ascii="Arial" w:hAnsi="Arial" w:cs="Arial"/>
          <w:i/>
          <w:color w:val="000000" w:themeColor="text1"/>
        </w:rPr>
        <w:t>SD</w:t>
      </w:r>
      <w:r w:rsidR="002674E1" w:rsidRPr="004447AA">
        <w:rPr>
          <w:rFonts w:ascii="Arial" w:hAnsi="Arial" w:cs="Arial"/>
          <w:color w:val="000000" w:themeColor="text1"/>
        </w:rPr>
        <w:t xml:space="preserve"> = 0.38) was significantly higher than item meta-</w:t>
      </w:r>
      <w:r w:rsidR="002674E1" w:rsidRPr="004447AA">
        <w:rPr>
          <w:rFonts w:ascii="Arial" w:hAnsi="Arial" w:cs="Arial"/>
          <w:i/>
          <w:color w:val="000000" w:themeColor="text1"/>
        </w:rPr>
        <w:t>d’</w:t>
      </w:r>
      <w:r w:rsidR="002674E1" w:rsidRPr="004447AA">
        <w:rPr>
          <w:rFonts w:ascii="Arial" w:hAnsi="Arial" w:cs="Arial"/>
          <w:color w:val="000000" w:themeColor="text1"/>
        </w:rPr>
        <w:t>/</w:t>
      </w:r>
      <w:r w:rsidR="002674E1" w:rsidRPr="004447AA">
        <w:rPr>
          <w:rFonts w:ascii="Arial" w:hAnsi="Arial" w:cs="Arial"/>
          <w:i/>
          <w:color w:val="000000" w:themeColor="text1"/>
        </w:rPr>
        <w:t>d’</w:t>
      </w:r>
      <w:r w:rsidR="002674E1" w:rsidRPr="004447AA">
        <w:rPr>
          <w:rFonts w:ascii="Arial" w:hAnsi="Arial" w:cs="Arial"/>
          <w:color w:val="000000" w:themeColor="text1"/>
        </w:rPr>
        <w:t xml:space="preserve">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.85, </w:t>
      </w:r>
      <w:r w:rsidR="002674E1" w:rsidRPr="004447AA">
        <w:rPr>
          <w:rFonts w:ascii="Arial" w:hAnsi="Arial" w:cs="Arial"/>
          <w:i/>
          <w:color w:val="000000" w:themeColor="text1"/>
        </w:rPr>
        <w:t>SD</w:t>
      </w:r>
      <w:r w:rsidR="002674E1" w:rsidRPr="004447AA">
        <w:rPr>
          <w:rFonts w:ascii="Arial" w:hAnsi="Arial" w:cs="Arial"/>
          <w:color w:val="000000" w:themeColor="text1"/>
        </w:rPr>
        <w:t xml:space="preserve"> = .27), despite there being no significant difference in associative and item performance. The significant difference between item and associative metacognitive efficiency remained when younger adults (n = 9) were removed, </w:t>
      </w:r>
      <w:proofErr w:type="gramStart"/>
      <w:r w:rsidR="002674E1" w:rsidRPr="004447AA">
        <w:rPr>
          <w:rFonts w:ascii="Arial" w:hAnsi="Arial" w:cs="Arial"/>
          <w:i/>
          <w:color w:val="000000" w:themeColor="text1"/>
        </w:rPr>
        <w:t>t</w:t>
      </w:r>
      <w:r w:rsidR="002674E1" w:rsidRPr="004447AA">
        <w:rPr>
          <w:rFonts w:ascii="Arial" w:hAnsi="Arial" w:cs="Arial"/>
          <w:color w:val="000000" w:themeColor="text1"/>
        </w:rPr>
        <w:t>(</w:t>
      </w:r>
      <w:proofErr w:type="gramEnd"/>
      <w:r w:rsidR="002674E1" w:rsidRPr="004447AA">
        <w:rPr>
          <w:rFonts w:ascii="Arial" w:hAnsi="Arial" w:cs="Arial"/>
          <w:color w:val="000000" w:themeColor="text1"/>
        </w:rPr>
        <w:t xml:space="preserve">24) = 3.15, </w:t>
      </w:r>
      <w:r w:rsidR="002674E1" w:rsidRPr="004447AA">
        <w:rPr>
          <w:rFonts w:ascii="Arial" w:hAnsi="Arial" w:cs="Arial"/>
          <w:i/>
          <w:color w:val="000000" w:themeColor="text1"/>
        </w:rPr>
        <w:t xml:space="preserve">p </w:t>
      </w:r>
      <w:r w:rsidR="002674E1" w:rsidRPr="004447AA">
        <w:rPr>
          <w:rFonts w:ascii="Arial" w:hAnsi="Arial" w:cs="Arial"/>
          <w:color w:val="000000" w:themeColor="text1"/>
        </w:rPr>
        <w:t xml:space="preserve">&lt; .01, Cohen’s </w:t>
      </w:r>
      <w:r w:rsidR="002674E1" w:rsidRPr="004447AA">
        <w:rPr>
          <w:rFonts w:ascii="Arial" w:hAnsi="Arial" w:cs="Arial"/>
          <w:i/>
          <w:color w:val="000000" w:themeColor="text1"/>
        </w:rPr>
        <w:t xml:space="preserve">d </w:t>
      </w:r>
      <w:r w:rsidR="002674E1" w:rsidRPr="004447AA">
        <w:rPr>
          <w:rFonts w:ascii="Arial" w:hAnsi="Arial" w:cs="Arial"/>
          <w:color w:val="000000" w:themeColor="text1"/>
        </w:rPr>
        <w:t xml:space="preserve">=  (associative </w:t>
      </w:r>
      <w:r w:rsidR="002674E1" w:rsidRPr="004447AA">
        <w:rPr>
          <w:rFonts w:ascii="Arial" w:hAnsi="Arial" w:cs="Arial"/>
          <w:i/>
          <w:color w:val="000000" w:themeColor="text1"/>
        </w:rPr>
        <w:t>M</w:t>
      </w:r>
      <w:r w:rsidR="002674E1" w:rsidRPr="004447AA">
        <w:rPr>
          <w:rFonts w:ascii="Arial" w:hAnsi="Arial" w:cs="Arial"/>
          <w:color w:val="000000" w:themeColor="text1"/>
        </w:rPr>
        <w:t xml:space="preserve"> = 1.15, </w:t>
      </w:r>
      <w:r w:rsidR="002674E1" w:rsidRPr="004447AA">
        <w:rPr>
          <w:rFonts w:ascii="Arial" w:hAnsi="Arial" w:cs="Arial"/>
          <w:i/>
          <w:color w:val="000000" w:themeColor="text1"/>
        </w:rPr>
        <w:t>SD</w:t>
      </w:r>
      <w:r w:rsidR="002674E1" w:rsidRPr="004447AA">
        <w:rPr>
          <w:rFonts w:ascii="Arial" w:hAnsi="Arial" w:cs="Arial"/>
          <w:color w:val="000000" w:themeColor="text1"/>
        </w:rPr>
        <w:t xml:space="preserve"> = 0.34; item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.87, </w:t>
      </w:r>
      <w:r w:rsidR="002674E1" w:rsidRPr="004447AA">
        <w:rPr>
          <w:rFonts w:ascii="Arial" w:hAnsi="Arial" w:cs="Arial"/>
          <w:i/>
          <w:color w:val="000000" w:themeColor="text1"/>
        </w:rPr>
        <w:t>SD</w:t>
      </w:r>
      <w:r w:rsidR="002674E1" w:rsidRPr="004447AA">
        <w:rPr>
          <w:rFonts w:ascii="Arial" w:hAnsi="Arial" w:cs="Arial"/>
          <w:color w:val="000000" w:themeColor="text1"/>
        </w:rPr>
        <w:t xml:space="preserve"> = 0.26). </w:t>
      </w:r>
    </w:p>
    <w:p w14:paraId="0D1DA3EB" w14:textId="541AF1A1" w:rsidR="002674E1" w:rsidRPr="00C81463" w:rsidRDefault="001E3029" w:rsidP="00A670C3">
      <w:pPr>
        <w:ind w:firstLine="720"/>
        <w:jc w:val="both"/>
        <w:rPr>
          <w:rFonts w:ascii="Arial" w:hAnsi="Arial" w:cs="Arial"/>
          <w:color w:val="000000" w:themeColor="text1"/>
        </w:rPr>
      </w:pPr>
      <w:r>
        <w:rPr>
          <w:rFonts w:ascii="Arial" w:hAnsi="Arial" w:cs="Arial"/>
          <w:i/>
          <w:color w:val="000000" w:themeColor="text1"/>
        </w:rPr>
        <w:t xml:space="preserve">1.2.2 </w:t>
      </w:r>
      <w:r w:rsidR="00832124">
        <w:rPr>
          <w:rFonts w:ascii="Arial" w:hAnsi="Arial" w:cs="Arial"/>
          <w:i/>
          <w:color w:val="000000" w:themeColor="text1"/>
        </w:rPr>
        <w:t>Recognition Memory Performance (d’)</w:t>
      </w:r>
      <w:r w:rsidR="00832124" w:rsidRPr="004447AA">
        <w:rPr>
          <w:rFonts w:ascii="Arial" w:hAnsi="Arial" w:cs="Arial"/>
          <w:i/>
          <w:color w:val="000000" w:themeColor="text1"/>
        </w:rPr>
        <w:t xml:space="preserve">. </w:t>
      </w:r>
      <w:r w:rsidR="008C5C19" w:rsidRPr="004447AA">
        <w:rPr>
          <w:rFonts w:ascii="Arial" w:hAnsi="Arial" w:cs="Arial"/>
          <w:color w:val="000000" w:themeColor="text1"/>
        </w:rPr>
        <w:t>We examined recognition memory performance scores (</w:t>
      </w:r>
      <w:r w:rsidR="008C5C19" w:rsidRPr="004447AA">
        <w:rPr>
          <w:rFonts w:ascii="Arial" w:hAnsi="Arial" w:cs="Arial"/>
          <w:i/>
          <w:color w:val="000000" w:themeColor="text1"/>
        </w:rPr>
        <w:t>d’</w:t>
      </w:r>
      <w:r w:rsidR="008C5C19" w:rsidRPr="004447AA">
        <w:rPr>
          <w:rFonts w:ascii="Arial" w:hAnsi="Arial" w:cs="Arial"/>
          <w:color w:val="000000" w:themeColor="text1"/>
        </w:rPr>
        <w:t>) in a two-way analysis of variance (ANOVA) with age group (</w:t>
      </w:r>
      <w:r w:rsidR="008C5C19">
        <w:rPr>
          <w:rFonts w:ascii="Arial" w:hAnsi="Arial" w:cs="Arial"/>
          <w:color w:val="000000" w:themeColor="text1"/>
        </w:rPr>
        <w:t>YA</w:t>
      </w:r>
      <w:r w:rsidR="008C5C19" w:rsidRPr="004447AA">
        <w:rPr>
          <w:rFonts w:ascii="Arial" w:hAnsi="Arial" w:cs="Arial"/>
          <w:color w:val="000000" w:themeColor="text1"/>
        </w:rPr>
        <w:t xml:space="preserve">, </w:t>
      </w:r>
      <w:r w:rsidR="008C5C19">
        <w:rPr>
          <w:rFonts w:ascii="Arial" w:hAnsi="Arial" w:cs="Arial"/>
          <w:color w:val="000000" w:themeColor="text1"/>
        </w:rPr>
        <w:t>OA</w:t>
      </w:r>
      <w:r w:rsidR="008C5C19" w:rsidRPr="004447AA">
        <w:rPr>
          <w:rFonts w:ascii="Arial" w:hAnsi="Arial" w:cs="Arial"/>
          <w:color w:val="000000" w:themeColor="text1"/>
        </w:rPr>
        <w:t xml:space="preserve">) as the between-participants factor and test type (item, associative) as the within-participants factor. </w:t>
      </w:r>
      <w:r w:rsidR="00832124" w:rsidRPr="004447AA">
        <w:rPr>
          <w:rFonts w:ascii="Arial" w:hAnsi="Arial" w:cs="Arial"/>
          <w:color w:val="000000" w:themeColor="text1"/>
        </w:rPr>
        <w:t>No significant main effect of test type or interaction were found (</w:t>
      </w:r>
      <w:r w:rsidR="00832124" w:rsidRPr="004447AA">
        <w:rPr>
          <w:rFonts w:ascii="Arial" w:hAnsi="Arial" w:cs="Arial"/>
          <w:i/>
          <w:color w:val="000000" w:themeColor="text1"/>
        </w:rPr>
        <w:t>F</w:t>
      </w:r>
      <w:r w:rsidR="00832124" w:rsidRPr="004447AA">
        <w:rPr>
          <w:rFonts w:ascii="Arial" w:hAnsi="Arial" w:cs="Arial"/>
          <w:color w:val="000000" w:themeColor="text1"/>
        </w:rPr>
        <w:t xml:space="preserve">s &lt; 2), replicating the main experiment’s results. There was also no main effect of age, </w:t>
      </w:r>
      <w:r w:rsidR="00832124" w:rsidRPr="004447AA">
        <w:rPr>
          <w:rFonts w:ascii="Arial" w:hAnsi="Arial" w:cs="Arial"/>
          <w:i/>
          <w:color w:val="000000" w:themeColor="text1"/>
        </w:rPr>
        <w:t xml:space="preserve">F </w:t>
      </w:r>
      <w:r w:rsidR="00832124" w:rsidRPr="004447AA">
        <w:rPr>
          <w:rFonts w:ascii="Arial" w:hAnsi="Arial" w:cs="Arial"/>
          <w:color w:val="000000" w:themeColor="text1"/>
        </w:rPr>
        <w:t xml:space="preserve">&lt; 1. It is important to note a large difference in sample size between younger (n = 9) and older (n = 25) age groups, making any age effects and differences less likely in this dataset. </w:t>
      </w:r>
    </w:p>
    <w:p w14:paraId="452623A5" w14:textId="7F22C467" w:rsidR="002674E1" w:rsidRDefault="002674E1" w:rsidP="00A670C3">
      <w:pPr>
        <w:jc w:val="both"/>
        <w:rPr>
          <w:rFonts w:ascii="Arial" w:hAnsi="Arial" w:cs="Arial"/>
          <w:b/>
          <w:bCs/>
          <w:i/>
          <w:color w:val="000000" w:themeColor="text1"/>
        </w:rPr>
      </w:pPr>
    </w:p>
    <w:p w14:paraId="6795E963" w14:textId="5562EF3C" w:rsidR="005C3B98" w:rsidRPr="00C81463" w:rsidRDefault="005C3B98" w:rsidP="005C3B98">
      <w:pPr>
        <w:spacing w:line="480" w:lineRule="auto"/>
        <w:jc w:val="both"/>
        <w:rPr>
          <w:rFonts w:ascii="Arial" w:hAnsi="Arial" w:cs="Arial"/>
          <w:b/>
          <w:bCs/>
          <w:i/>
          <w:color w:val="000000" w:themeColor="text1"/>
        </w:rPr>
      </w:pPr>
      <w:r>
        <w:rPr>
          <w:rFonts w:ascii="Arial" w:hAnsi="Arial" w:cs="Arial"/>
          <w:b/>
          <w:bCs/>
          <w:i/>
          <w:color w:val="000000" w:themeColor="text1"/>
        </w:rPr>
        <w:t>1.</w:t>
      </w:r>
      <w:r w:rsidR="001E3029">
        <w:rPr>
          <w:rFonts w:ascii="Arial" w:hAnsi="Arial" w:cs="Arial"/>
          <w:b/>
          <w:bCs/>
          <w:i/>
          <w:color w:val="000000" w:themeColor="text1"/>
        </w:rPr>
        <w:t>3</w:t>
      </w:r>
      <w:r>
        <w:rPr>
          <w:rFonts w:ascii="Arial" w:hAnsi="Arial" w:cs="Arial"/>
          <w:b/>
          <w:bCs/>
          <w:i/>
          <w:color w:val="000000" w:themeColor="text1"/>
        </w:rPr>
        <w:t xml:space="preserve"> Pilot Experiment Tables</w:t>
      </w:r>
    </w:p>
    <w:p w14:paraId="7D2757CC" w14:textId="69CC1E59" w:rsidR="005C3B98" w:rsidRPr="004447AA" w:rsidRDefault="005C3B98" w:rsidP="005C3B98">
      <w:pPr>
        <w:spacing w:line="480" w:lineRule="auto"/>
        <w:jc w:val="both"/>
        <w:rPr>
          <w:rFonts w:ascii="Arial" w:hAnsi="Arial" w:cs="Arial"/>
          <w:color w:val="000000" w:themeColor="text1"/>
        </w:rPr>
      </w:pPr>
      <w:r w:rsidRPr="00A670C3">
        <w:rPr>
          <w:rFonts w:ascii="Arial" w:hAnsi="Arial" w:cs="Arial"/>
          <w:b/>
          <w:bCs/>
          <w:color w:val="000000" w:themeColor="text1"/>
        </w:rPr>
        <w:t>Supplementary Table 1.</w:t>
      </w:r>
      <w:r w:rsidRPr="004447AA">
        <w:rPr>
          <w:rFonts w:ascii="Arial" w:hAnsi="Arial" w:cs="Arial"/>
          <w:color w:val="000000" w:themeColor="text1"/>
        </w:rPr>
        <w:t xml:space="preserve"> Stimulus Characteristics in the Pilot and Main Study.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00"/>
        <w:gridCol w:w="630"/>
        <w:gridCol w:w="900"/>
        <w:gridCol w:w="1800"/>
        <w:gridCol w:w="720"/>
        <w:gridCol w:w="1064"/>
      </w:tblGrid>
      <w:tr w:rsidR="005C3B98" w:rsidRPr="004447AA" w14:paraId="56FDE76B" w14:textId="77777777" w:rsidTr="000967C7">
        <w:tc>
          <w:tcPr>
            <w:tcW w:w="2155" w:type="dxa"/>
            <w:tcBorders>
              <w:bottom w:val="single" w:sz="4" w:space="0" w:color="auto"/>
            </w:tcBorders>
            <w:vAlign w:val="center"/>
          </w:tcPr>
          <w:p w14:paraId="69602F55"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p>
        </w:tc>
        <w:tc>
          <w:tcPr>
            <w:tcW w:w="3330" w:type="dxa"/>
            <w:gridSpan w:val="3"/>
            <w:tcBorders>
              <w:bottom w:val="single" w:sz="4" w:space="0" w:color="auto"/>
            </w:tcBorders>
            <w:vAlign w:val="center"/>
          </w:tcPr>
          <w:p w14:paraId="2A04C465"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Pilot Experiment</w:t>
            </w:r>
          </w:p>
        </w:tc>
        <w:tc>
          <w:tcPr>
            <w:tcW w:w="3584" w:type="dxa"/>
            <w:gridSpan w:val="3"/>
            <w:tcBorders>
              <w:bottom w:val="single" w:sz="4" w:space="0" w:color="auto"/>
            </w:tcBorders>
            <w:vAlign w:val="center"/>
          </w:tcPr>
          <w:p w14:paraId="13EF1B7B"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Experiments 1 &amp; 2</w:t>
            </w:r>
          </w:p>
        </w:tc>
      </w:tr>
      <w:tr w:rsidR="005C3B98" w:rsidRPr="004447AA" w14:paraId="599AA5C5" w14:textId="77777777" w:rsidTr="000967C7">
        <w:trPr>
          <w:trHeight w:val="291"/>
        </w:trPr>
        <w:tc>
          <w:tcPr>
            <w:tcW w:w="2155" w:type="dxa"/>
            <w:tcBorders>
              <w:top w:val="single" w:sz="4" w:space="0" w:color="auto"/>
              <w:bottom w:val="single" w:sz="4" w:space="0" w:color="auto"/>
              <w:right w:val="single" w:sz="4" w:space="0" w:color="auto"/>
            </w:tcBorders>
            <w:vAlign w:val="center"/>
          </w:tcPr>
          <w:p w14:paraId="65A3D460"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p>
        </w:tc>
        <w:tc>
          <w:tcPr>
            <w:tcW w:w="1800" w:type="dxa"/>
            <w:tcBorders>
              <w:top w:val="single" w:sz="4" w:space="0" w:color="auto"/>
              <w:left w:val="single" w:sz="4" w:space="0" w:color="auto"/>
              <w:bottom w:val="single" w:sz="4" w:space="0" w:color="auto"/>
            </w:tcBorders>
            <w:vAlign w:val="center"/>
          </w:tcPr>
          <w:p w14:paraId="59176547"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M (SD)</w:t>
            </w:r>
          </w:p>
        </w:tc>
        <w:tc>
          <w:tcPr>
            <w:tcW w:w="630" w:type="dxa"/>
            <w:tcBorders>
              <w:top w:val="single" w:sz="4" w:space="0" w:color="auto"/>
              <w:bottom w:val="single" w:sz="4" w:space="0" w:color="auto"/>
            </w:tcBorders>
            <w:vAlign w:val="center"/>
          </w:tcPr>
          <w:p w14:paraId="71953F0A"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Min</w:t>
            </w:r>
          </w:p>
        </w:tc>
        <w:tc>
          <w:tcPr>
            <w:tcW w:w="900" w:type="dxa"/>
            <w:tcBorders>
              <w:top w:val="single" w:sz="4" w:space="0" w:color="auto"/>
              <w:bottom w:val="single" w:sz="4" w:space="0" w:color="auto"/>
              <w:right w:val="single" w:sz="4" w:space="0" w:color="auto"/>
            </w:tcBorders>
            <w:vAlign w:val="center"/>
          </w:tcPr>
          <w:p w14:paraId="05A05234"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Max</w:t>
            </w:r>
          </w:p>
        </w:tc>
        <w:tc>
          <w:tcPr>
            <w:tcW w:w="1800" w:type="dxa"/>
            <w:tcBorders>
              <w:top w:val="single" w:sz="4" w:space="0" w:color="auto"/>
              <w:left w:val="single" w:sz="4" w:space="0" w:color="auto"/>
              <w:bottom w:val="single" w:sz="4" w:space="0" w:color="auto"/>
            </w:tcBorders>
            <w:vAlign w:val="center"/>
          </w:tcPr>
          <w:p w14:paraId="727E5A32"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M (SD)</w:t>
            </w:r>
          </w:p>
        </w:tc>
        <w:tc>
          <w:tcPr>
            <w:tcW w:w="720" w:type="dxa"/>
            <w:tcBorders>
              <w:top w:val="single" w:sz="4" w:space="0" w:color="auto"/>
              <w:bottom w:val="single" w:sz="4" w:space="0" w:color="auto"/>
            </w:tcBorders>
            <w:vAlign w:val="center"/>
          </w:tcPr>
          <w:p w14:paraId="7457310A"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Min</w:t>
            </w:r>
          </w:p>
        </w:tc>
        <w:tc>
          <w:tcPr>
            <w:tcW w:w="1064" w:type="dxa"/>
            <w:tcBorders>
              <w:top w:val="single" w:sz="4" w:space="0" w:color="auto"/>
              <w:bottom w:val="single" w:sz="4" w:space="0" w:color="auto"/>
            </w:tcBorders>
            <w:vAlign w:val="center"/>
          </w:tcPr>
          <w:p w14:paraId="500136A8"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Max</w:t>
            </w:r>
          </w:p>
        </w:tc>
      </w:tr>
      <w:tr w:rsidR="005C3B98" w:rsidRPr="004447AA" w14:paraId="3A4D421E" w14:textId="77777777" w:rsidTr="000967C7">
        <w:trPr>
          <w:trHeight w:val="291"/>
        </w:trPr>
        <w:tc>
          <w:tcPr>
            <w:tcW w:w="2155" w:type="dxa"/>
            <w:tcBorders>
              <w:top w:val="single" w:sz="4" w:space="0" w:color="auto"/>
              <w:right w:val="single" w:sz="4" w:space="0" w:color="auto"/>
            </w:tcBorders>
            <w:vAlign w:val="bottom"/>
          </w:tcPr>
          <w:p w14:paraId="1CD64F22" w14:textId="77777777" w:rsidR="005C3B98" w:rsidRPr="004447AA" w:rsidRDefault="005C3B98" w:rsidP="000967C7">
            <w:pPr>
              <w:snapToGrid w:val="0"/>
              <w:spacing w:before="120"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Number Letters</w:t>
            </w:r>
          </w:p>
        </w:tc>
        <w:tc>
          <w:tcPr>
            <w:tcW w:w="1800" w:type="dxa"/>
            <w:tcBorders>
              <w:top w:val="single" w:sz="4" w:space="0" w:color="auto"/>
              <w:left w:val="single" w:sz="4" w:space="0" w:color="auto"/>
            </w:tcBorders>
            <w:vAlign w:val="bottom"/>
          </w:tcPr>
          <w:p w14:paraId="64A699A6" w14:textId="673C4B9A" w:rsidR="005C3B98" w:rsidRPr="004447AA" w:rsidRDefault="004C0DB3" w:rsidP="000967C7">
            <w:pPr>
              <w:snapToGrid w:val="0"/>
              <w:spacing w:before="120"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    </w:t>
            </w:r>
            <w:r w:rsidR="005C3B98" w:rsidRPr="004447AA">
              <w:rPr>
                <w:rFonts w:ascii="Arial" w:hAnsi="Arial" w:cs="Arial"/>
                <w:color w:val="000000" w:themeColor="text1"/>
                <w:sz w:val="22"/>
                <w:szCs w:val="22"/>
              </w:rPr>
              <w:t>5.37 (1.30)</w:t>
            </w:r>
          </w:p>
        </w:tc>
        <w:tc>
          <w:tcPr>
            <w:tcW w:w="630" w:type="dxa"/>
            <w:tcBorders>
              <w:top w:val="single" w:sz="4" w:space="0" w:color="auto"/>
            </w:tcBorders>
            <w:vAlign w:val="bottom"/>
          </w:tcPr>
          <w:p w14:paraId="66616E63" w14:textId="77777777" w:rsidR="005C3B98" w:rsidRPr="004447AA" w:rsidRDefault="005C3B98" w:rsidP="000967C7">
            <w:pPr>
              <w:snapToGrid w:val="0"/>
              <w:spacing w:before="120"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4</w:t>
            </w:r>
          </w:p>
        </w:tc>
        <w:tc>
          <w:tcPr>
            <w:tcW w:w="900" w:type="dxa"/>
            <w:tcBorders>
              <w:top w:val="single" w:sz="4" w:space="0" w:color="auto"/>
              <w:right w:val="single" w:sz="4" w:space="0" w:color="auto"/>
            </w:tcBorders>
            <w:vAlign w:val="bottom"/>
          </w:tcPr>
          <w:p w14:paraId="42D4BA2F" w14:textId="77777777" w:rsidR="005C3B98" w:rsidRPr="004447AA" w:rsidRDefault="005C3B98" w:rsidP="000967C7">
            <w:pPr>
              <w:snapToGrid w:val="0"/>
              <w:spacing w:before="120"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8</w:t>
            </w:r>
          </w:p>
        </w:tc>
        <w:tc>
          <w:tcPr>
            <w:tcW w:w="1800" w:type="dxa"/>
            <w:tcBorders>
              <w:top w:val="single" w:sz="4" w:space="0" w:color="auto"/>
              <w:left w:val="single" w:sz="4" w:space="0" w:color="auto"/>
            </w:tcBorders>
            <w:vAlign w:val="bottom"/>
          </w:tcPr>
          <w:p w14:paraId="75F77E54" w14:textId="7DBD90E5" w:rsidR="005C3B98" w:rsidRPr="004447AA" w:rsidRDefault="004C0DB3" w:rsidP="000967C7">
            <w:pPr>
              <w:snapToGrid w:val="0"/>
              <w:spacing w:before="120"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    </w:t>
            </w:r>
            <w:r w:rsidR="005C3B98" w:rsidRPr="004447AA">
              <w:rPr>
                <w:rFonts w:ascii="Arial" w:hAnsi="Arial" w:cs="Arial"/>
                <w:color w:val="000000" w:themeColor="text1"/>
                <w:sz w:val="22"/>
                <w:szCs w:val="22"/>
              </w:rPr>
              <w:t>5.68 (1.43)</w:t>
            </w:r>
          </w:p>
        </w:tc>
        <w:tc>
          <w:tcPr>
            <w:tcW w:w="720" w:type="dxa"/>
            <w:tcBorders>
              <w:top w:val="single" w:sz="4" w:space="0" w:color="auto"/>
            </w:tcBorders>
            <w:vAlign w:val="bottom"/>
          </w:tcPr>
          <w:p w14:paraId="32B653E1" w14:textId="77777777" w:rsidR="005C3B98" w:rsidRPr="004447AA" w:rsidRDefault="005C3B98" w:rsidP="000967C7">
            <w:pPr>
              <w:snapToGrid w:val="0"/>
              <w:spacing w:before="120"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4</w:t>
            </w:r>
          </w:p>
        </w:tc>
        <w:tc>
          <w:tcPr>
            <w:tcW w:w="1064" w:type="dxa"/>
            <w:tcBorders>
              <w:top w:val="single" w:sz="4" w:space="0" w:color="auto"/>
            </w:tcBorders>
            <w:vAlign w:val="bottom"/>
          </w:tcPr>
          <w:p w14:paraId="17BC9FDB" w14:textId="77777777" w:rsidR="005C3B98" w:rsidRPr="004447AA" w:rsidRDefault="005C3B98" w:rsidP="000967C7">
            <w:pPr>
              <w:snapToGrid w:val="0"/>
              <w:spacing w:before="120"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10</w:t>
            </w:r>
          </w:p>
        </w:tc>
      </w:tr>
      <w:tr w:rsidR="005C3B98" w:rsidRPr="004447AA" w14:paraId="6AE87FCC" w14:textId="77777777" w:rsidTr="000967C7">
        <w:trPr>
          <w:trHeight w:val="291"/>
        </w:trPr>
        <w:tc>
          <w:tcPr>
            <w:tcW w:w="2155" w:type="dxa"/>
            <w:tcBorders>
              <w:right w:val="single" w:sz="4" w:space="0" w:color="auto"/>
            </w:tcBorders>
            <w:vAlign w:val="center"/>
          </w:tcPr>
          <w:p w14:paraId="40EE3D29"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Number Syllables</w:t>
            </w:r>
          </w:p>
        </w:tc>
        <w:tc>
          <w:tcPr>
            <w:tcW w:w="1800" w:type="dxa"/>
            <w:tcBorders>
              <w:left w:val="single" w:sz="4" w:space="0" w:color="auto"/>
            </w:tcBorders>
            <w:vAlign w:val="center"/>
          </w:tcPr>
          <w:p w14:paraId="0EAD1395" w14:textId="43F79357" w:rsidR="005C3B98" w:rsidRPr="004447AA" w:rsidRDefault="004C0DB3" w:rsidP="000967C7">
            <w:pPr>
              <w:snapToGrid w:val="0"/>
              <w:spacing w:before="100" w:beforeAutospacing="1"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    </w:t>
            </w:r>
            <w:r w:rsidR="005C3B98" w:rsidRPr="004447AA">
              <w:rPr>
                <w:rFonts w:ascii="Arial" w:hAnsi="Arial" w:cs="Arial"/>
                <w:color w:val="000000" w:themeColor="text1"/>
                <w:sz w:val="22"/>
                <w:szCs w:val="22"/>
              </w:rPr>
              <w:t>1.52 (0.64)</w:t>
            </w:r>
          </w:p>
        </w:tc>
        <w:tc>
          <w:tcPr>
            <w:tcW w:w="630" w:type="dxa"/>
            <w:vAlign w:val="center"/>
          </w:tcPr>
          <w:p w14:paraId="20D4EBC2"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1</w:t>
            </w:r>
          </w:p>
        </w:tc>
        <w:tc>
          <w:tcPr>
            <w:tcW w:w="900" w:type="dxa"/>
            <w:tcBorders>
              <w:right w:val="single" w:sz="4" w:space="0" w:color="auto"/>
            </w:tcBorders>
            <w:vAlign w:val="center"/>
          </w:tcPr>
          <w:p w14:paraId="236546E6"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3</w:t>
            </w:r>
          </w:p>
        </w:tc>
        <w:tc>
          <w:tcPr>
            <w:tcW w:w="1800" w:type="dxa"/>
            <w:tcBorders>
              <w:left w:val="single" w:sz="4" w:space="0" w:color="auto"/>
            </w:tcBorders>
            <w:vAlign w:val="center"/>
          </w:tcPr>
          <w:p w14:paraId="7F5D9BB9" w14:textId="2C1637E9" w:rsidR="005C3B98" w:rsidRPr="004447AA" w:rsidRDefault="004C0DB3" w:rsidP="000967C7">
            <w:pPr>
              <w:snapToGrid w:val="0"/>
              <w:spacing w:before="100" w:beforeAutospacing="1" w:line="276" w:lineRule="auto"/>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    </w:t>
            </w:r>
            <w:r w:rsidR="005C3B98" w:rsidRPr="004447AA">
              <w:rPr>
                <w:rFonts w:ascii="Arial" w:hAnsi="Arial" w:cs="Arial"/>
                <w:color w:val="000000" w:themeColor="text1"/>
                <w:sz w:val="22"/>
                <w:szCs w:val="22"/>
              </w:rPr>
              <w:t>1.55 (0.50)</w:t>
            </w:r>
          </w:p>
        </w:tc>
        <w:tc>
          <w:tcPr>
            <w:tcW w:w="720" w:type="dxa"/>
            <w:vAlign w:val="center"/>
          </w:tcPr>
          <w:p w14:paraId="452C14EC"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1</w:t>
            </w:r>
          </w:p>
        </w:tc>
        <w:tc>
          <w:tcPr>
            <w:tcW w:w="1064" w:type="dxa"/>
            <w:vAlign w:val="center"/>
          </w:tcPr>
          <w:p w14:paraId="472B805E"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2</w:t>
            </w:r>
          </w:p>
        </w:tc>
      </w:tr>
      <w:tr w:rsidR="005C3B98" w:rsidRPr="004447AA" w14:paraId="32B82068" w14:textId="77777777" w:rsidTr="000967C7">
        <w:trPr>
          <w:trHeight w:val="291"/>
        </w:trPr>
        <w:tc>
          <w:tcPr>
            <w:tcW w:w="2155" w:type="dxa"/>
            <w:tcBorders>
              <w:right w:val="single" w:sz="4" w:space="0" w:color="auto"/>
            </w:tcBorders>
            <w:vAlign w:val="center"/>
          </w:tcPr>
          <w:p w14:paraId="747B934B"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Familiarity</w:t>
            </w:r>
          </w:p>
        </w:tc>
        <w:tc>
          <w:tcPr>
            <w:tcW w:w="1800" w:type="dxa"/>
            <w:tcBorders>
              <w:left w:val="single" w:sz="4" w:space="0" w:color="auto"/>
            </w:tcBorders>
            <w:vAlign w:val="center"/>
          </w:tcPr>
          <w:p w14:paraId="43CE8A86"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516.43 (53.89)</w:t>
            </w:r>
          </w:p>
        </w:tc>
        <w:tc>
          <w:tcPr>
            <w:tcW w:w="630" w:type="dxa"/>
            <w:vAlign w:val="center"/>
          </w:tcPr>
          <w:p w14:paraId="65A50E45"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400</w:t>
            </w:r>
          </w:p>
        </w:tc>
        <w:tc>
          <w:tcPr>
            <w:tcW w:w="900" w:type="dxa"/>
            <w:tcBorders>
              <w:right w:val="single" w:sz="4" w:space="0" w:color="auto"/>
            </w:tcBorders>
            <w:vAlign w:val="center"/>
          </w:tcPr>
          <w:p w14:paraId="082153DF"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700</w:t>
            </w:r>
          </w:p>
        </w:tc>
        <w:tc>
          <w:tcPr>
            <w:tcW w:w="1800" w:type="dxa"/>
            <w:tcBorders>
              <w:left w:val="single" w:sz="4" w:space="0" w:color="auto"/>
            </w:tcBorders>
            <w:vAlign w:val="center"/>
          </w:tcPr>
          <w:p w14:paraId="019B4D95"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539.2 (58.52)</w:t>
            </w:r>
          </w:p>
        </w:tc>
        <w:tc>
          <w:tcPr>
            <w:tcW w:w="720" w:type="dxa"/>
            <w:vAlign w:val="center"/>
          </w:tcPr>
          <w:p w14:paraId="3DFC101E"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200</w:t>
            </w:r>
          </w:p>
        </w:tc>
        <w:tc>
          <w:tcPr>
            <w:tcW w:w="1064" w:type="dxa"/>
            <w:vAlign w:val="center"/>
          </w:tcPr>
          <w:p w14:paraId="0A031137"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700</w:t>
            </w:r>
          </w:p>
        </w:tc>
      </w:tr>
      <w:tr w:rsidR="005C3B98" w:rsidRPr="004447AA" w14:paraId="68A4FABF" w14:textId="77777777" w:rsidTr="000967C7">
        <w:trPr>
          <w:trHeight w:val="291"/>
        </w:trPr>
        <w:tc>
          <w:tcPr>
            <w:tcW w:w="2155" w:type="dxa"/>
            <w:tcBorders>
              <w:right w:val="single" w:sz="4" w:space="0" w:color="auto"/>
            </w:tcBorders>
            <w:vAlign w:val="center"/>
          </w:tcPr>
          <w:p w14:paraId="5CBFFCD0"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Concreteness</w:t>
            </w:r>
          </w:p>
        </w:tc>
        <w:tc>
          <w:tcPr>
            <w:tcW w:w="1800" w:type="dxa"/>
            <w:tcBorders>
              <w:left w:val="single" w:sz="4" w:space="0" w:color="auto"/>
            </w:tcBorders>
            <w:vAlign w:val="center"/>
          </w:tcPr>
          <w:p w14:paraId="4C5298E5"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539.03 (67.29)</w:t>
            </w:r>
          </w:p>
        </w:tc>
        <w:tc>
          <w:tcPr>
            <w:tcW w:w="630" w:type="dxa"/>
            <w:vAlign w:val="center"/>
          </w:tcPr>
          <w:p w14:paraId="17C06129"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400</w:t>
            </w:r>
          </w:p>
        </w:tc>
        <w:tc>
          <w:tcPr>
            <w:tcW w:w="900" w:type="dxa"/>
            <w:tcBorders>
              <w:right w:val="single" w:sz="4" w:space="0" w:color="auto"/>
            </w:tcBorders>
            <w:vAlign w:val="center"/>
          </w:tcPr>
          <w:p w14:paraId="4A5C1ED0"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700</w:t>
            </w:r>
          </w:p>
        </w:tc>
        <w:tc>
          <w:tcPr>
            <w:tcW w:w="1800" w:type="dxa"/>
            <w:tcBorders>
              <w:left w:val="single" w:sz="4" w:space="0" w:color="auto"/>
            </w:tcBorders>
            <w:vAlign w:val="center"/>
          </w:tcPr>
          <w:p w14:paraId="4B16DEE3"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462.52 (112.8)</w:t>
            </w:r>
          </w:p>
        </w:tc>
        <w:tc>
          <w:tcPr>
            <w:tcW w:w="720" w:type="dxa"/>
            <w:vAlign w:val="center"/>
          </w:tcPr>
          <w:p w14:paraId="477195B0"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200</w:t>
            </w:r>
          </w:p>
        </w:tc>
        <w:tc>
          <w:tcPr>
            <w:tcW w:w="1064" w:type="dxa"/>
            <w:vAlign w:val="center"/>
          </w:tcPr>
          <w:p w14:paraId="6B885800"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700</w:t>
            </w:r>
          </w:p>
        </w:tc>
      </w:tr>
      <w:tr w:rsidR="005C3B98" w:rsidRPr="004447AA" w14:paraId="0CB0EF41" w14:textId="77777777" w:rsidTr="000967C7">
        <w:trPr>
          <w:trHeight w:val="291"/>
        </w:trPr>
        <w:tc>
          <w:tcPr>
            <w:tcW w:w="2155" w:type="dxa"/>
            <w:tcBorders>
              <w:bottom w:val="single" w:sz="4" w:space="0" w:color="auto"/>
              <w:right w:val="single" w:sz="4" w:space="0" w:color="auto"/>
            </w:tcBorders>
            <w:vAlign w:val="center"/>
          </w:tcPr>
          <w:p w14:paraId="1C34703E"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Imageability</w:t>
            </w:r>
          </w:p>
        </w:tc>
        <w:tc>
          <w:tcPr>
            <w:tcW w:w="1800" w:type="dxa"/>
            <w:tcBorders>
              <w:left w:val="single" w:sz="4" w:space="0" w:color="auto"/>
              <w:bottom w:val="single" w:sz="4" w:space="0" w:color="auto"/>
            </w:tcBorders>
            <w:vAlign w:val="center"/>
          </w:tcPr>
          <w:p w14:paraId="22C2C1DB"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543.24 (55.14)</w:t>
            </w:r>
          </w:p>
        </w:tc>
        <w:tc>
          <w:tcPr>
            <w:tcW w:w="630" w:type="dxa"/>
            <w:tcBorders>
              <w:bottom w:val="single" w:sz="4" w:space="0" w:color="auto"/>
            </w:tcBorders>
            <w:vAlign w:val="center"/>
          </w:tcPr>
          <w:p w14:paraId="2493C567"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400</w:t>
            </w:r>
          </w:p>
        </w:tc>
        <w:tc>
          <w:tcPr>
            <w:tcW w:w="900" w:type="dxa"/>
            <w:tcBorders>
              <w:bottom w:val="single" w:sz="4" w:space="0" w:color="auto"/>
              <w:right w:val="single" w:sz="4" w:space="0" w:color="auto"/>
            </w:tcBorders>
            <w:vAlign w:val="center"/>
          </w:tcPr>
          <w:p w14:paraId="5408C7E6"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700</w:t>
            </w:r>
          </w:p>
        </w:tc>
        <w:tc>
          <w:tcPr>
            <w:tcW w:w="1800" w:type="dxa"/>
            <w:tcBorders>
              <w:left w:val="single" w:sz="4" w:space="0" w:color="auto"/>
              <w:bottom w:val="single" w:sz="4" w:space="0" w:color="auto"/>
            </w:tcBorders>
            <w:vAlign w:val="center"/>
          </w:tcPr>
          <w:p w14:paraId="6FE9A755"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486.88 (96.4)</w:t>
            </w:r>
          </w:p>
        </w:tc>
        <w:tc>
          <w:tcPr>
            <w:tcW w:w="720" w:type="dxa"/>
            <w:tcBorders>
              <w:bottom w:val="single" w:sz="4" w:space="0" w:color="auto"/>
            </w:tcBorders>
            <w:vAlign w:val="center"/>
          </w:tcPr>
          <w:p w14:paraId="71C54D7B"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200</w:t>
            </w:r>
          </w:p>
        </w:tc>
        <w:tc>
          <w:tcPr>
            <w:tcW w:w="1064" w:type="dxa"/>
            <w:tcBorders>
              <w:bottom w:val="single" w:sz="4" w:space="0" w:color="auto"/>
            </w:tcBorders>
            <w:vAlign w:val="center"/>
          </w:tcPr>
          <w:p w14:paraId="393A4D36" w14:textId="77777777" w:rsidR="005C3B98" w:rsidRPr="004447AA" w:rsidRDefault="005C3B98" w:rsidP="000967C7">
            <w:pPr>
              <w:snapToGrid w:val="0"/>
              <w:spacing w:before="100" w:beforeAutospacing="1" w:line="276" w:lineRule="auto"/>
              <w:contextualSpacing/>
              <w:jc w:val="both"/>
              <w:rPr>
                <w:rFonts w:ascii="Arial" w:hAnsi="Arial" w:cs="Arial"/>
                <w:color w:val="000000" w:themeColor="text1"/>
                <w:sz w:val="22"/>
                <w:szCs w:val="22"/>
              </w:rPr>
            </w:pPr>
            <w:r w:rsidRPr="004447AA">
              <w:rPr>
                <w:rFonts w:ascii="Arial" w:hAnsi="Arial" w:cs="Arial"/>
                <w:color w:val="000000" w:themeColor="text1"/>
                <w:sz w:val="22"/>
                <w:szCs w:val="22"/>
              </w:rPr>
              <w:t>700</w:t>
            </w:r>
          </w:p>
        </w:tc>
      </w:tr>
    </w:tbl>
    <w:p w14:paraId="7AD753E5" w14:textId="77777777" w:rsidR="005C3B98" w:rsidRPr="004447AA" w:rsidRDefault="005C3B98" w:rsidP="005C3B98">
      <w:pPr>
        <w:jc w:val="both"/>
        <w:rPr>
          <w:rFonts w:ascii="Arial" w:hAnsi="Arial" w:cs="Arial"/>
          <w:color w:val="000000" w:themeColor="text1"/>
        </w:rPr>
      </w:pPr>
    </w:p>
    <w:p w14:paraId="31BA7CBE" w14:textId="77777777" w:rsidR="005C3B98" w:rsidRPr="004447AA" w:rsidRDefault="005C3B98" w:rsidP="005C3B98">
      <w:pPr>
        <w:jc w:val="both"/>
        <w:rPr>
          <w:rFonts w:ascii="Arial" w:hAnsi="Arial" w:cs="Arial"/>
          <w:color w:val="000000" w:themeColor="text1"/>
        </w:rPr>
      </w:pPr>
      <w:r w:rsidRPr="004447AA">
        <w:rPr>
          <w:rFonts w:ascii="Arial" w:hAnsi="Arial" w:cs="Arial"/>
          <w:i/>
          <w:color w:val="000000" w:themeColor="text1"/>
        </w:rPr>
        <w:t>Note</w:t>
      </w:r>
      <w:r w:rsidRPr="004447AA">
        <w:rPr>
          <w:rFonts w:ascii="Arial" w:hAnsi="Arial" w:cs="Arial"/>
          <w:color w:val="000000" w:themeColor="text1"/>
        </w:rPr>
        <w:t xml:space="preserve">. Standard nouns from the Medical Research Council (MRC) Psycholinguistic Database (Wilson, 1988) were used in all experiments. </w:t>
      </w:r>
    </w:p>
    <w:p w14:paraId="31A421A2" w14:textId="6DF86BDB" w:rsidR="00C81463" w:rsidRPr="00A670C3" w:rsidRDefault="005C3B98" w:rsidP="002674E1">
      <w:pPr>
        <w:spacing w:line="480" w:lineRule="auto"/>
        <w:jc w:val="both"/>
        <w:rPr>
          <w:rFonts w:ascii="Arial" w:hAnsi="Arial" w:cs="Arial"/>
          <w:color w:val="000000" w:themeColor="text1"/>
        </w:rPr>
      </w:pPr>
      <w:r w:rsidRPr="004447AA">
        <w:rPr>
          <w:rFonts w:ascii="Arial" w:hAnsi="Arial" w:cs="Arial"/>
          <w:color w:val="000000" w:themeColor="text1"/>
        </w:rPr>
        <w:tab/>
      </w:r>
    </w:p>
    <w:p w14:paraId="52389988" w14:textId="0E67B4AD" w:rsidR="005C3B98" w:rsidRPr="004447AA" w:rsidRDefault="005C3B98" w:rsidP="005C3B98">
      <w:pPr>
        <w:jc w:val="both"/>
        <w:rPr>
          <w:rFonts w:ascii="Arial" w:hAnsi="Arial" w:cs="Arial"/>
          <w:i/>
          <w:iCs/>
          <w:color w:val="000000" w:themeColor="text1"/>
        </w:rPr>
      </w:pPr>
      <w:r w:rsidRPr="00A670C3">
        <w:rPr>
          <w:rFonts w:ascii="Arial" w:hAnsi="Arial" w:cs="Arial"/>
          <w:b/>
          <w:bCs/>
          <w:color w:val="000000" w:themeColor="text1"/>
        </w:rPr>
        <w:t>Supplementary Table 2.</w:t>
      </w:r>
      <w:r w:rsidRPr="004447AA">
        <w:rPr>
          <w:rFonts w:ascii="Arial" w:hAnsi="Arial" w:cs="Arial"/>
          <w:color w:val="000000" w:themeColor="text1"/>
        </w:rPr>
        <w:t xml:space="preserve"> </w:t>
      </w:r>
      <w:r w:rsidRPr="004447AA">
        <w:rPr>
          <w:rFonts w:ascii="Arial" w:hAnsi="Arial" w:cs="Arial"/>
          <w:i/>
          <w:color w:val="000000" w:themeColor="text1"/>
        </w:rPr>
        <w:t xml:space="preserve">Pilot Experiment </w:t>
      </w:r>
      <w:r w:rsidRPr="004447AA">
        <w:rPr>
          <w:rFonts w:ascii="Arial" w:hAnsi="Arial" w:cs="Arial"/>
          <w:i/>
          <w:iCs/>
          <w:color w:val="000000" w:themeColor="text1"/>
        </w:rPr>
        <w:t xml:space="preserve">Means and Standard Deviations for Demographic Comparisons Between Age Groups </w:t>
      </w:r>
    </w:p>
    <w:p w14:paraId="6066CE72" w14:textId="77777777" w:rsidR="005C3B98" w:rsidRPr="004447AA" w:rsidRDefault="005C3B98" w:rsidP="005C3B98">
      <w:pPr>
        <w:jc w:val="both"/>
        <w:rPr>
          <w:rFonts w:ascii="Arial" w:hAnsi="Arial" w:cs="Arial"/>
          <w:i/>
          <w:iCs/>
          <w:color w:val="000000" w:themeColor="text1"/>
        </w:rPr>
      </w:pPr>
    </w:p>
    <w:tbl>
      <w:tblPr>
        <w:tblStyle w:val="PlainTable5"/>
        <w:tblW w:w="6665" w:type="dxa"/>
        <w:tblLayout w:type="fixed"/>
        <w:tblLook w:val="04A0" w:firstRow="1" w:lastRow="0" w:firstColumn="1" w:lastColumn="0" w:noHBand="0" w:noVBand="1"/>
      </w:tblPr>
      <w:tblGrid>
        <w:gridCol w:w="2910"/>
        <w:gridCol w:w="2065"/>
        <w:gridCol w:w="1690"/>
      </w:tblGrid>
      <w:tr w:rsidR="005C3B98" w:rsidRPr="004447AA" w14:paraId="22597A47" w14:textId="77777777" w:rsidTr="000967C7">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2910" w:type="dxa"/>
            <w:tcBorders>
              <w:bottom w:val="single" w:sz="4" w:space="0" w:color="auto"/>
            </w:tcBorders>
            <w:shd w:val="clear" w:color="auto" w:fill="auto"/>
            <w:vAlign w:val="center"/>
          </w:tcPr>
          <w:p w14:paraId="630AD5A9" w14:textId="77777777" w:rsidR="005C3B98" w:rsidRPr="004447AA" w:rsidRDefault="005C3B98" w:rsidP="000967C7">
            <w:pPr>
              <w:jc w:val="both"/>
              <w:rPr>
                <w:rFonts w:ascii="Arial" w:hAnsi="Arial" w:cs="Arial"/>
                <w:i w:val="0"/>
                <w:color w:val="000000" w:themeColor="text1"/>
                <w:sz w:val="24"/>
              </w:rPr>
            </w:pPr>
            <w:r w:rsidRPr="004447AA">
              <w:rPr>
                <w:rFonts w:ascii="Arial" w:hAnsi="Arial" w:cs="Arial"/>
                <w:i w:val="0"/>
                <w:color w:val="000000" w:themeColor="text1"/>
                <w:sz w:val="24"/>
              </w:rPr>
              <w:t>Variable</w:t>
            </w:r>
          </w:p>
        </w:tc>
        <w:tc>
          <w:tcPr>
            <w:tcW w:w="2065" w:type="dxa"/>
            <w:tcBorders>
              <w:bottom w:val="single" w:sz="4" w:space="0" w:color="auto"/>
            </w:tcBorders>
            <w:shd w:val="clear" w:color="auto" w:fill="auto"/>
          </w:tcPr>
          <w:p w14:paraId="31B3A3F7" w14:textId="77777777" w:rsidR="005C3B98" w:rsidRPr="004447AA" w:rsidRDefault="005C3B98" w:rsidP="000967C7">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themeColor="text1"/>
                <w:sz w:val="24"/>
              </w:rPr>
            </w:pPr>
            <w:r w:rsidRPr="004447AA">
              <w:rPr>
                <w:rFonts w:ascii="Arial" w:hAnsi="Arial" w:cs="Arial"/>
                <w:i w:val="0"/>
                <w:color w:val="000000" w:themeColor="text1"/>
                <w:sz w:val="24"/>
              </w:rPr>
              <w:t>Younger adults (</w:t>
            </w:r>
            <w:r w:rsidRPr="004447AA">
              <w:rPr>
                <w:rFonts w:ascii="Arial" w:hAnsi="Arial" w:cs="Arial"/>
                <w:color w:val="000000" w:themeColor="text1"/>
                <w:sz w:val="24"/>
              </w:rPr>
              <w:t xml:space="preserve">N = </w:t>
            </w:r>
            <w:r w:rsidRPr="004447AA">
              <w:rPr>
                <w:rFonts w:ascii="Arial" w:hAnsi="Arial" w:cs="Arial"/>
                <w:i w:val="0"/>
                <w:color w:val="000000" w:themeColor="text1"/>
                <w:sz w:val="24"/>
              </w:rPr>
              <w:t>9)</w:t>
            </w:r>
          </w:p>
        </w:tc>
        <w:tc>
          <w:tcPr>
            <w:tcW w:w="1690" w:type="dxa"/>
            <w:tcBorders>
              <w:bottom w:val="single" w:sz="4" w:space="0" w:color="auto"/>
            </w:tcBorders>
            <w:shd w:val="clear" w:color="auto" w:fill="auto"/>
          </w:tcPr>
          <w:p w14:paraId="53A5FFF7" w14:textId="77777777" w:rsidR="005C3B98" w:rsidRPr="004447AA" w:rsidRDefault="005C3B98" w:rsidP="000967C7">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themeColor="text1"/>
                <w:sz w:val="24"/>
              </w:rPr>
            </w:pPr>
            <w:r w:rsidRPr="004447AA">
              <w:rPr>
                <w:rFonts w:ascii="Arial" w:hAnsi="Arial" w:cs="Arial"/>
                <w:i w:val="0"/>
                <w:color w:val="000000" w:themeColor="text1"/>
                <w:sz w:val="24"/>
              </w:rPr>
              <w:t>Older adults (</w:t>
            </w:r>
            <w:r w:rsidRPr="004447AA">
              <w:rPr>
                <w:rFonts w:ascii="Arial" w:hAnsi="Arial" w:cs="Arial"/>
                <w:color w:val="000000" w:themeColor="text1"/>
                <w:sz w:val="24"/>
              </w:rPr>
              <w:t xml:space="preserve">N </w:t>
            </w:r>
            <w:r w:rsidRPr="004447AA">
              <w:rPr>
                <w:rFonts w:ascii="Arial" w:hAnsi="Arial" w:cs="Arial"/>
                <w:i w:val="0"/>
                <w:color w:val="000000" w:themeColor="text1"/>
                <w:sz w:val="24"/>
              </w:rPr>
              <w:t>= 25)</w:t>
            </w:r>
          </w:p>
        </w:tc>
      </w:tr>
      <w:tr w:rsidR="005C3B98" w:rsidRPr="004447AA" w14:paraId="0C9A58E7" w14:textId="77777777" w:rsidTr="000967C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10" w:type="dxa"/>
            <w:tcBorders>
              <w:right w:val="none" w:sz="0" w:space="0" w:color="auto"/>
            </w:tcBorders>
            <w:shd w:val="clear" w:color="auto" w:fill="auto"/>
            <w:vAlign w:val="bottom"/>
          </w:tcPr>
          <w:p w14:paraId="5DB4BD93" w14:textId="77777777" w:rsidR="005C3B98" w:rsidRPr="008C5C19" w:rsidRDefault="005C3B98" w:rsidP="000967C7">
            <w:pPr>
              <w:jc w:val="both"/>
              <w:rPr>
                <w:rFonts w:ascii="Arial" w:hAnsi="Arial" w:cs="Arial"/>
                <w:i w:val="0"/>
                <w:iCs w:val="0"/>
                <w:color w:val="000000" w:themeColor="text1"/>
                <w:sz w:val="24"/>
              </w:rPr>
            </w:pPr>
            <w:r w:rsidRPr="008C5C19">
              <w:rPr>
                <w:rFonts w:ascii="Arial" w:hAnsi="Arial" w:cs="Arial"/>
                <w:i w:val="0"/>
                <w:iCs w:val="0"/>
                <w:color w:val="000000" w:themeColor="text1"/>
                <w:sz w:val="24"/>
              </w:rPr>
              <w:t>% Female</w:t>
            </w:r>
          </w:p>
        </w:tc>
        <w:tc>
          <w:tcPr>
            <w:tcW w:w="2065" w:type="dxa"/>
            <w:shd w:val="clear" w:color="auto" w:fill="auto"/>
            <w:vAlign w:val="bottom"/>
          </w:tcPr>
          <w:p w14:paraId="79D98AB0" w14:textId="77777777" w:rsidR="005C3B98" w:rsidRPr="008C5C19"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33.3</w:t>
            </w:r>
          </w:p>
        </w:tc>
        <w:tc>
          <w:tcPr>
            <w:tcW w:w="1690" w:type="dxa"/>
            <w:shd w:val="clear" w:color="auto" w:fill="auto"/>
            <w:vAlign w:val="bottom"/>
          </w:tcPr>
          <w:p w14:paraId="29AA7D6C" w14:textId="37533259" w:rsidR="005C3B98" w:rsidRPr="008C5C19"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72.0</w:t>
            </w:r>
          </w:p>
        </w:tc>
      </w:tr>
      <w:tr w:rsidR="005C3B98" w:rsidRPr="004447AA" w14:paraId="6F16693A" w14:textId="77777777" w:rsidTr="000967C7">
        <w:trPr>
          <w:trHeight w:val="171"/>
        </w:trPr>
        <w:tc>
          <w:tcPr>
            <w:cnfStyle w:val="001000000000" w:firstRow="0" w:lastRow="0" w:firstColumn="1" w:lastColumn="0" w:oddVBand="0" w:evenVBand="0" w:oddHBand="0" w:evenHBand="0" w:firstRowFirstColumn="0" w:firstRowLastColumn="0" w:lastRowFirstColumn="0" w:lastRowLastColumn="0"/>
            <w:tcW w:w="2910" w:type="dxa"/>
            <w:tcBorders>
              <w:right w:val="none" w:sz="0" w:space="0" w:color="auto"/>
            </w:tcBorders>
            <w:shd w:val="clear" w:color="auto" w:fill="auto"/>
            <w:vAlign w:val="bottom"/>
          </w:tcPr>
          <w:p w14:paraId="18514008" w14:textId="77777777" w:rsidR="005C3B98" w:rsidRPr="008C5C19" w:rsidRDefault="005C3B98" w:rsidP="000967C7">
            <w:pPr>
              <w:jc w:val="both"/>
              <w:rPr>
                <w:rFonts w:ascii="Arial" w:hAnsi="Arial" w:cs="Arial"/>
                <w:i w:val="0"/>
                <w:iCs w:val="0"/>
                <w:color w:val="000000" w:themeColor="text1"/>
                <w:sz w:val="24"/>
              </w:rPr>
            </w:pPr>
            <w:r w:rsidRPr="008C5C19">
              <w:rPr>
                <w:rFonts w:ascii="Arial" w:hAnsi="Arial" w:cs="Arial"/>
                <w:i w:val="0"/>
                <w:iCs w:val="0"/>
                <w:color w:val="000000" w:themeColor="text1"/>
                <w:sz w:val="24"/>
              </w:rPr>
              <w:t>Age</w:t>
            </w:r>
          </w:p>
        </w:tc>
        <w:tc>
          <w:tcPr>
            <w:tcW w:w="2065" w:type="dxa"/>
            <w:shd w:val="clear" w:color="auto" w:fill="auto"/>
            <w:vAlign w:val="bottom"/>
          </w:tcPr>
          <w:p w14:paraId="00122989" w14:textId="77777777" w:rsidR="005C3B98" w:rsidRPr="008C5C19" w:rsidRDefault="005C3B98"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18.44 (0.53)</w:t>
            </w:r>
          </w:p>
        </w:tc>
        <w:tc>
          <w:tcPr>
            <w:tcW w:w="1690" w:type="dxa"/>
            <w:shd w:val="clear" w:color="auto" w:fill="auto"/>
            <w:vAlign w:val="bottom"/>
          </w:tcPr>
          <w:p w14:paraId="53D009D7" w14:textId="77777777" w:rsidR="005C3B98" w:rsidRPr="008C5C19" w:rsidRDefault="005C3B98"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68.63 (6.53)</w:t>
            </w:r>
          </w:p>
        </w:tc>
      </w:tr>
      <w:tr w:rsidR="005C3B98" w:rsidRPr="004447AA" w14:paraId="7F5AF334" w14:textId="77777777" w:rsidTr="000967C7">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910" w:type="dxa"/>
            <w:tcBorders>
              <w:right w:val="none" w:sz="0" w:space="0" w:color="auto"/>
            </w:tcBorders>
            <w:shd w:val="clear" w:color="auto" w:fill="auto"/>
            <w:vAlign w:val="bottom"/>
          </w:tcPr>
          <w:p w14:paraId="49CFC1AB" w14:textId="77777777" w:rsidR="005C3B98" w:rsidRPr="008C5C19" w:rsidRDefault="005C3B98" w:rsidP="000967C7">
            <w:pPr>
              <w:jc w:val="both"/>
              <w:rPr>
                <w:rFonts w:ascii="Arial" w:hAnsi="Arial" w:cs="Arial"/>
                <w:i w:val="0"/>
                <w:iCs w:val="0"/>
                <w:color w:val="000000" w:themeColor="text1"/>
              </w:rPr>
            </w:pPr>
            <w:r w:rsidRPr="008C5C19">
              <w:rPr>
                <w:rFonts w:ascii="Arial" w:hAnsi="Arial" w:cs="Arial"/>
                <w:i w:val="0"/>
                <w:color w:val="000000" w:themeColor="text1"/>
                <w:sz w:val="24"/>
              </w:rPr>
              <w:t>Years of education</w:t>
            </w:r>
          </w:p>
        </w:tc>
        <w:tc>
          <w:tcPr>
            <w:tcW w:w="2065" w:type="dxa"/>
            <w:shd w:val="clear" w:color="auto" w:fill="auto"/>
            <w:vAlign w:val="bottom"/>
          </w:tcPr>
          <w:p w14:paraId="424590AB" w14:textId="77777777" w:rsidR="005C3B98"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C5C19">
              <w:rPr>
                <w:rFonts w:ascii="Arial" w:hAnsi="Arial" w:cs="Arial"/>
                <w:color w:val="000000" w:themeColor="text1"/>
              </w:rPr>
              <w:t>12.61 (0.86)</w:t>
            </w:r>
          </w:p>
        </w:tc>
        <w:tc>
          <w:tcPr>
            <w:tcW w:w="1690" w:type="dxa"/>
            <w:shd w:val="clear" w:color="auto" w:fill="auto"/>
            <w:vAlign w:val="bottom"/>
          </w:tcPr>
          <w:p w14:paraId="01CBB7E8" w14:textId="77777777" w:rsidR="005C3B98"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C5C19">
              <w:rPr>
                <w:rFonts w:ascii="Arial" w:hAnsi="Arial" w:cs="Arial"/>
                <w:color w:val="000000" w:themeColor="text1"/>
              </w:rPr>
              <w:t>17.64 (2.22)</w:t>
            </w:r>
          </w:p>
        </w:tc>
      </w:tr>
      <w:tr w:rsidR="005C3B98" w:rsidRPr="004447AA" w14:paraId="6EFCFFC4" w14:textId="77777777" w:rsidTr="000967C7">
        <w:trPr>
          <w:trHeight w:val="171"/>
        </w:trPr>
        <w:tc>
          <w:tcPr>
            <w:cnfStyle w:val="001000000000" w:firstRow="0" w:lastRow="0" w:firstColumn="1" w:lastColumn="0" w:oddVBand="0" w:evenVBand="0" w:oddHBand="0" w:evenHBand="0" w:firstRowFirstColumn="0" w:firstRowLastColumn="0" w:lastRowFirstColumn="0" w:lastRowLastColumn="0"/>
            <w:tcW w:w="2910" w:type="dxa"/>
            <w:tcBorders>
              <w:right w:val="none" w:sz="0" w:space="0" w:color="auto"/>
            </w:tcBorders>
            <w:shd w:val="clear" w:color="auto" w:fill="auto"/>
          </w:tcPr>
          <w:p w14:paraId="5F310D60" w14:textId="77777777" w:rsidR="005C3B98" w:rsidRPr="008C5C19" w:rsidRDefault="005C3B98" w:rsidP="000967C7">
            <w:pPr>
              <w:jc w:val="both"/>
              <w:rPr>
                <w:rFonts w:ascii="Arial" w:hAnsi="Arial" w:cs="Arial"/>
                <w:i w:val="0"/>
                <w:color w:val="000000" w:themeColor="text1"/>
                <w:sz w:val="24"/>
              </w:rPr>
            </w:pPr>
            <w:r w:rsidRPr="004447AA">
              <w:rPr>
                <w:rFonts w:ascii="Arial" w:hAnsi="Arial" w:cs="Arial"/>
                <w:i w:val="0"/>
                <w:color w:val="000000" w:themeColor="text1"/>
                <w:sz w:val="24"/>
              </w:rPr>
              <w:t>Self-rated health</w:t>
            </w:r>
          </w:p>
        </w:tc>
        <w:tc>
          <w:tcPr>
            <w:tcW w:w="2065" w:type="dxa"/>
            <w:shd w:val="clear" w:color="auto" w:fill="auto"/>
            <w:vAlign w:val="bottom"/>
          </w:tcPr>
          <w:p w14:paraId="77DAF39D" w14:textId="6B8B494B" w:rsidR="005C3B98" w:rsidRPr="008C5C19" w:rsidRDefault="004C0DB3"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r w:rsidR="005C3B98" w:rsidRPr="004447AA">
              <w:rPr>
                <w:rFonts w:ascii="Arial" w:hAnsi="Arial" w:cs="Arial"/>
                <w:color w:val="000000" w:themeColor="text1"/>
              </w:rPr>
              <w:t>9.33 (0.71)</w:t>
            </w:r>
          </w:p>
        </w:tc>
        <w:tc>
          <w:tcPr>
            <w:tcW w:w="1690" w:type="dxa"/>
            <w:shd w:val="clear" w:color="auto" w:fill="auto"/>
            <w:vAlign w:val="bottom"/>
          </w:tcPr>
          <w:p w14:paraId="25C0C2C6" w14:textId="626A60E0" w:rsidR="005C3B98" w:rsidRPr="008C5C19" w:rsidRDefault="004C0DB3"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r w:rsidR="005C3B98" w:rsidRPr="004447AA">
              <w:rPr>
                <w:rFonts w:ascii="Arial" w:hAnsi="Arial" w:cs="Arial"/>
                <w:color w:val="000000" w:themeColor="text1"/>
              </w:rPr>
              <w:t>8.60 (1.15)</w:t>
            </w:r>
          </w:p>
        </w:tc>
      </w:tr>
      <w:tr w:rsidR="005C3B98" w:rsidRPr="004447AA" w14:paraId="37791542" w14:textId="77777777" w:rsidTr="000967C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910" w:type="dxa"/>
            <w:tcBorders>
              <w:right w:val="none" w:sz="0" w:space="0" w:color="auto"/>
            </w:tcBorders>
            <w:shd w:val="clear" w:color="auto" w:fill="auto"/>
          </w:tcPr>
          <w:p w14:paraId="7AECFA3C" w14:textId="77777777" w:rsidR="005C3B98" w:rsidRPr="004447AA" w:rsidRDefault="005C3B98" w:rsidP="000967C7">
            <w:pPr>
              <w:jc w:val="both"/>
              <w:rPr>
                <w:rFonts w:ascii="Arial" w:hAnsi="Arial" w:cs="Arial"/>
                <w:i w:val="0"/>
                <w:color w:val="000000" w:themeColor="text1"/>
                <w:sz w:val="24"/>
              </w:rPr>
            </w:pPr>
            <w:r w:rsidRPr="004447AA">
              <w:rPr>
                <w:rFonts w:ascii="Arial" w:hAnsi="Arial" w:cs="Arial"/>
                <w:i w:val="0"/>
                <w:color w:val="000000" w:themeColor="text1"/>
                <w:sz w:val="24"/>
              </w:rPr>
              <w:t>Self-rated vision</w:t>
            </w:r>
          </w:p>
        </w:tc>
        <w:tc>
          <w:tcPr>
            <w:tcW w:w="2065" w:type="dxa"/>
            <w:shd w:val="clear" w:color="auto" w:fill="auto"/>
            <w:vAlign w:val="bottom"/>
          </w:tcPr>
          <w:p w14:paraId="7048CFB2" w14:textId="4830166D" w:rsidR="005C3B98" w:rsidRPr="004447AA" w:rsidRDefault="004C0DB3"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r w:rsidR="005C3B98" w:rsidRPr="004447AA">
              <w:rPr>
                <w:rFonts w:ascii="Arial" w:hAnsi="Arial" w:cs="Arial"/>
                <w:color w:val="000000" w:themeColor="text1"/>
              </w:rPr>
              <w:t>7.67 (3.04)</w:t>
            </w:r>
          </w:p>
        </w:tc>
        <w:tc>
          <w:tcPr>
            <w:tcW w:w="1690" w:type="dxa"/>
            <w:shd w:val="clear" w:color="auto" w:fill="auto"/>
            <w:vAlign w:val="bottom"/>
          </w:tcPr>
          <w:p w14:paraId="3454E244" w14:textId="4F44771D" w:rsidR="005C3B98" w:rsidRPr="004447AA" w:rsidRDefault="004C0DB3"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r w:rsidR="005C3B98" w:rsidRPr="004447AA">
              <w:rPr>
                <w:rFonts w:ascii="Arial" w:hAnsi="Arial" w:cs="Arial"/>
                <w:color w:val="000000" w:themeColor="text1"/>
              </w:rPr>
              <w:t>8.20 (1.41)</w:t>
            </w:r>
          </w:p>
        </w:tc>
      </w:tr>
      <w:tr w:rsidR="005C3B98" w:rsidRPr="004447AA" w14:paraId="3EA371E7" w14:textId="77777777" w:rsidTr="000967C7">
        <w:trPr>
          <w:trHeight w:val="297"/>
        </w:trPr>
        <w:tc>
          <w:tcPr>
            <w:cnfStyle w:val="001000000000" w:firstRow="0" w:lastRow="0" w:firstColumn="1" w:lastColumn="0" w:oddVBand="0" w:evenVBand="0" w:oddHBand="0" w:evenHBand="0" w:firstRowFirstColumn="0" w:firstRowLastColumn="0" w:lastRowFirstColumn="0" w:lastRowLastColumn="0"/>
            <w:tcW w:w="2910" w:type="dxa"/>
            <w:tcBorders>
              <w:right w:val="none" w:sz="0" w:space="0" w:color="auto"/>
            </w:tcBorders>
            <w:shd w:val="clear" w:color="auto" w:fill="auto"/>
          </w:tcPr>
          <w:p w14:paraId="3B31548D" w14:textId="77777777" w:rsidR="005C3B98" w:rsidRPr="004447AA" w:rsidRDefault="005C3B98" w:rsidP="000967C7">
            <w:pPr>
              <w:jc w:val="both"/>
              <w:rPr>
                <w:rFonts w:ascii="Arial" w:hAnsi="Arial" w:cs="Arial"/>
                <w:i w:val="0"/>
                <w:color w:val="000000" w:themeColor="text1"/>
                <w:sz w:val="24"/>
              </w:rPr>
            </w:pPr>
            <w:r w:rsidRPr="004447AA">
              <w:rPr>
                <w:rFonts w:ascii="Arial" w:hAnsi="Arial" w:cs="Arial"/>
                <w:i w:val="0"/>
                <w:color w:val="000000" w:themeColor="text1"/>
                <w:sz w:val="24"/>
              </w:rPr>
              <w:t>Self-rated hearing</w:t>
            </w:r>
          </w:p>
        </w:tc>
        <w:tc>
          <w:tcPr>
            <w:tcW w:w="2065" w:type="dxa"/>
            <w:shd w:val="clear" w:color="auto" w:fill="auto"/>
            <w:vAlign w:val="bottom"/>
          </w:tcPr>
          <w:p w14:paraId="6E857B50" w14:textId="646B73EE" w:rsidR="005C3B98" w:rsidRPr="004447AA" w:rsidRDefault="004C0DB3"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r w:rsidR="005C3B98" w:rsidRPr="004447AA">
              <w:rPr>
                <w:rFonts w:ascii="Arial" w:hAnsi="Arial" w:cs="Arial"/>
                <w:color w:val="000000" w:themeColor="text1"/>
              </w:rPr>
              <w:t>9.11 (1.05)</w:t>
            </w:r>
          </w:p>
        </w:tc>
        <w:tc>
          <w:tcPr>
            <w:tcW w:w="1690" w:type="dxa"/>
            <w:shd w:val="clear" w:color="auto" w:fill="auto"/>
            <w:vAlign w:val="bottom"/>
          </w:tcPr>
          <w:p w14:paraId="11D8A0F4" w14:textId="11E6B095" w:rsidR="005C3B98" w:rsidRPr="004447AA" w:rsidRDefault="004C0DB3"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r w:rsidR="005C3B98" w:rsidRPr="004447AA">
              <w:rPr>
                <w:rFonts w:ascii="Arial" w:hAnsi="Arial" w:cs="Arial"/>
                <w:color w:val="000000" w:themeColor="text1"/>
              </w:rPr>
              <w:t>7.88 (2.03)</w:t>
            </w:r>
          </w:p>
        </w:tc>
      </w:tr>
      <w:tr w:rsidR="005C3B98" w:rsidRPr="004447AA" w14:paraId="275BE916" w14:textId="77777777" w:rsidTr="000967C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910" w:type="dxa"/>
            <w:tcBorders>
              <w:right w:val="none" w:sz="0" w:space="0" w:color="auto"/>
            </w:tcBorders>
            <w:shd w:val="clear" w:color="auto" w:fill="auto"/>
          </w:tcPr>
          <w:p w14:paraId="1F558CC7" w14:textId="77777777" w:rsidR="005C3B98" w:rsidRPr="004447AA" w:rsidRDefault="005C3B98" w:rsidP="000967C7">
            <w:pPr>
              <w:jc w:val="both"/>
              <w:rPr>
                <w:rFonts w:ascii="Arial" w:hAnsi="Arial" w:cs="Arial"/>
                <w:i w:val="0"/>
                <w:color w:val="000000" w:themeColor="text1"/>
                <w:sz w:val="24"/>
              </w:rPr>
            </w:pPr>
            <w:r w:rsidRPr="004447AA">
              <w:rPr>
                <w:rFonts w:ascii="Arial" w:hAnsi="Arial" w:cs="Arial"/>
                <w:i w:val="0"/>
                <w:color w:val="000000" w:themeColor="text1"/>
                <w:sz w:val="24"/>
              </w:rPr>
              <w:t xml:space="preserve">Speed of </w:t>
            </w:r>
            <w:proofErr w:type="spellStart"/>
            <w:r w:rsidRPr="004447AA">
              <w:rPr>
                <w:rFonts w:ascii="Arial" w:hAnsi="Arial" w:cs="Arial"/>
                <w:i w:val="0"/>
                <w:color w:val="000000" w:themeColor="text1"/>
                <w:sz w:val="24"/>
              </w:rPr>
              <w:t>processing</w:t>
            </w:r>
            <w:r w:rsidRPr="004447AA">
              <w:rPr>
                <w:rFonts w:ascii="Arial" w:hAnsi="Arial" w:cs="Arial"/>
                <w:i w:val="0"/>
                <w:color w:val="000000" w:themeColor="text1"/>
                <w:sz w:val="24"/>
                <w:vertAlign w:val="superscript"/>
              </w:rPr>
              <w:t>a</w:t>
            </w:r>
            <w:proofErr w:type="spellEnd"/>
          </w:p>
        </w:tc>
        <w:tc>
          <w:tcPr>
            <w:tcW w:w="2065" w:type="dxa"/>
            <w:shd w:val="clear" w:color="auto" w:fill="auto"/>
            <w:vAlign w:val="bottom"/>
          </w:tcPr>
          <w:p w14:paraId="30066A50" w14:textId="77777777" w:rsidR="005C3B98" w:rsidRPr="004447AA"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447AA">
              <w:rPr>
                <w:rFonts w:ascii="Arial" w:hAnsi="Arial" w:cs="Arial"/>
                <w:color w:val="000000" w:themeColor="text1"/>
              </w:rPr>
              <w:t>70.89 (16.50)</w:t>
            </w:r>
          </w:p>
        </w:tc>
        <w:tc>
          <w:tcPr>
            <w:tcW w:w="1690" w:type="dxa"/>
            <w:shd w:val="clear" w:color="auto" w:fill="auto"/>
            <w:vAlign w:val="bottom"/>
          </w:tcPr>
          <w:p w14:paraId="01294580" w14:textId="77777777" w:rsidR="005C3B98" w:rsidRPr="004447AA"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447AA">
              <w:rPr>
                <w:rFonts w:ascii="Arial" w:hAnsi="Arial" w:cs="Arial"/>
                <w:color w:val="000000" w:themeColor="text1"/>
              </w:rPr>
              <w:t>47.68 (13.05)</w:t>
            </w:r>
          </w:p>
        </w:tc>
      </w:tr>
      <w:tr w:rsidR="005C3B98" w:rsidRPr="004447AA" w14:paraId="41B1B459" w14:textId="77777777" w:rsidTr="000967C7">
        <w:trPr>
          <w:trHeight w:val="297"/>
        </w:trPr>
        <w:tc>
          <w:tcPr>
            <w:cnfStyle w:val="001000000000" w:firstRow="0" w:lastRow="0" w:firstColumn="1" w:lastColumn="0" w:oddVBand="0" w:evenVBand="0" w:oddHBand="0" w:evenHBand="0" w:firstRowFirstColumn="0" w:firstRowLastColumn="0" w:lastRowFirstColumn="0" w:lastRowLastColumn="0"/>
            <w:tcW w:w="2910" w:type="dxa"/>
            <w:tcBorders>
              <w:bottom w:val="single" w:sz="4" w:space="0" w:color="auto"/>
              <w:right w:val="none" w:sz="0" w:space="0" w:color="auto"/>
            </w:tcBorders>
            <w:shd w:val="clear" w:color="auto" w:fill="auto"/>
          </w:tcPr>
          <w:p w14:paraId="0C09C391" w14:textId="77777777" w:rsidR="005C3B98" w:rsidRPr="004447AA" w:rsidRDefault="005C3B98" w:rsidP="000967C7">
            <w:pPr>
              <w:jc w:val="both"/>
              <w:rPr>
                <w:rFonts w:ascii="Arial" w:hAnsi="Arial" w:cs="Arial"/>
                <w:i w:val="0"/>
                <w:color w:val="000000" w:themeColor="text1"/>
                <w:sz w:val="24"/>
                <w:vertAlign w:val="superscript"/>
              </w:rPr>
            </w:pPr>
            <w:proofErr w:type="spellStart"/>
            <w:r w:rsidRPr="004447AA">
              <w:rPr>
                <w:rFonts w:ascii="Arial" w:hAnsi="Arial" w:cs="Arial"/>
                <w:i w:val="0"/>
                <w:color w:val="000000" w:themeColor="text1"/>
                <w:sz w:val="24"/>
              </w:rPr>
              <w:t>Vocabulary</w:t>
            </w:r>
            <w:r w:rsidRPr="004447AA">
              <w:rPr>
                <w:rFonts w:ascii="Arial" w:hAnsi="Arial" w:cs="Arial"/>
                <w:i w:val="0"/>
                <w:color w:val="000000" w:themeColor="text1"/>
                <w:sz w:val="24"/>
                <w:vertAlign w:val="superscript"/>
              </w:rPr>
              <w:t>b</w:t>
            </w:r>
            <w:proofErr w:type="spellEnd"/>
          </w:p>
        </w:tc>
        <w:tc>
          <w:tcPr>
            <w:tcW w:w="2065" w:type="dxa"/>
            <w:tcBorders>
              <w:bottom w:val="single" w:sz="4" w:space="0" w:color="auto"/>
            </w:tcBorders>
            <w:shd w:val="clear" w:color="auto" w:fill="auto"/>
          </w:tcPr>
          <w:p w14:paraId="6DA05718" w14:textId="77777777" w:rsidR="005C3B98" w:rsidRPr="004447AA" w:rsidRDefault="005C3B98"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569FA">
              <w:rPr>
                <w:rFonts w:ascii="Arial" w:hAnsi="Arial" w:cs="Arial"/>
                <w:color w:val="000000" w:themeColor="text1"/>
              </w:rPr>
              <w:t>24.67 (1.50)</w:t>
            </w:r>
          </w:p>
        </w:tc>
        <w:tc>
          <w:tcPr>
            <w:tcW w:w="1690" w:type="dxa"/>
            <w:tcBorders>
              <w:bottom w:val="single" w:sz="4" w:space="0" w:color="auto"/>
            </w:tcBorders>
            <w:shd w:val="clear" w:color="auto" w:fill="auto"/>
          </w:tcPr>
          <w:p w14:paraId="3B3A2BDE" w14:textId="77777777" w:rsidR="005C3B98" w:rsidRPr="004447AA" w:rsidRDefault="005C3B98"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569FA">
              <w:rPr>
                <w:rFonts w:ascii="Arial" w:hAnsi="Arial" w:cs="Arial"/>
                <w:color w:val="000000" w:themeColor="text1"/>
              </w:rPr>
              <w:t>30.56 (2.98)</w:t>
            </w:r>
          </w:p>
        </w:tc>
      </w:tr>
    </w:tbl>
    <w:p w14:paraId="596085DC" w14:textId="77777777" w:rsidR="005C3B98" w:rsidRDefault="005C3B98" w:rsidP="001E3029">
      <w:pPr>
        <w:autoSpaceDE w:val="0"/>
        <w:autoSpaceDN w:val="0"/>
        <w:adjustRightInd w:val="0"/>
        <w:jc w:val="both"/>
        <w:rPr>
          <w:rFonts w:ascii="Arial" w:hAnsi="Arial" w:cs="Arial"/>
          <w:color w:val="000000" w:themeColor="text1"/>
        </w:rPr>
      </w:pPr>
      <w:r w:rsidRPr="004447AA">
        <w:rPr>
          <w:rFonts w:ascii="Arial" w:hAnsi="Arial" w:cs="Arial"/>
          <w:i/>
          <w:iCs/>
          <w:color w:val="000000" w:themeColor="text1"/>
        </w:rPr>
        <w:lastRenderedPageBreak/>
        <w:t xml:space="preserve">Note. </w:t>
      </w:r>
      <w:r w:rsidRPr="004447AA">
        <w:rPr>
          <w:rFonts w:ascii="Arial" w:hAnsi="Arial" w:cs="Arial"/>
          <w:color w:val="000000" w:themeColor="text1"/>
        </w:rPr>
        <w:t>Scales for self-rated health, vision, and hearing ranged from 0 (poor) to 10 (excellent).</w:t>
      </w:r>
      <w:r w:rsidRPr="004447AA">
        <w:rPr>
          <w:rFonts w:ascii="MS Gothic" w:eastAsia="MS Gothic" w:hAnsi="MS Gothic" w:cs="MS Gothic" w:hint="eastAsia"/>
          <w:color w:val="000000" w:themeColor="text1"/>
        </w:rPr>
        <w:t> </w:t>
      </w:r>
      <w:r w:rsidRPr="004447AA">
        <w:rPr>
          <w:rFonts w:ascii="Arial" w:hAnsi="Arial" w:cs="Arial"/>
          <w:color w:val="000000" w:themeColor="text1"/>
          <w:position w:val="8"/>
        </w:rPr>
        <w:t xml:space="preserve">a </w:t>
      </w:r>
      <w:r w:rsidRPr="004447AA">
        <w:rPr>
          <w:rFonts w:ascii="Arial" w:hAnsi="Arial" w:cs="Arial"/>
          <w:color w:val="000000" w:themeColor="text1"/>
        </w:rPr>
        <w:t xml:space="preserve">Digit Symbol Substitution Test (DSST; Wechsler, 1981). </w:t>
      </w:r>
      <w:r w:rsidRPr="004447AA">
        <w:rPr>
          <w:rFonts w:ascii="Arial" w:hAnsi="Arial" w:cs="Arial"/>
          <w:color w:val="000000" w:themeColor="text1"/>
          <w:position w:val="8"/>
        </w:rPr>
        <w:t xml:space="preserve">b </w:t>
      </w:r>
      <w:proofErr w:type="spellStart"/>
      <w:r w:rsidRPr="004447AA">
        <w:rPr>
          <w:rFonts w:ascii="Arial" w:hAnsi="Arial" w:cs="Arial"/>
          <w:color w:val="000000" w:themeColor="text1"/>
        </w:rPr>
        <w:t>Ekstrom</w:t>
      </w:r>
      <w:proofErr w:type="spellEnd"/>
      <w:r w:rsidRPr="004447AA">
        <w:rPr>
          <w:rFonts w:ascii="Arial" w:hAnsi="Arial" w:cs="Arial"/>
          <w:color w:val="000000" w:themeColor="text1"/>
        </w:rPr>
        <w:t xml:space="preserve">, French, Harman, and </w:t>
      </w:r>
      <w:proofErr w:type="spellStart"/>
      <w:r w:rsidRPr="004447AA">
        <w:rPr>
          <w:rFonts w:ascii="Arial" w:hAnsi="Arial" w:cs="Arial"/>
          <w:color w:val="000000" w:themeColor="text1"/>
        </w:rPr>
        <w:t>Dermen</w:t>
      </w:r>
      <w:proofErr w:type="spellEnd"/>
      <w:r w:rsidRPr="004447AA">
        <w:rPr>
          <w:rFonts w:ascii="Arial" w:hAnsi="Arial" w:cs="Arial"/>
          <w:color w:val="000000" w:themeColor="text1"/>
        </w:rPr>
        <w:t xml:space="preserve"> (1976) Synonyms Test.</w:t>
      </w:r>
    </w:p>
    <w:p w14:paraId="7894F5B2" w14:textId="77777777" w:rsidR="00C81463" w:rsidRDefault="00C81463" w:rsidP="002674E1">
      <w:pPr>
        <w:spacing w:line="480" w:lineRule="auto"/>
        <w:jc w:val="both"/>
        <w:rPr>
          <w:rFonts w:ascii="Arial" w:hAnsi="Arial" w:cs="Arial"/>
          <w:b/>
          <w:bCs/>
          <w:i/>
          <w:color w:val="000000" w:themeColor="text1"/>
        </w:rPr>
      </w:pPr>
    </w:p>
    <w:p w14:paraId="017B215E" w14:textId="77777777" w:rsidR="002674E1" w:rsidRPr="004447AA" w:rsidRDefault="002674E1" w:rsidP="002674E1">
      <w:pPr>
        <w:spacing w:line="480" w:lineRule="auto"/>
        <w:jc w:val="both"/>
        <w:rPr>
          <w:rFonts w:ascii="Arial" w:hAnsi="Arial" w:cs="Arial"/>
          <w:b/>
          <w:bCs/>
          <w:i/>
          <w:color w:val="000000" w:themeColor="text1"/>
        </w:rPr>
      </w:pPr>
    </w:p>
    <w:p w14:paraId="6BBBB10B" w14:textId="2877FF2C" w:rsidR="002674E1" w:rsidRPr="004447AA" w:rsidRDefault="005C3B98" w:rsidP="002674E1">
      <w:pPr>
        <w:spacing w:line="480" w:lineRule="auto"/>
        <w:jc w:val="both"/>
        <w:rPr>
          <w:rFonts w:ascii="Arial" w:hAnsi="Arial" w:cs="Arial"/>
          <w:b/>
          <w:bCs/>
          <w:i/>
          <w:color w:val="000000" w:themeColor="text1"/>
        </w:rPr>
      </w:pPr>
      <w:r>
        <w:rPr>
          <w:rFonts w:ascii="Arial" w:hAnsi="Arial" w:cs="Arial"/>
          <w:b/>
          <w:bCs/>
          <w:i/>
          <w:color w:val="000000" w:themeColor="text1"/>
        </w:rPr>
        <w:t xml:space="preserve">2 </w:t>
      </w:r>
      <w:r w:rsidR="002674E1" w:rsidRPr="004447AA">
        <w:rPr>
          <w:rFonts w:ascii="Arial" w:hAnsi="Arial" w:cs="Arial"/>
          <w:b/>
          <w:bCs/>
          <w:i/>
          <w:color w:val="000000" w:themeColor="text1"/>
        </w:rPr>
        <w:t>Confidence Experiment</w:t>
      </w:r>
    </w:p>
    <w:p w14:paraId="1A83DF0C" w14:textId="5FFA8FD1" w:rsidR="002674E1" w:rsidRPr="004447AA" w:rsidRDefault="002674E1" w:rsidP="00A670C3">
      <w:pPr>
        <w:jc w:val="both"/>
        <w:rPr>
          <w:rFonts w:ascii="Arial" w:hAnsi="Arial" w:cs="Arial"/>
          <w:color w:val="000000" w:themeColor="text1"/>
        </w:rPr>
      </w:pPr>
      <w:r w:rsidRPr="004447AA">
        <w:rPr>
          <w:rFonts w:ascii="Arial" w:hAnsi="Arial" w:cs="Arial"/>
          <w:b/>
          <w:color w:val="000000" w:themeColor="text1"/>
        </w:rPr>
        <w:tab/>
      </w:r>
      <w:r w:rsidRPr="004447AA">
        <w:rPr>
          <w:rFonts w:ascii="Arial" w:hAnsi="Arial" w:cs="Arial"/>
          <w:color w:val="000000" w:themeColor="text1"/>
        </w:rPr>
        <w:t xml:space="preserve">We conducted a second experiment with younger adults in order to test possible effects of confidence ratings on memory performance in item and associative tasks. In the main experiment, the interaction between test type and age (with </w:t>
      </w:r>
      <w:r w:rsidRPr="004447AA">
        <w:rPr>
          <w:rFonts w:ascii="Arial" w:hAnsi="Arial" w:cs="Arial"/>
          <w:i/>
          <w:color w:val="000000" w:themeColor="text1"/>
        </w:rPr>
        <w:t xml:space="preserve">d’ </w:t>
      </w:r>
      <w:r w:rsidRPr="004447AA">
        <w:rPr>
          <w:rFonts w:ascii="Arial" w:hAnsi="Arial" w:cs="Arial"/>
          <w:color w:val="000000" w:themeColor="text1"/>
        </w:rPr>
        <w:t>entered as the dependent variable) was not significant (</w:t>
      </w:r>
      <w:r w:rsidRPr="004447AA">
        <w:rPr>
          <w:rFonts w:ascii="Arial" w:hAnsi="Arial" w:cs="Arial"/>
          <w:i/>
          <w:color w:val="000000" w:themeColor="text1"/>
        </w:rPr>
        <w:t xml:space="preserve">p </w:t>
      </w:r>
      <w:r w:rsidRPr="004447AA">
        <w:rPr>
          <w:rFonts w:ascii="Arial" w:hAnsi="Arial" w:cs="Arial"/>
          <w:color w:val="000000" w:themeColor="text1"/>
        </w:rPr>
        <w:t xml:space="preserve">= .116). In the ADH literature, a significant Test Type x Age interaction is often cited to support the presence of an age-related associative deficit. However, the presence of confidence ratings in our memory tasks may have enhanced recognition performance, especially in the associative task (see Figure </w:t>
      </w:r>
      <w:r w:rsidR="005C3B98">
        <w:rPr>
          <w:rFonts w:ascii="Arial" w:hAnsi="Arial" w:cs="Arial"/>
          <w:color w:val="000000" w:themeColor="text1"/>
        </w:rPr>
        <w:t>3 in main text</w:t>
      </w:r>
      <w:r w:rsidRPr="004447AA">
        <w:rPr>
          <w:rFonts w:ascii="Arial" w:hAnsi="Arial" w:cs="Arial"/>
          <w:color w:val="000000" w:themeColor="text1"/>
        </w:rPr>
        <w:t xml:space="preserve">). </w:t>
      </w:r>
      <w:proofErr w:type="spellStart"/>
      <w:r w:rsidRPr="004447AA">
        <w:rPr>
          <w:rFonts w:ascii="Arial" w:hAnsi="Arial" w:cs="Arial"/>
          <w:color w:val="000000" w:themeColor="text1"/>
        </w:rPr>
        <w:t>Touron</w:t>
      </w:r>
      <w:proofErr w:type="spellEnd"/>
      <w:r w:rsidRPr="004447AA">
        <w:rPr>
          <w:rFonts w:ascii="Arial" w:hAnsi="Arial" w:cs="Arial"/>
          <w:color w:val="000000" w:themeColor="text1"/>
        </w:rPr>
        <w:t xml:space="preserve"> and Hertzog (2004) found that inserting post-decision confidence ratings in their noun-pair task increased use of memory retrieval strategies and enhanced item knowledge (also, see Double &amp; </w:t>
      </w:r>
      <w:r>
        <w:rPr>
          <w:rFonts w:ascii="Arial" w:hAnsi="Arial" w:cs="Arial"/>
          <w:color w:val="000000" w:themeColor="text1"/>
        </w:rPr>
        <w:t>B</w:t>
      </w:r>
      <w:r w:rsidRPr="004447AA">
        <w:rPr>
          <w:rFonts w:ascii="Arial" w:hAnsi="Arial" w:cs="Arial"/>
          <w:color w:val="000000" w:themeColor="text1"/>
        </w:rPr>
        <w:t>irney, 2017). They suggested that confidence ratings might have encouraged participants to reflect on associative recognition memory confidence, leading to retrieval strategy use. These findings as well as the main experiment’s performance data motivated us to test this effect of confidence judgments.</w:t>
      </w:r>
    </w:p>
    <w:p w14:paraId="0818EAFC" w14:textId="77777777" w:rsidR="001E3029" w:rsidRDefault="001E3029" w:rsidP="00A670C3">
      <w:pPr>
        <w:jc w:val="both"/>
        <w:rPr>
          <w:rFonts w:ascii="Arial" w:hAnsi="Arial" w:cs="Arial"/>
          <w:i/>
          <w:color w:val="000000" w:themeColor="text1"/>
        </w:rPr>
      </w:pPr>
    </w:p>
    <w:p w14:paraId="50108B87" w14:textId="1E06F959" w:rsidR="002674E1" w:rsidRPr="004447AA" w:rsidRDefault="001E3029" w:rsidP="00A670C3">
      <w:pPr>
        <w:jc w:val="both"/>
        <w:rPr>
          <w:rFonts w:ascii="Arial" w:hAnsi="Arial" w:cs="Arial"/>
          <w:i/>
          <w:color w:val="000000" w:themeColor="text1"/>
        </w:rPr>
      </w:pPr>
      <w:r>
        <w:rPr>
          <w:rFonts w:ascii="Arial" w:hAnsi="Arial" w:cs="Arial"/>
          <w:i/>
          <w:color w:val="000000" w:themeColor="text1"/>
        </w:rPr>
        <w:t xml:space="preserve">2.1 </w:t>
      </w:r>
      <w:r w:rsidR="002674E1" w:rsidRPr="004447AA">
        <w:rPr>
          <w:rFonts w:ascii="Arial" w:hAnsi="Arial" w:cs="Arial"/>
          <w:i/>
          <w:color w:val="000000" w:themeColor="text1"/>
        </w:rPr>
        <w:t>Method</w:t>
      </w:r>
    </w:p>
    <w:p w14:paraId="25C58E6A" w14:textId="3FA2ED91" w:rsidR="002674E1" w:rsidRPr="004447AA" w:rsidRDefault="001E3029" w:rsidP="00A670C3">
      <w:pPr>
        <w:ind w:firstLine="720"/>
        <w:jc w:val="both"/>
        <w:rPr>
          <w:rFonts w:ascii="Arial" w:hAnsi="Arial" w:cs="Arial"/>
          <w:color w:val="000000" w:themeColor="text1"/>
        </w:rPr>
      </w:pPr>
      <w:r>
        <w:rPr>
          <w:rFonts w:ascii="Arial" w:hAnsi="Arial" w:cs="Arial"/>
          <w:i/>
          <w:color w:val="000000" w:themeColor="text1"/>
        </w:rPr>
        <w:t xml:space="preserve">2.1.1 </w:t>
      </w:r>
      <w:r w:rsidR="002674E1" w:rsidRPr="004447AA">
        <w:rPr>
          <w:rFonts w:ascii="Arial" w:hAnsi="Arial" w:cs="Arial"/>
          <w:i/>
          <w:color w:val="000000" w:themeColor="text1"/>
        </w:rPr>
        <w:t>Design and Participants.</w:t>
      </w:r>
      <w:r w:rsidR="002674E1" w:rsidRPr="004447AA">
        <w:rPr>
          <w:rFonts w:ascii="Arial" w:hAnsi="Arial" w:cs="Arial"/>
          <w:color w:val="000000" w:themeColor="text1"/>
        </w:rPr>
        <w:t xml:space="preserve"> We utilized a two-factor design with confidence ratings (present, absent) and test type (item, associative) as within-</w:t>
      </w:r>
      <w:proofErr w:type="gramStart"/>
      <w:r w:rsidR="002674E1" w:rsidRPr="004447AA">
        <w:rPr>
          <w:rFonts w:ascii="Arial" w:hAnsi="Arial" w:cs="Arial"/>
          <w:color w:val="000000" w:themeColor="text1"/>
        </w:rPr>
        <w:t>subjects</w:t>
      </w:r>
      <w:proofErr w:type="gramEnd"/>
      <w:r w:rsidR="002674E1" w:rsidRPr="004447AA">
        <w:rPr>
          <w:rFonts w:ascii="Arial" w:hAnsi="Arial" w:cs="Arial"/>
          <w:color w:val="000000" w:themeColor="text1"/>
        </w:rPr>
        <w:t xml:space="preserve"> factors. There were 38 participants, (27 female) aged 18-22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19.47, </w:t>
      </w:r>
      <w:r w:rsidR="002674E1" w:rsidRPr="004447AA">
        <w:rPr>
          <w:rFonts w:ascii="Arial" w:hAnsi="Arial" w:cs="Arial"/>
          <w:i/>
          <w:color w:val="000000" w:themeColor="text1"/>
        </w:rPr>
        <w:t xml:space="preserve">SD </w:t>
      </w:r>
      <w:r w:rsidR="002674E1" w:rsidRPr="004447AA">
        <w:rPr>
          <w:rFonts w:ascii="Arial" w:hAnsi="Arial" w:cs="Arial"/>
          <w:color w:val="000000" w:themeColor="text1"/>
        </w:rPr>
        <w:t xml:space="preserve">= 1.16). All participants were students recruited from introductory psychology classes and received course credit for participation. The entire experiment lasted approximately one hour. Using the same exclusion criterion as in the main study, participants (7) were dropped </w:t>
      </w:r>
      <w:r w:rsidR="00A96AAE" w:rsidRPr="004447AA">
        <w:rPr>
          <w:rFonts w:ascii="Arial" w:hAnsi="Arial" w:cs="Arial"/>
          <w:color w:val="000000" w:themeColor="text1"/>
        </w:rPr>
        <w:t>due to low performance (</w:t>
      </w:r>
      <w:r w:rsidR="00A96AAE" w:rsidRPr="004447AA">
        <w:rPr>
          <w:rFonts w:ascii="Arial" w:hAnsi="Arial" w:cs="Arial"/>
          <w:i/>
          <w:color w:val="000000" w:themeColor="text1"/>
        </w:rPr>
        <w:t xml:space="preserve">d’ </w:t>
      </w:r>
      <w:r w:rsidR="00A96AAE">
        <w:rPr>
          <w:rFonts w:ascii="Arial" w:hAnsi="Arial" w:cs="Arial"/>
          <w:color w:val="000000" w:themeColor="text1"/>
        </w:rPr>
        <w:t>=</w:t>
      </w:r>
      <w:r w:rsidR="00A96AAE" w:rsidRPr="004447AA">
        <w:rPr>
          <w:rFonts w:ascii="Arial" w:hAnsi="Arial" w:cs="Arial"/>
          <w:color w:val="000000" w:themeColor="text1"/>
        </w:rPr>
        <w:t xml:space="preserve"> 0.15 or below). </w:t>
      </w:r>
      <w:r w:rsidR="002674E1" w:rsidRPr="004447AA">
        <w:rPr>
          <w:rFonts w:ascii="Arial" w:hAnsi="Arial" w:cs="Arial"/>
          <w:color w:val="000000" w:themeColor="text1"/>
        </w:rPr>
        <w:t xml:space="preserve">Three additional participants were dropped for not completing all experimental blocks. The final dataset included 28 participants. Demographic data and standardized scores on processing speed and vocabulary measures are reported in </w:t>
      </w:r>
      <w:r w:rsidR="005C3B98">
        <w:rPr>
          <w:rFonts w:ascii="Arial" w:hAnsi="Arial" w:cs="Arial"/>
          <w:color w:val="000000" w:themeColor="text1"/>
        </w:rPr>
        <w:t xml:space="preserve">Supplementary </w:t>
      </w:r>
      <w:r w:rsidR="002674E1" w:rsidRPr="004447AA">
        <w:rPr>
          <w:rFonts w:ascii="Arial" w:hAnsi="Arial" w:cs="Arial"/>
          <w:color w:val="000000" w:themeColor="text1"/>
        </w:rPr>
        <w:t xml:space="preserve">Table 3. </w:t>
      </w:r>
    </w:p>
    <w:p w14:paraId="2FB05B8F" w14:textId="73DE3456" w:rsidR="002674E1" w:rsidRPr="004447AA" w:rsidRDefault="001E3029" w:rsidP="00A670C3">
      <w:pPr>
        <w:ind w:firstLine="720"/>
        <w:jc w:val="both"/>
        <w:rPr>
          <w:rFonts w:ascii="Arial" w:hAnsi="Arial" w:cs="Arial"/>
          <w:i/>
          <w:color w:val="000000" w:themeColor="text1"/>
        </w:rPr>
      </w:pPr>
      <w:r>
        <w:rPr>
          <w:rFonts w:ascii="Arial" w:hAnsi="Arial" w:cs="Arial"/>
          <w:i/>
          <w:color w:val="000000" w:themeColor="text1"/>
        </w:rPr>
        <w:t xml:space="preserve">2.1.2 </w:t>
      </w:r>
      <w:r w:rsidR="002674E1" w:rsidRPr="004447AA">
        <w:rPr>
          <w:rFonts w:ascii="Arial" w:hAnsi="Arial" w:cs="Arial"/>
          <w:i/>
          <w:color w:val="000000" w:themeColor="text1"/>
        </w:rPr>
        <w:t xml:space="preserve">Materials. </w:t>
      </w:r>
      <w:r w:rsidR="002674E1" w:rsidRPr="004447AA">
        <w:rPr>
          <w:rFonts w:ascii="Arial" w:hAnsi="Arial" w:cs="Arial"/>
          <w:color w:val="000000" w:themeColor="text1"/>
        </w:rPr>
        <w:t>Same as in the main study.</w:t>
      </w:r>
    </w:p>
    <w:p w14:paraId="1BB5391F" w14:textId="0B4C7AC3" w:rsidR="002674E1" w:rsidRPr="004447AA" w:rsidRDefault="001E3029" w:rsidP="00A670C3">
      <w:pPr>
        <w:ind w:firstLine="720"/>
        <w:jc w:val="both"/>
        <w:rPr>
          <w:rFonts w:ascii="Arial" w:hAnsi="Arial" w:cs="Arial"/>
          <w:color w:val="000000" w:themeColor="text1"/>
        </w:rPr>
      </w:pPr>
      <w:r>
        <w:rPr>
          <w:rFonts w:ascii="Arial" w:hAnsi="Arial" w:cs="Arial"/>
          <w:i/>
          <w:color w:val="000000" w:themeColor="text1"/>
        </w:rPr>
        <w:t xml:space="preserve">2.1.3 </w:t>
      </w:r>
      <w:r w:rsidR="002674E1" w:rsidRPr="004447AA">
        <w:rPr>
          <w:rFonts w:ascii="Arial" w:hAnsi="Arial" w:cs="Arial"/>
          <w:i/>
          <w:color w:val="000000" w:themeColor="text1"/>
        </w:rPr>
        <w:t xml:space="preserve">Procedure. </w:t>
      </w:r>
      <w:r w:rsidR="002674E1" w:rsidRPr="004447AA">
        <w:rPr>
          <w:rFonts w:ascii="Arial" w:hAnsi="Arial" w:cs="Arial"/>
          <w:color w:val="000000" w:themeColor="text1"/>
        </w:rPr>
        <w:t xml:space="preserve">Same as in the main study except for one major difference. During half of the experiment (2 out of 4 blocks), participants did not make confidence ratings during item and associative recognition tests. During testing in these no-confidence blocks, a new recognition trial began immediately following each ‘Y’ or ‘N’ response. The order of blocks with confidence ratings present (2) and absent (2) was counterbalanced across subjects. The order of task type (associative, item) was counterbalanced as well, just as in the main study. </w:t>
      </w:r>
    </w:p>
    <w:p w14:paraId="72F7AD3F" w14:textId="60B23554" w:rsidR="002674E1" w:rsidRPr="005C3B98" w:rsidRDefault="001E3029" w:rsidP="003F3C50">
      <w:pPr>
        <w:ind w:firstLine="720"/>
        <w:jc w:val="both"/>
        <w:rPr>
          <w:rFonts w:ascii="Arial" w:hAnsi="Arial" w:cs="Arial"/>
          <w:color w:val="000000" w:themeColor="text1"/>
        </w:rPr>
      </w:pPr>
      <w:r>
        <w:rPr>
          <w:rFonts w:ascii="Arial" w:hAnsi="Arial" w:cs="Arial"/>
          <w:i/>
          <w:color w:val="000000" w:themeColor="text1"/>
        </w:rPr>
        <w:t xml:space="preserve">2.1.4 </w:t>
      </w:r>
      <w:r w:rsidR="002674E1" w:rsidRPr="004447AA">
        <w:rPr>
          <w:rFonts w:ascii="Arial" w:hAnsi="Arial" w:cs="Arial"/>
          <w:i/>
          <w:color w:val="000000" w:themeColor="text1"/>
        </w:rPr>
        <w:t>Metacognitive efficiency.</w:t>
      </w:r>
      <w:r w:rsidR="002674E1" w:rsidRPr="004447AA">
        <w:rPr>
          <w:rFonts w:ascii="Arial" w:hAnsi="Arial" w:cs="Arial"/>
          <w:color w:val="000000" w:themeColor="text1"/>
        </w:rPr>
        <w:t xml:space="preserve"> Same as in the main study.</w:t>
      </w:r>
      <w:r w:rsidR="002674E1" w:rsidRPr="004447AA">
        <w:rPr>
          <w:rFonts w:ascii="Arial" w:hAnsi="Arial" w:cs="Arial"/>
          <w:color w:val="000000" w:themeColor="text1"/>
        </w:rPr>
        <w:tab/>
      </w:r>
    </w:p>
    <w:p w14:paraId="25B7C08A" w14:textId="77777777" w:rsidR="001E3029" w:rsidRDefault="001E3029" w:rsidP="00A670C3">
      <w:pPr>
        <w:jc w:val="center"/>
        <w:rPr>
          <w:rFonts w:ascii="Arial" w:hAnsi="Arial" w:cs="Arial"/>
          <w:i/>
          <w:color w:val="000000" w:themeColor="text1"/>
        </w:rPr>
      </w:pPr>
    </w:p>
    <w:p w14:paraId="42D06C1C" w14:textId="1810D07C" w:rsidR="001E3029" w:rsidRDefault="001E3029" w:rsidP="001E3029">
      <w:pPr>
        <w:rPr>
          <w:rFonts w:ascii="Arial" w:hAnsi="Arial" w:cs="Arial"/>
          <w:i/>
          <w:color w:val="000000" w:themeColor="text1"/>
        </w:rPr>
      </w:pPr>
      <w:r>
        <w:rPr>
          <w:rFonts w:ascii="Arial" w:hAnsi="Arial" w:cs="Arial"/>
          <w:i/>
          <w:color w:val="000000" w:themeColor="text1"/>
        </w:rPr>
        <w:t xml:space="preserve">2.2 </w:t>
      </w:r>
      <w:r w:rsidR="002674E1" w:rsidRPr="004447AA">
        <w:rPr>
          <w:rFonts w:ascii="Arial" w:hAnsi="Arial" w:cs="Arial"/>
          <w:i/>
          <w:color w:val="000000" w:themeColor="text1"/>
        </w:rPr>
        <w:t>Results and Discussion</w:t>
      </w:r>
    </w:p>
    <w:p w14:paraId="18285569" w14:textId="6F4DCD39" w:rsidR="001E3029" w:rsidRPr="00832124" w:rsidRDefault="001E3029" w:rsidP="001E3029">
      <w:pPr>
        <w:ind w:firstLine="720"/>
        <w:jc w:val="both"/>
        <w:rPr>
          <w:rFonts w:ascii="Arial" w:hAnsi="Arial" w:cs="Arial"/>
          <w:color w:val="000000" w:themeColor="text1"/>
        </w:rPr>
      </w:pPr>
      <w:r>
        <w:rPr>
          <w:rFonts w:ascii="Arial" w:hAnsi="Arial" w:cs="Arial"/>
          <w:i/>
          <w:color w:val="000000" w:themeColor="text1"/>
        </w:rPr>
        <w:lastRenderedPageBreak/>
        <w:t xml:space="preserve">2.2.1 </w:t>
      </w:r>
      <w:r w:rsidRPr="004447AA">
        <w:rPr>
          <w:rFonts w:ascii="Arial" w:hAnsi="Arial" w:cs="Arial"/>
          <w:i/>
          <w:color w:val="000000" w:themeColor="text1"/>
        </w:rPr>
        <w:t xml:space="preserve">Metacognitive Efficiency. </w:t>
      </w:r>
      <w:r w:rsidRPr="004447AA">
        <w:rPr>
          <w:rFonts w:ascii="Arial" w:hAnsi="Arial" w:cs="Arial"/>
          <w:color w:val="000000" w:themeColor="text1"/>
        </w:rPr>
        <w:t>Unlike the main experiment and pilot study (</w:t>
      </w:r>
      <w:r w:rsidRPr="004447AA">
        <w:rPr>
          <w:rFonts w:ascii="Arial" w:hAnsi="Arial" w:cs="Arial"/>
          <w:i/>
          <w:color w:val="000000" w:themeColor="text1"/>
        </w:rPr>
        <w:t>Supplementa</w:t>
      </w:r>
      <w:r w:rsidR="00210997">
        <w:rPr>
          <w:rFonts w:ascii="Arial" w:hAnsi="Arial" w:cs="Arial"/>
          <w:i/>
          <w:color w:val="000000" w:themeColor="text1"/>
        </w:rPr>
        <w:t>ry</w:t>
      </w:r>
      <w:r w:rsidRPr="004447AA">
        <w:rPr>
          <w:rFonts w:ascii="Arial" w:hAnsi="Arial" w:cs="Arial"/>
          <w:i/>
          <w:color w:val="000000" w:themeColor="text1"/>
        </w:rPr>
        <w:t xml:space="preserve"> Material</w:t>
      </w:r>
      <w:r w:rsidRPr="004447AA">
        <w:rPr>
          <w:rFonts w:ascii="Arial" w:hAnsi="Arial" w:cs="Arial"/>
          <w:color w:val="000000" w:themeColor="text1"/>
        </w:rPr>
        <w:t>), there was no significant difference between average item and associative meta-</w:t>
      </w:r>
      <w:r w:rsidRPr="004447AA">
        <w:rPr>
          <w:rFonts w:ascii="Arial" w:hAnsi="Arial" w:cs="Arial"/>
          <w:i/>
          <w:color w:val="000000" w:themeColor="text1"/>
        </w:rPr>
        <w:t>d’</w:t>
      </w:r>
      <w:r w:rsidRPr="004447AA">
        <w:rPr>
          <w:rFonts w:ascii="Arial" w:hAnsi="Arial" w:cs="Arial"/>
          <w:color w:val="000000" w:themeColor="text1"/>
        </w:rPr>
        <w:t>/</w:t>
      </w:r>
      <w:r w:rsidRPr="004447AA">
        <w:rPr>
          <w:rFonts w:ascii="Arial" w:hAnsi="Arial" w:cs="Arial"/>
          <w:i/>
          <w:color w:val="000000" w:themeColor="text1"/>
        </w:rPr>
        <w:t>d’</w:t>
      </w:r>
      <w:r w:rsidRPr="004447AA">
        <w:rPr>
          <w:rFonts w:ascii="Arial" w:hAnsi="Arial" w:cs="Arial"/>
          <w:color w:val="000000" w:themeColor="text1"/>
        </w:rPr>
        <w:t xml:space="preserve">, </w:t>
      </w:r>
      <w:r w:rsidRPr="004447AA">
        <w:rPr>
          <w:rFonts w:ascii="Arial" w:hAnsi="Arial" w:cs="Arial"/>
          <w:i/>
          <w:color w:val="000000" w:themeColor="text1"/>
        </w:rPr>
        <w:t>t</w:t>
      </w:r>
      <w:r w:rsidRPr="004447AA">
        <w:rPr>
          <w:rFonts w:ascii="Arial" w:hAnsi="Arial" w:cs="Arial"/>
          <w:color w:val="000000" w:themeColor="text1"/>
        </w:rPr>
        <w:t xml:space="preserve"> &lt; 2. </w:t>
      </w:r>
    </w:p>
    <w:p w14:paraId="4CA57EDE" w14:textId="4B78F489" w:rsidR="001E3029" w:rsidRPr="001E3029" w:rsidRDefault="001E3029" w:rsidP="001E3029">
      <w:pPr>
        <w:ind w:firstLine="720"/>
        <w:jc w:val="both"/>
        <w:rPr>
          <w:rFonts w:ascii="Arial" w:hAnsi="Arial" w:cs="Arial"/>
          <w:color w:val="000000" w:themeColor="text1"/>
        </w:rPr>
      </w:pPr>
      <w:r w:rsidRPr="004447AA">
        <w:rPr>
          <w:rFonts w:ascii="Arial" w:hAnsi="Arial" w:cs="Arial"/>
          <w:color w:val="000000" w:themeColor="text1"/>
        </w:rPr>
        <w:t>It is important to note that fewer trials were used to calculate meta</w:t>
      </w:r>
      <w:r w:rsidRPr="004447AA">
        <w:rPr>
          <w:rFonts w:ascii="Arial" w:hAnsi="Arial" w:cs="Arial"/>
          <w:i/>
          <w:color w:val="000000" w:themeColor="text1"/>
        </w:rPr>
        <w:t>-d’/d’</w:t>
      </w:r>
      <w:r w:rsidRPr="004447AA">
        <w:rPr>
          <w:rFonts w:ascii="Arial" w:hAnsi="Arial" w:cs="Arial"/>
          <w:color w:val="000000" w:themeColor="text1"/>
        </w:rPr>
        <w:t xml:space="preserve"> in this follow-up study. Two out of four blocks collected confidence ratings, providing only 40 trials in the associative task and 80 trials</w:t>
      </w:r>
      <w:r w:rsidR="00011D82">
        <w:rPr>
          <w:rFonts w:ascii="Arial" w:hAnsi="Arial" w:cs="Arial"/>
          <w:color w:val="000000" w:themeColor="text1"/>
        </w:rPr>
        <w:t xml:space="preserve"> in the item task</w:t>
      </w:r>
      <w:r w:rsidRPr="004447AA">
        <w:rPr>
          <w:rFonts w:ascii="Arial" w:hAnsi="Arial" w:cs="Arial"/>
          <w:color w:val="000000" w:themeColor="text1"/>
        </w:rPr>
        <w:t xml:space="preserve"> for measurement of metacognition. For this reason, calibration may be less sensitive. Previous relevant studies used at least 100 trials with confidence ratings to calculate </w:t>
      </w:r>
      <w:r w:rsidRPr="004447AA">
        <w:rPr>
          <w:rFonts w:ascii="Arial" w:hAnsi="Arial" w:cs="Arial"/>
          <w:i/>
          <w:color w:val="000000" w:themeColor="text1"/>
        </w:rPr>
        <w:t>meta-d’</w:t>
      </w:r>
      <w:r w:rsidRPr="004447AA">
        <w:rPr>
          <w:rFonts w:ascii="Arial" w:hAnsi="Arial" w:cs="Arial"/>
          <w:color w:val="000000" w:themeColor="text1"/>
        </w:rPr>
        <w:t xml:space="preserve"> (e.g., Palmer et al., 2014). </w:t>
      </w:r>
    </w:p>
    <w:p w14:paraId="188D0433" w14:textId="7916D116" w:rsidR="002674E1" w:rsidRPr="004447AA" w:rsidRDefault="001E3029" w:rsidP="00A670C3">
      <w:pPr>
        <w:tabs>
          <w:tab w:val="left" w:pos="2070"/>
        </w:tabs>
        <w:ind w:firstLine="720"/>
        <w:jc w:val="both"/>
        <w:rPr>
          <w:rFonts w:ascii="Arial" w:hAnsi="Arial" w:cs="Arial"/>
          <w:color w:val="000000" w:themeColor="text1"/>
        </w:rPr>
      </w:pPr>
      <w:r>
        <w:rPr>
          <w:rFonts w:ascii="Arial" w:hAnsi="Arial" w:cs="Arial"/>
          <w:i/>
          <w:color w:val="000000" w:themeColor="text1"/>
        </w:rPr>
        <w:t>2.2.2 Recognition Memory Performance (d’)</w:t>
      </w:r>
      <w:r w:rsidRPr="004447AA">
        <w:rPr>
          <w:rFonts w:ascii="Arial" w:hAnsi="Arial" w:cs="Arial"/>
          <w:i/>
          <w:color w:val="000000" w:themeColor="text1"/>
        </w:rPr>
        <w:t xml:space="preserve">. </w:t>
      </w:r>
      <w:r w:rsidR="002674E1" w:rsidRPr="004447AA">
        <w:rPr>
          <w:rFonts w:ascii="Arial" w:hAnsi="Arial" w:cs="Arial"/>
          <w:color w:val="000000" w:themeColor="text1"/>
        </w:rPr>
        <w:t>We entered performance (</w:t>
      </w:r>
      <w:r w:rsidR="002674E1" w:rsidRPr="004447AA">
        <w:rPr>
          <w:rFonts w:ascii="Arial" w:hAnsi="Arial" w:cs="Arial"/>
          <w:i/>
          <w:color w:val="000000" w:themeColor="text1"/>
        </w:rPr>
        <w:t>d’</w:t>
      </w:r>
      <w:r w:rsidR="002674E1" w:rsidRPr="004447AA">
        <w:rPr>
          <w:rFonts w:ascii="Arial" w:hAnsi="Arial" w:cs="Arial"/>
          <w:color w:val="000000" w:themeColor="text1"/>
        </w:rPr>
        <w:t>) into a two-way ANOVA with test type item, associative) and confidence block (ratings present, ratings absent) as within-participants factors. Here, we found a significant test</w:t>
      </w:r>
      <w:r w:rsidR="002674E1">
        <w:rPr>
          <w:rFonts w:ascii="Arial" w:hAnsi="Arial" w:cs="Arial"/>
          <w:color w:val="000000" w:themeColor="text1"/>
        </w:rPr>
        <w:t xml:space="preserve"> type</w:t>
      </w:r>
      <w:r w:rsidR="002674E1" w:rsidRPr="004447AA">
        <w:rPr>
          <w:rFonts w:ascii="Arial" w:hAnsi="Arial" w:cs="Arial"/>
          <w:color w:val="000000" w:themeColor="text1"/>
        </w:rPr>
        <w:t xml:space="preserve"> x confidence block interaction, </w:t>
      </w:r>
      <w:proofErr w:type="gramStart"/>
      <w:r w:rsidR="002674E1" w:rsidRPr="004447AA">
        <w:rPr>
          <w:rFonts w:ascii="Arial" w:hAnsi="Arial" w:cs="Arial"/>
          <w:i/>
          <w:color w:val="000000" w:themeColor="text1"/>
        </w:rPr>
        <w:t>F</w:t>
      </w:r>
      <w:r w:rsidR="002674E1" w:rsidRPr="004447AA">
        <w:rPr>
          <w:rFonts w:ascii="Arial" w:hAnsi="Arial" w:cs="Arial"/>
          <w:color w:val="000000" w:themeColor="text1"/>
        </w:rPr>
        <w:t>(</w:t>
      </w:r>
      <w:proofErr w:type="gramEnd"/>
      <w:r w:rsidR="002674E1" w:rsidRPr="004447AA">
        <w:rPr>
          <w:rFonts w:ascii="Arial" w:hAnsi="Arial" w:cs="Arial"/>
          <w:color w:val="000000" w:themeColor="text1"/>
        </w:rPr>
        <w:t xml:space="preserve">1,27) = 10.404, </w:t>
      </w:r>
      <w:r w:rsidR="002674E1" w:rsidRPr="004447AA">
        <w:rPr>
          <w:rFonts w:ascii="Arial" w:hAnsi="Arial" w:cs="Arial"/>
          <w:i/>
          <w:color w:val="000000" w:themeColor="text1"/>
        </w:rPr>
        <w:t xml:space="preserve">p </w:t>
      </w:r>
      <w:r w:rsidR="002674E1" w:rsidRPr="004447AA">
        <w:rPr>
          <w:rFonts w:ascii="Arial" w:hAnsi="Arial" w:cs="Arial"/>
          <w:color w:val="000000" w:themeColor="text1"/>
        </w:rPr>
        <w:t xml:space="preserve">&lt; .01, </w:t>
      </w:r>
      <w:r w:rsidR="002674E1" w:rsidRPr="004447AA">
        <w:rPr>
          <w:rFonts w:ascii="Arial" w:hAnsi="Arial" w:cs="Arial"/>
          <w:i/>
          <w:color w:val="000000" w:themeColor="text1"/>
        </w:rPr>
        <w:t>η</w:t>
      </w:r>
      <w:r w:rsidR="002674E1" w:rsidRPr="004447AA">
        <w:rPr>
          <w:rFonts w:ascii="Arial" w:hAnsi="Arial" w:cs="Arial"/>
          <w:i/>
          <w:color w:val="000000" w:themeColor="text1"/>
          <w:vertAlign w:val="subscript"/>
        </w:rPr>
        <w:t>p</w:t>
      </w:r>
      <w:r w:rsidR="002674E1" w:rsidRPr="004447AA">
        <w:rPr>
          <w:rFonts w:ascii="Arial" w:hAnsi="Arial" w:cs="Arial"/>
          <w:i/>
          <w:color w:val="000000" w:themeColor="text1"/>
          <w:vertAlign w:val="superscript"/>
        </w:rPr>
        <w:t>2</w:t>
      </w:r>
      <w:r w:rsidR="002674E1" w:rsidRPr="004447AA">
        <w:rPr>
          <w:rFonts w:ascii="Arial" w:hAnsi="Arial" w:cs="Arial"/>
          <w:color w:val="000000" w:themeColor="text1"/>
        </w:rPr>
        <w:t xml:space="preserve"> = .278. Item performance was significantly lower when confidence ratings were present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1.61, </w:t>
      </w:r>
      <w:r w:rsidR="002674E1" w:rsidRPr="004447AA">
        <w:rPr>
          <w:rFonts w:ascii="Arial" w:hAnsi="Arial" w:cs="Arial"/>
          <w:i/>
          <w:color w:val="000000" w:themeColor="text1"/>
        </w:rPr>
        <w:t xml:space="preserve">SD </w:t>
      </w:r>
      <w:r w:rsidR="002674E1" w:rsidRPr="004447AA">
        <w:rPr>
          <w:rFonts w:ascii="Arial" w:hAnsi="Arial" w:cs="Arial"/>
          <w:color w:val="000000" w:themeColor="text1"/>
        </w:rPr>
        <w:t>= .79) than when they were absent,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1.96, </w:t>
      </w:r>
      <w:r w:rsidR="002674E1" w:rsidRPr="004447AA">
        <w:rPr>
          <w:rFonts w:ascii="Arial" w:hAnsi="Arial" w:cs="Arial"/>
          <w:i/>
          <w:color w:val="000000" w:themeColor="text1"/>
        </w:rPr>
        <w:t xml:space="preserve">SD = </w:t>
      </w:r>
      <w:r w:rsidR="002674E1" w:rsidRPr="004447AA">
        <w:rPr>
          <w:rFonts w:ascii="Arial" w:hAnsi="Arial" w:cs="Arial"/>
          <w:color w:val="000000" w:themeColor="text1"/>
        </w:rPr>
        <w:t xml:space="preserve">.84), </w:t>
      </w:r>
      <w:proofErr w:type="gramStart"/>
      <w:r w:rsidR="002674E1" w:rsidRPr="004447AA">
        <w:rPr>
          <w:rFonts w:ascii="Arial" w:hAnsi="Arial" w:cs="Arial"/>
          <w:i/>
          <w:color w:val="000000" w:themeColor="text1"/>
        </w:rPr>
        <w:t>t</w:t>
      </w:r>
      <w:r w:rsidR="002674E1" w:rsidRPr="004447AA">
        <w:rPr>
          <w:rFonts w:ascii="Arial" w:hAnsi="Arial" w:cs="Arial"/>
          <w:color w:val="000000" w:themeColor="text1"/>
        </w:rPr>
        <w:t>(</w:t>
      </w:r>
      <w:proofErr w:type="gramEnd"/>
      <w:r w:rsidR="002674E1" w:rsidRPr="004447AA">
        <w:rPr>
          <w:rFonts w:ascii="Arial" w:hAnsi="Arial" w:cs="Arial"/>
          <w:color w:val="000000" w:themeColor="text1"/>
        </w:rPr>
        <w:t xml:space="preserve">27) = 2.57, </w:t>
      </w:r>
      <w:r w:rsidR="002674E1" w:rsidRPr="004447AA">
        <w:rPr>
          <w:rFonts w:ascii="Arial" w:hAnsi="Arial" w:cs="Arial"/>
          <w:i/>
          <w:color w:val="000000" w:themeColor="text1"/>
        </w:rPr>
        <w:t xml:space="preserve">p </w:t>
      </w:r>
      <w:r w:rsidR="002674E1" w:rsidRPr="004447AA">
        <w:rPr>
          <w:rFonts w:ascii="Arial" w:hAnsi="Arial" w:cs="Arial"/>
          <w:color w:val="000000" w:themeColor="text1"/>
        </w:rPr>
        <w:t xml:space="preserve">&lt; .05, Cohen’s </w:t>
      </w:r>
      <w:r w:rsidR="002674E1" w:rsidRPr="004447AA">
        <w:rPr>
          <w:rFonts w:ascii="Arial" w:hAnsi="Arial" w:cs="Arial"/>
          <w:i/>
          <w:color w:val="000000" w:themeColor="text1"/>
        </w:rPr>
        <w:t xml:space="preserve">d </w:t>
      </w:r>
      <w:r w:rsidR="002674E1" w:rsidRPr="004447AA">
        <w:rPr>
          <w:rFonts w:ascii="Arial" w:hAnsi="Arial" w:cs="Arial"/>
          <w:color w:val="000000" w:themeColor="text1"/>
        </w:rPr>
        <w:t>= -0.43</w:t>
      </w:r>
      <w:r w:rsidR="005C3B98">
        <w:rPr>
          <w:rFonts w:ascii="Arial" w:hAnsi="Arial" w:cs="Arial"/>
          <w:color w:val="000000" w:themeColor="text1"/>
        </w:rPr>
        <w:t xml:space="preserve"> (see Supplementary Figure 1)</w:t>
      </w:r>
      <w:r w:rsidR="002674E1" w:rsidRPr="004447AA">
        <w:rPr>
          <w:rFonts w:ascii="Arial" w:hAnsi="Arial" w:cs="Arial"/>
          <w:color w:val="000000" w:themeColor="text1"/>
        </w:rPr>
        <w:t>. There was no significant difference in associative performance when confidence ratings were present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1.80, </w:t>
      </w:r>
      <w:r w:rsidR="002674E1" w:rsidRPr="004447AA">
        <w:rPr>
          <w:rFonts w:ascii="Arial" w:hAnsi="Arial" w:cs="Arial"/>
          <w:i/>
          <w:color w:val="000000" w:themeColor="text1"/>
        </w:rPr>
        <w:t xml:space="preserve">SD </w:t>
      </w:r>
      <w:r w:rsidR="002674E1" w:rsidRPr="004447AA">
        <w:rPr>
          <w:rFonts w:ascii="Arial" w:hAnsi="Arial" w:cs="Arial"/>
          <w:color w:val="000000" w:themeColor="text1"/>
        </w:rPr>
        <w:t>= .99) compared to when they were absent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1.70, </w:t>
      </w:r>
      <w:r w:rsidR="002674E1" w:rsidRPr="004447AA">
        <w:rPr>
          <w:rFonts w:ascii="Arial" w:hAnsi="Arial" w:cs="Arial"/>
          <w:i/>
          <w:color w:val="000000" w:themeColor="text1"/>
        </w:rPr>
        <w:t xml:space="preserve">SD </w:t>
      </w:r>
      <w:r w:rsidR="002674E1" w:rsidRPr="004447AA">
        <w:rPr>
          <w:rFonts w:ascii="Arial" w:hAnsi="Arial" w:cs="Arial"/>
          <w:color w:val="000000" w:themeColor="text1"/>
        </w:rPr>
        <w:t>= .95). This dissociation may have been driven by significantly higher false-alarm rates (FARs) in the item task with confidence ratings present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.20, </w:t>
      </w:r>
      <w:r w:rsidR="002674E1" w:rsidRPr="004447AA">
        <w:rPr>
          <w:rFonts w:ascii="Arial" w:hAnsi="Arial" w:cs="Arial"/>
          <w:i/>
          <w:color w:val="000000" w:themeColor="text1"/>
        </w:rPr>
        <w:t>SD</w:t>
      </w:r>
      <w:r w:rsidR="002674E1" w:rsidRPr="004447AA">
        <w:rPr>
          <w:rFonts w:ascii="Arial" w:hAnsi="Arial" w:cs="Arial"/>
          <w:color w:val="000000" w:themeColor="text1"/>
        </w:rPr>
        <w:t xml:space="preserve"> = 0.15) compared to absent (</w:t>
      </w:r>
      <w:r w:rsidR="002674E1" w:rsidRPr="004447AA">
        <w:rPr>
          <w:rFonts w:ascii="Arial" w:hAnsi="Arial" w:cs="Arial"/>
          <w:i/>
          <w:color w:val="000000" w:themeColor="text1"/>
        </w:rPr>
        <w:t xml:space="preserve">M </w:t>
      </w:r>
      <w:r w:rsidR="002674E1" w:rsidRPr="004447AA">
        <w:rPr>
          <w:rFonts w:ascii="Arial" w:hAnsi="Arial" w:cs="Arial"/>
          <w:color w:val="000000" w:themeColor="text1"/>
        </w:rPr>
        <w:t xml:space="preserve">= .13, </w:t>
      </w:r>
      <w:r w:rsidR="002674E1" w:rsidRPr="004447AA">
        <w:rPr>
          <w:rFonts w:ascii="Arial" w:hAnsi="Arial" w:cs="Arial"/>
          <w:i/>
          <w:color w:val="000000" w:themeColor="text1"/>
        </w:rPr>
        <w:t xml:space="preserve">SD </w:t>
      </w:r>
      <w:r w:rsidR="002674E1" w:rsidRPr="004447AA">
        <w:rPr>
          <w:rFonts w:ascii="Arial" w:hAnsi="Arial" w:cs="Arial"/>
          <w:color w:val="000000" w:themeColor="text1"/>
        </w:rPr>
        <w:t xml:space="preserve">= 0.10), </w:t>
      </w:r>
      <w:r w:rsidR="002674E1" w:rsidRPr="004447AA">
        <w:rPr>
          <w:rFonts w:ascii="Arial" w:hAnsi="Arial" w:cs="Arial"/>
          <w:i/>
          <w:color w:val="000000" w:themeColor="text1"/>
        </w:rPr>
        <w:t>t</w:t>
      </w:r>
      <w:r w:rsidR="002674E1" w:rsidRPr="004447AA">
        <w:rPr>
          <w:rFonts w:ascii="Arial" w:hAnsi="Arial" w:cs="Arial"/>
          <w:color w:val="000000" w:themeColor="text1"/>
        </w:rPr>
        <w:t xml:space="preserve">(27) = 3.52, </w:t>
      </w:r>
      <w:r w:rsidR="002674E1" w:rsidRPr="004447AA">
        <w:rPr>
          <w:rFonts w:ascii="Arial" w:hAnsi="Arial" w:cs="Arial"/>
          <w:i/>
          <w:color w:val="000000" w:themeColor="text1"/>
        </w:rPr>
        <w:t>p</w:t>
      </w:r>
      <w:r w:rsidR="002674E1" w:rsidRPr="004447AA">
        <w:rPr>
          <w:rFonts w:ascii="Arial" w:hAnsi="Arial" w:cs="Arial"/>
          <w:color w:val="000000" w:themeColor="text1"/>
        </w:rPr>
        <w:t xml:space="preserve"> = .002, Cohen’s </w:t>
      </w:r>
      <w:r w:rsidR="002674E1" w:rsidRPr="004447AA">
        <w:rPr>
          <w:rFonts w:ascii="Arial" w:hAnsi="Arial" w:cs="Arial"/>
          <w:i/>
          <w:color w:val="000000" w:themeColor="text1"/>
        </w:rPr>
        <w:t xml:space="preserve">d </w:t>
      </w:r>
      <w:r w:rsidR="002674E1" w:rsidRPr="004447AA">
        <w:rPr>
          <w:rFonts w:ascii="Arial" w:hAnsi="Arial" w:cs="Arial"/>
          <w:color w:val="000000" w:themeColor="text1"/>
        </w:rPr>
        <w:t xml:space="preserve">= 0.55. There was no significant difference between FARs in the confidence conditions for the associative task, </w:t>
      </w:r>
      <w:r w:rsidR="002674E1" w:rsidRPr="004447AA">
        <w:rPr>
          <w:rFonts w:ascii="Arial" w:hAnsi="Arial" w:cs="Arial"/>
          <w:i/>
          <w:color w:val="000000" w:themeColor="text1"/>
        </w:rPr>
        <w:t xml:space="preserve">t </w:t>
      </w:r>
      <w:r w:rsidR="002674E1" w:rsidRPr="004447AA">
        <w:rPr>
          <w:rFonts w:ascii="Arial" w:hAnsi="Arial" w:cs="Arial"/>
          <w:color w:val="000000" w:themeColor="text1"/>
        </w:rPr>
        <w:t xml:space="preserve">&lt; 1. Also, hit rates (HR) were not significantly different between confidence conditions in either task, </w:t>
      </w:r>
      <w:proofErr w:type="spellStart"/>
      <w:r w:rsidR="002674E1" w:rsidRPr="004447AA">
        <w:rPr>
          <w:rFonts w:ascii="Arial" w:hAnsi="Arial" w:cs="Arial"/>
          <w:i/>
          <w:color w:val="000000" w:themeColor="text1"/>
        </w:rPr>
        <w:t>t</w:t>
      </w:r>
      <w:r w:rsidR="002674E1" w:rsidRPr="004447AA">
        <w:rPr>
          <w:rFonts w:ascii="Arial" w:hAnsi="Arial" w:cs="Arial"/>
          <w:color w:val="000000" w:themeColor="text1"/>
        </w:rPr>
        <w:t>s</w:t>
      </w:r>
      <w:proofErr w:type="spellEnd"/>
      <w:r w:rsidR="002674E1" w:rsidRPr="004447AA">
        <w:rPr>
          <w:rFonts w:ascii="Arial" w:hAnsi="Arial" w:cs="Arial"/>
          <w:color w:val="000000" w:themeColor="text1"/>
        </w:rPr>
        <w:t xml:space="preserve"> &lt; 1. There was no main effect of test and no main effect of confidence block. </w:t>
      </w:r>
    </w:p>
    <w:p w14:paraId="45881661" w14:textId="77777777" w:rsidR="00C81463" w:rsidRDefault="00C81463" w:rsidP="005C3B98">
      <w:pPr>
        <w:spacing w:line="480" w:lineRule="auto"/>
        <w:jc w:val="both"/>
        <w:rPr>
          <w:rFonts w:ascii="Arial" w:hAnsi="Arial" w:cs="Arial"/>
          <w:color w:val="000000" w:themeColor="text1"/>
        </w:rPr>
      </w:pPr>
    </w:p>
    <w:p w14:paraId="760A2276" w14:textId="08ED7B98" w:rsidR="005C3B98" w:rsidRPr="005C3B98" w:rsidRDefault="005C3B98" w:rsidP="005C3B98">
      <w:pPr>
        <w:spacing w:line="480" w:lineRule="auto"/>
        <w:jc w:val="both"/>
        <w:rPr>
          <w:rFonts w:ascii="Arial" w:hAnsi="Arial" w:cs="Arial"/>
          <w:b/>
          <w:bCs/>
          <w:color w:val="000000" w:themeColor="text1"/>
        </w:rPr>
      </w:pPr>
      <w:r w:rsidRPr="005C3B98">
        <w:rPr>
          <w:rFonts w:ascii="Arial" w:hAnsi="Arial" w:cs="Arial"/>
          <w:b/>
          <w:bCs/>
          <w:color w:val="000000" w:themeColor="text1"/>
        </w:rPr>
        <w:t>2.</w:t>
      </w:r>
      <w:r w:rsidR="001E3029">
        <w:rPr>
          <w:rFonts w:ascii="Arial" w:hAnsi="Arial" w:cs="Arial"/>
          <w:b/>
          <w:bCs/>
          <w:color w:val="000000" w:themeColor="text1"/>
        </w:rPr>
        <w:t>3</w:t>
      </w:r>
      <w:r w:rsidRPr="005C3B98">
        <w:rPr>
          <w:rFonts w:ascii="Arial" w:hAnsi="Arial" w:cs="Arial"/>
          <w:b/>
          <w:bCs/>
          <w:color w:val="000000" w:themeColor="text1"/>
        </w:rPr>
        <w:t xml:space="preserve"> Conf</w:t>
      </w:r>
      <w:r>
        <w:rPr>
          <w:rFonts w:ascii="Arial" w:hAnsi="Arial" w:cs="Arial"/>
          <w:b/>
          <w:bCs/>
          <w:color w:val="000000" w:themeColor="text1"/>
        </w:rPr>
        <w:t>idence Experiment Tables and Figures</w:t>
      </w:r>
    </w:p>
    <w:p w14:paraId="7DD912CF" w14:textId="06DC1616" w:rsidR="005C3B98" w:rsidRPr="004447AA" w:rsidRDefault="005C3B98" w:rsidP="005C3B98">
      <w:pPr>
        <w:jc w:val="both"/>
        <w:rPr>
          <w:rFonts w:ascii="Arial" w:hAnsi="Arial" w:cs="Arial"/>
          <w:i/>
          <w:iCs/>
          <w:color w:val="000000" w:themeColor="text1"/>
        </w:rPr>
      </w:pPr>
      <w:r w:rsidRPr="00A670C3">
        <w:rPr>
          <w:rFonts w:ascii="Arial" w:hAnsi="Arial" w:cs="Arial"/>
          <w:b/>
          <w:bCs/>
          <w:color w:val="000000" w:themeColor="text1"/>
        </w:rPr>
        <w:t>Supplementary Table 3.</w:t>
      </w:r>
      <w:r w:rsidRPr="004447AA">
        <w:rPr>
          <w:rFonts w:ascii="Arial" w:hAnsi="Arial" w:cs="Arial"/>
          <w:color w:val="000000" w:themeColor="text1"/>
        </w:rPr>
        <w:t xml:space="preserve"> </w:t>
      </w:r>
      <w:r w:rsidRPr="004447AA">
        <w:rPr>
          <w:rFonts w:ascii="Arial" w:hAnsi="Arial" w:cs="Arial"/>
          <w:i/>
          <w:color w:val="000000" w:themeColor="text1"/>
        </w:rPr>
        <w:t xml:space="preserve">Confidence Experiment </w:t>
      </w:r>
      <w:r w:rsidRPr="004447AA">
        <w:rPr>
          <w:rFonts w:ascii="Arial" w:hAnsi="Arial" w:cs="Arial"/>
          <w:i/>
          <w:iCs/>
          <w:color w:val="000000" w:themeColor="text1"/>
        </w:rPr>
        <w:t>Means and Standard Deviations for Demographic Information</w:t>
      </w:r>
    </w:p>
    <w:p w14:paraId="0BB3787A" w14:textId="77777777" w:rsidR="005C3B98" w:rsidRPr="004447AA" w:rsidRDefault="005C3B98" w:rsidP="005C3B98">
      <w:pPr>
        <w:jc w:val="both"/>
        <w:rPr>
          <w:rFonts w:ascii="Arial" w:hAnsi="Arial" w:cs="Arial"/>
          <w:color w:val="000000" w:themeColor="text1"/>
        </w:rPr>
      </w:pPr>
    </w:p>
    <w:tbl>
      <w:tblPr>
        <w:tblStyle w:val="PlainTable5"/>
        <w:tblW w:w="4680" w:type="dxa"/>
        <w:tblLayout w:type="fixed"/>
        <w:tblLook w:val="04A0" w:firstRow="1" w:lastRow="0" w:firstColumn="1" w:lastColumn="0" w:noHBand="0" w:noVBand="1"/>
      </w:tblPr>
      <w:tblGrid>
        <w:gridCol w:w="2910"/>
        <w:gridCol w:w="1770"/>
      </w:tblGrid>
      <w:tr w:rsidR="005C3B98" w:rsidRPr="004447AA" w14:paraId="5BAB0C74" w14:textId="77777777" w:rsidTr="004C0DB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2910" w:type="dxa"/>
            <w:tcBorders>
              <w:bottom w:val="single" w:sz="4" w:space="0" w:color="auto"/>
            </w:tcBorders>
            <w:shd w:val="clear" w:color="auto" w:fill="auto"/>
            <w:vAlign w:val="center"/>
          </w:tcPr>
          <w:p w14:paraId="7F219BBC" w14:textId="77777777" w:rsidR="005C3B98" w:rsidRPr="004447AA" w:rsidRDefault="005C3B98" w:rsidP="000967C7">
            <w:pPr>
              <w:jc w:val="left"/>
              <w:rPr>
                <w:rFonts w:ascii="Arial" w:hAnsi="Arial" w:cs="Arial"/>
                <w:i w:val="0"/>
                <w:color w:val="000000" w:themeColor="text1"/>
                <w:sz w:val="24"/>
              </w:rPr>
            </w:pPr>
            <w:r w:rsidRPr="004447AA">
              <w:rPr>
                <w:rFonts w:ascii="Arial" w:hAnsi="Arial" w:cs="Arial"/>
                <w:i w:val="0"/>
                <w:color w:val="000000" w:themeColor="text1"/>
                <w:sz w:val="24"/>
              </w:rPr>
              <w:t>Variable</w:t>
            </w:r>
          </w:p>
        </w:tc>
        <w:tc>
          <w:tcPr>
            <w:tcW w:w="1770" w:type="dxa"/>
            <w:tcBorders>
              <w:bottom w:val="single" w:sz="4" w:space="0" w:color="auto"/>
            </w:tcBorders>
          </w:tcPr>
          <w:p w14:paraId="47607D13" w14:textId="77777777" w:rsidR="005C3B98" w:rsidRPr="004447AA" w:rsidRDefault="005C3B98" w:rsidP="004C0DB3">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color w:val="000000" w:themeColor="text1"/>
              </w:rPr>
            </w:pPr>
            <w:r w:rsidRPr="004447AA">
              <w:rPr>
                <w:rFonts w:ascii="Arial" w:hAnsi="Arial" w:cs="Arial"/>
                <w:color w:val="000000" w:themeColor="text1"/>
              </w:rPr>
              <w:t>N</w:t>
            </w:r>
            <w:r w:rsidRPr="004447AA">
              <w:rPr>
                <w:rFonts w:ascii="Arial" w:hAnsi="Arial" w:cs="Arial"/>
                <w:i w:val="0"/>
                <w:iCs w:val="0"/>
                <w:color w:val="000000" w:themeColor="text1"/>
              </w:rPr>
              <w:t xml:space="preserve"> = 28</w:t>
            </w:r>
          </w:p>
        </w:tc>
      </w:tr>
      <w:tr w:rsidR="005C3B98" w:rsidRPr="004447AA" w14:paraId="1751B392" w14:textId="77777777" w:rsidTr="004C0DB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910" w:type="dxa"/>
            <w:tcBorders>
              <w:top w:val="single" w:sz="4" w:space="0" w:color="auto"/>
            </w:tcBorders>
            <w:shd w:val="clear" w:color="auto" w:fill="auto"/>
            <w:vAlign w:val="bottom"/>
          </w:tcPr>
          <w:p w14:paraId="4C09B414" w14:textId="77777777" w:rsidR="005C3B98" w:rsidRPr="004447AA" w:rsidRDefault="005C3B98" w:rsidP="000967C7">
            <w:pPr>
              <w:jc w:val="left"/>
              <w:rPr>
                <w:rFonts w:ascii="Arial" w:hAnsi="Arial" w:cs="Arial"/>
                <w:i w:val="0"/>
                <w:color w:val="000000" w:themeColor="text1"/>
                <w:sz w:val="24"/>
                <w:szCs w:val="22"/>
              </w:rPr>
            </w:pPr>
            <w:r w:rsidRPr="004447AA">
              <w:rPr>
                <w:rFonts w:ascii="Arial" w:hAnsi="Arial" w:cs="Arial"/>
                <w:i w:val="0"/>
                <w:color w:val="000000" w:themeColor="text1"/>
                <w:sz w:val="24"/>
                <w:szCs w:val="22"/>
              </w:rPr>
              <w:t>% Female</w:t>
            </w:r>
          </w:p>
          <w:p w14:paraId="2B4E395C" w14:textId="77777777" w:rsidR="005C3B98" w:rsidRPr="00CF06B0" w:rsidRDefault="005C3B98" w:rsidP="000967C7">
            <w:pPr>
              <w:jc w:val="left"/>
              <w:rPr>
                <w:rFonts w:ascii="Arial" w:hAnsi="Arial" w:cs="Arial"/>
                <w:i w:val="0"/>
                <w:color w:val="000000" w:themeColor="text1"/>
              </w:rPr>
            </w:pPr>
            <w:r>
              <w:rPr>
                <w:rFonts w:ascii="Arial" w:hAnsi="Arial" w:cs="Arial"/>
                <w:i w:val="0"/>
                <w:color w:val="000000" w:themeColor="text1"/>
              </w:rPr>
              <w:t>Age</w:t>
            </w:r>
          </w:p>
          <w:p w14:paraId="72FB4CF2" w14:textId="77777777" w:rsidR="005C3B98" w:rsidRPr="004447AA" w:rsidRDefault="005C3B98" w:rsidP="000967C7">
            <w:pPr>
              <w:jc w:val="left"/>
              <w:rPr>
                <w:rFonts w:ascii="Arial" w:hAnsi="Arial" w:cs="Arial"/>
                <w:i w:val="0"/>
                <w:color w:val="000000" w:themeColor="text1"/>
                <w:sz w:val="24"/>
              </w:rPr>
            </w:pPr>
            <w:r w:rsidRPr="004447AA">
              <w:rPr>
                <w:rFonts w:ascii="Arial" w:hAnsi="Arial" w:cs="Arial"/>
                <w:i w:val="0"/>
                <w:color w:val="000000" w:themeColor="text1"/>
                <w:sz w:val="24"/>
              </w:rPr>
              <w:t>Years of education</w:t>
            </w:r>
          </w:p>
        </w:tc>
        <w:tc>
          <w:tcPr>
            <w:tcW w:w="1770" w:type="dxa"/>
            <w:tcBorders>
              <w:top w:val="single" w:sz="4" w:space="0" w:color="auto"/>
            </w:tcBorders>
            <w:shd w:val="clear" w:color="auto" w:fill="auto"/>
          </w:tcPr>
          <w:p w14:paraId="2DC3C78B" w14:textId="77777777" w:rsidR="005C3B98" w:rsidRPr="004447AA"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4447AA">
              <w:rPr>
                <w:rFonts w:ascii="Arial" w:hAnsi="Arial" w:cs="Arial"/>
                <w:color w:val="000000" w:themeColor="text1"/>
                <w:szCs w:val="22"/>
              </w:rPr>
              <w:t>71.4</w:t>
            </w:r>
          </w:p>
          <w:p w14:paraId="4ACADB10" w14:textId="77777777" w:rsidR="005C3B98"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19.43 (1.23)</w:t>
            </w:r>
          </w:p>
          <w:p w14:paraId="6342DE29" w14:textId="77777777" w:rsidR="005C3B98" w:rsidRPr="004447AA"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rPr>
            </w:pPr>
            <w:r w:rsidRPr="004447AA">
              <w:rPr>
                <w:rFonts w:ascii="Arial" w:hAnsi="Arial" w:cs="Arial"/>
                <w:color w:val="000000" w:themeColor="text1"/>
                <w:szCs w:val="22"/>
              </w:rPr>
              <w:t>13.63 (1.12)</w:t>
            </w:r>
          </w:p>
        </w:tc>
      </w:tr>
      <w:tr w:rsidR="005C3B98" w:rsidRPr="004447AA" w14:paraId="37725B6C" w14:textId="77777777" w:rsidTr="004C0DB3">
        <w:trPr>
          <w:trHeight w:val="29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3462B85D" w14:textId="77777777" w:rsidR="005C3B98" w:rsidRPr="004447AA" w:rsidRDefault="005C3B98" w:rsidP="000967C7">
            <w:pPr>
              <w:jc w:val="left"/>
              <w:rPr>
                <w:rFonts w:ascii="Arial" w:hAnsi="Arial" w:cs="Arial"/>
                <w:i w:val="0"/>
                <w:color w:val="000000" w:themeColor="text1"/>
                <w:sz w:val="24"/>
              </w:rPr>
            </w:pPr>
            <w:r w:rsidRPr="004447AA">
              <w:rPr>
                <w:rFonts w:ascii="Arial" w:hAnsi="Arial" w:cs="Arial"/>
                <w:i w:val="0"/>
                <w:color w:val="000000" w:themeColor="text1"/>
                <w:sz w:val="24"/>
              </w:rPr>
              <w:t>Self-rated health</w:t>
            </w:r>
          </w:p>
        </w:tc>
        <w:tc>
          <w:tcPr>
            <w:tcW w:w="1770" w:type="dxa"/>
            <w:shd w:val="clear" w:color="auto" w:fill="auto"/>
          </w:tcPr>
          <w:p w14:paraId="4A4796D6" w14:textId="578A8BE5" w:rsidR="005C3B98" w:rsidRPr="004447AA" w:rsidRDefault="004C0DB3"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r w:rsidR="005C3B98" w:rsidRPr="004447AA">
              <w:rPr>
                <w:rFonts w:ascii="Arial" w:hAnsi="Arial" w:cs="Arial"/>
                <w:color w:val="000000" w:themeColor="text1"/>
              </w:rPr>
              <w:t>8.04 (1.45)</w:t>
            </w:r>
          </w:p>
        </w:tc>
      </w:tr>
      <w:tr w:rsidR="005C3B98" w:rsidRPr="004447AA" w14:paraId="605D7D30" w14:textId="77777777" w:rsidTr="004C0DB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392A033E" w14:textId="77777777" w:rsidR="005C3B98" w:rsidRPr="004447AA" w:rsidRDefault="005C3B98" w:rsidP="000967C7">
            <w:pPr>
              <w:jc w:val="left"/>
              <w:rPr>
                <w:rFonts w:ascii="Arial" w:hAnsi="Arial" w:cs="Arial"/>
                <w:i w:val="0"/>
                <w:color w:val="000000" w:themeColor="text1"/>
                <w:sz w:val="24"/>
              </w:rPr>
            </w:pPr>
            <w:r w:rsidRPr="004447AA">
              <w:rPr>
                <w:rFonts w:ascii="Arial" w:hAnsi="Arial" w:cs="Arial"/>
                <w:i w:val="0"/>
                <w:color w:val="000000" w:themeColor="text1"/>
                <w:sz w:val="24"/>
              </w:rPr>
              <w:t>Self-rated vision</w:t>
            </w:r>
          </w:p>
        </w:tc>
        <w:tc>
          <w:tcPr>
            <w:tcW w:w="1770" w:type="dxa"/>
            <w:shd w:val="clear" w:color="auto" w:fill="auto"/>
          </w:tcPr>
          <w:p w14:paraId="1BCB4688" w14:textId="356041EC" w:rsidR="005C3B98" w:rsidRPr="004447AA" w:rsidRDefault="004C0DB3"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r w:rsidR="005C3B98" w:rsidRPr="004447AA">
              <w:rPr>
                <w:rFonts w:ascii="Arial" w:hAnsi="Arial" w:cs="Arial"/>
                <w:color w:val="000000" w:themeColor="text1"/>
              </w:rPr>
              <w:t>9.14 (0.85)</w:t>
            </w:r>
          </w:p>
        </w:tc>
      </w:tr>
      <w:tr w:rsidR="005C3B98" w:rsidRPr="004447AA" w14:paraId="43DF8AAE" w14:textId="77777777" w:rsidTr="004C0DB3">
        <w:trPr>
          <w:trHeight w:val="29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7D987399" w14:textId="77777777" w:rsidR="005C3B98" w:rsidRPr="004447AA" w:rsidRDefault="005C3B98" w:rsidP="000967C7">
            <w:pPr>
              <w:jc w:val="left"/>
              <w:rPr>
                <w:rFonts w:ascii="Arial" w:hAnsi="Arial" w:cs="Arial"/>
                <w:i w:val="0"/>
                <w:color w:val="000000" w:themeColor="text1"/>
                <w:sz w:val="24"/>
              </w:rPr>
            </w:pPr>
            <w:r w:rsidRPr="004447AA">
              <w:rPr>
                <w:rFonts w:ascii="Arial" w:hAnsi="Arial" w:cs="Arial"/>
                <w:i w:val="0"/>
                <w:color w:val="000000" w:themeColor="text1"/>
                <w:sz w:val="24"/>
              </w:rPr>
              <w:t>Self-rated hearing</w:t>
            </w:r>
          </w:p>
        </w:tc>
        <w:tc>
          <w:tcPr>
            <w:tcW w:w="1770" w:type="dxa"/>
            <w:shd w:val="clear" w:color="auto" w:fill="auto"/>
          </w:tcPr>
          <w:p w14:paraId="5C97BAA1" w14:textId="1C18D4CD" w:rsidR="005C3B98" w:rsidRPr="004447AA" w:rsidRDefault="004C0DB3"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  </w:t>
            </w:r>
            <w:r w:rsidR="005C3B98" w:rsidRPr="004447AA">
              <w:rPr>
                <w:rFonts w:ascii="Arial" w:hAnsi="Arial" w:cs="Arial"/>
                <w:color w:val="000000" w:themeColor="text1"/>
              </w:rPr>
              <w:t>8.89 (1.37)</w:t>
            </w:r>
          </w:p>
        </w:tc>
      </w:tr>
      <w:tr w:rsidR="005C3B98" w:rsidRPr="004447AA" w14:paraId="1FD9B4DB" w14:textId="77777777" w:rsidTr="004C0DB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71D80708" w14:textId="77777777" w:rsidR="005C3B98" w:rsidRPr="004447AA" w:rsidRDefault="005C3B98" w:rsidP="000967C7">
            <w:pPr>
              <w:jc w:val="left"/>
              <w:rPr>
                <w:rFonts w:ascii="Arial" w:hAnsi="Arial" w:cs="Arial"/>
                <w:i w:val="0"/>
                <w:color w:val="000000" w:themeColor="text1"/>
                <w:sz w:val="24"/>
                <w:vertAlign w:val="superscript"/>
              </w:rPr>
            </w:pPr>
            <w:r w:rsidRPr="004447AA">
              <w:rPr>
                <w:rFonts w:ascii="Arial" w:hAnsi="Arial" w:cs="Arial"/>
                <w:i w:val="0"/>
                <w:color w:val="000000" w:themeColor="text1"/>
                <w:sz w:val="24"/>
              </w:rPr>
              <w:t xml:space="preserve">Speed of </w:t>
            </w:r>
            <w:proofErr w:type="spellStart"/>
            <w:r w:rsidRPr="004447AA">
              <w:rPr>
                <w:rFonts w:ascii="Arial" w:hAnsi="Arial" w:cs="Arial"/>
                <w:i w:val="0"/>
                <w:color w:val="000000" w:themeColor="text1"/>
                <w:sz w:val="24"/>
              </w:rPr>
              <w:t>processing</w:t>
            </w:r>
            <w:r w:rsidRPr="004447AA">
              <w:rPr>
                <w:rFonts w:ascii="Arial" w:hAnsi="Arial" w:cs="Arial"/>
                <w:i w:val="0"/>
                <w:color w:val="000000" w:themeColor="text1"/>
                <w:sz w:val="24"/>
                <w:vertAlign w:val="superscript"/>
              </w:rPr>
              <w:t>a</w:t>
            </w:r>
            <w:proofErr w:type="spellEnd"/>
          </w:p>
        </w:tc>
        <w:tc>
          <w:tcPr>
            <w:tcW w:w="1770" w:type="dxa"/>
            <w:shd w:val="clear" w:color="auto" w:fill="auto"/>
          </w:tcPr>
          <w:p w14:paraId="0792A53C" w14:textId="77777777" w:rsidR="005C3B98" w:rsidRPr="004447AA" w:rsidRDefault="005C3B98" w:rsidP="004C0D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447AA">
              <w:rPr>
                <w:rFonts w:ascii="Arial" w:hAnsi="Arial" w:cs="Arial"/>
                <w:color w:val="000000" w:themeColor="text1"/>
              </w:rPr>
              <w:t>66.04 (9.99)</w:t>
            </w:r>
          </w:p>
        </w:tc>
      </w:tr>
      <w:tr w:rsidR="005C3B98" w:rsidRPr="004447AA" w14:paraId="35D3C954" w14:textId="77777777" w:rsidTr="004C0DB3">
        <w:trPr>
          <w:trHeight w:val="429"/>
        </w:trPr>
        <w:tc>
          <w:tcPr>
            <w:cnfStyle w:val="001000000000" w:firstRow="0" w:lastRow="0" w:firstColumn="1" w:lastColumn="0" w:oddVBand="0" w:evenVBand="0" w:oddHBand="0" w:evenHBand="0" w:firstRowFirstColumn="0" w:firstRowLastColumn="0" w:lastRowFirstColumn="0" w:lastRowLastColumn="0"/>
            <w:tcW w:w="2910" w:type="dxa"/>
            <w:tcBorders>
              <w:bottom w:val="single" w:sz="4" w:space="0" w:color="auto"/>
            </w:tcBorders>
            <w:shd w:val="clear" w:color="auto" w:fill="auto"/>
          </w:tcPr>
          <w:p w14:paraId="7DFC0906" w14:textId="77777777" w:rsidR="005C3B98" w:rsidRPr="004447AA" w:rsidRDefault="005C3B98" w:rsidP="000967C7">
            <w:pPr>
              <w:jc w:val="left"/>
              <w:rPr>
                <w:rFonts w:ascii="Arial" w:hAnsi="Arial" w:cs="Arial"/>
                <w:i w:val="0"/>
                <w:color w:val="000000" w:themeColor="text1"/>
                <w:sz w:val="24"/>
                <w:vertAlign w:val="superscript"/>
              </w:rPr>
            </w:pPr>
            <w:proofErr w:type="spellStart"/>
            <w:r w:rsidRPr="004447AA">
              <w:rPr>
                <w:rFonts w:ascii="Arial" w:hAnsi="Arial" w:cs="Arial"/>
                <w:i w:val="0"/>
                <w:color w:val="000000" w:themeColor="text1"/>
                <w:sz w:val="24"/>
              </w:rPr>
              <w:t>Vocabulary</w:t>
            </w:r>
            <w:r w:rsidRPr="004447AA">
              <w:rPr>
                <w:rFonts w:ascii="Arial" w:hAnsi="Arial" w:cs="Arial"/>
                <w:i w:val="0"/>
                <w:color w:val="000000" w:themeColor="text1"/>
                <w:sz w:val="24"/>
                <w:vertAlign w:val="superscript"/>
              </w:rPr>
              <w:t>b</w:t>
            </w:r>
            <w:proofErr w:type="spellEnd"/>
          </w:p>
        </w:tc>
        <w:tc>
          <w:tcPr>
            <w:tcW w:w="1770" w:type="dxa"/>
            <w:tcBorders>
              <w:bottom w:val="single" w:sz="4" w:space="0" w:color="auto"/>
            </w:tcBorders>
            <w:shd w:val="clear" w:color="auto" w:fill="auto"/>
          </w:tcPr>
          <w:p w14:paraId="48F338B8" w14:textId="77777777" w:rsidR="005C3B98" w:rsidRPr="004447AA" w:rsidRDefault="005C3B98" w:rsidP="004C0DB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447AA">
              <w:rPr>
                <w:rFonts w:ascii="Arial" w:hAnsi="Arial" w:cs="Arial"/>
                <w:color w:val="000000" w:themeColor="text1"/>
              </w:rPr>
              <w:t>25.41 (2.33)</w:t>
            </w:r>
          </w:p>
        </w:tc>
      </w:tr>
    </w:tbl>
    <w:p w14:paraId="18DF773B" w14:textId="77777777" w:rsidR="005C3B98" w:rsidRPr="004447AA" w:rsidRDefault="005C3B98" w:rsidP="005C3B98">
      <w:pPr>
        <w:autoSpaceDE w:val="0"/>
        <w:autoSpaceDN w:val="0"/>
        <w:adjustRightInd w:val="0"/>
        <w:spacing w:after="240" w:line="260" w:lineRule="atLeast"/>
        <w:jc w:val="both"/>
        <w:rPr>
          <w:rFonts w:ascii="Arial" w:hAnsi="Arial" w:cs="Arial"/>
          <w:color w:val="000000" w:themeColor="text1"/>
        </w:rPr>
      </w:pPr>
      <w:r w:rsidRPr="004447AA">
        <w:rPr>
          <w:rFonts w:ascii="Arial" w:hAnsi="Arial" w:cs="Arial"/>
          <w:i/>
          <w:iCs/>
          <w:color w:val="000000" w:themeColor="text1"/>
        </w:rPr>
        <w:t xml:space="preserve">Note. </w:t>
      </w:r>
      <w:r w:rsidRPr="004447AA">
        <w:rPr>
          <w:rFonts w:ascii="Arial" w:hAnsi="Arial" w:cs="Arial"/>
          <w:color w:val="000000" w:themeColor="text1"/>
        </w:rPr>
        <w:t>Scales for self-rated health, vision, and hearing ranged from 0 (poor) to 10 (excellent).</w:t>
      </w:r>
      <w:r w:rsidRPr="004447AA">
        <w:rPr>
          <w:rFonts w:ascii="MS Gothic" w:eastAsia="MS Gothic" w:hAnsi="MS Gothic" w:cs="MS Gothic" w:hint="eastAsia"/>
          <w:color w:val="000000" w:themeColor="text1"/>
        </w:rPr>
        <w:t> </w:t>
      </w:r>
      <w:r w:rsidRPr="004447AA">
        <w:rPr>
          <w:rFonts w:ascii="Arial" w:hAnsi="Arial" w:cs="Arial"/>
          <w:color w:val="000000" w:themeColor="text1"/>
          <w:position w:val="8"/>
        </w:rPr>
        <w:t xml:space="preserve">a </w:t>
      </w:r>
      <w:r w:rsidRPr="004447AA">
        <w:rPr>
          <w:rFonts w:ascii="Arial" w:hAnsi="Arial" w:cs="Arial"/>
          <w:color w:val="000000" w:themeColor="text1"/>
        </w:rPr>
        <w:t xml:space="preserve">Digit Symbol Substitution Test (DSST; Wechsler, 1981). </w:t>
      </w:r>
      <w:r w:rsidRPr="004447AA">
        <w:rPr>
          <w:rFonts w:ascii="Arial" w:hAnsi="Arial" w:cs="Arial"/>
          <w:color w:val="000000" w:themeColor="text1"/>
          <w:position w:val="8"/>
        </w:rPr>
        <w:t xml:space="preserve">b </w:t>
      </w:r>
      <w:proofErr w:type="spellStart"/>
      <w:r w:rsidRPr="004447AA">
        <w:rPr>
          <w:rFonts w:ascii="Arial" w:hAnsi="Arial" w:cs="Arial"/>
          <w:color w:val="000000" w:themeColor="text1"/>
        </w:rPr>
        <w:t>Ekstrom</w:t>
      </w:r>
      <w:proofErr w:type="spellEnd"/>
      <w:r w:rsidRPr="004447AA">
        <w:rPr>
          <w:rFonts w:ascii="Arial" w:hAnsi="Arial" w:cs="Arial"/>
          <w:color w:val="000000" w:themeColor="text1"/>
        </w:rPr>
        <w:t xml:space="preserve">, French, Harman, and </w:t>
      </w:r>
      <w:proofErr w:type="spellStart"/>
      <w:r w:rsidRPr="004447AA">
        <w:rPr>
          <w:rFonts w:ascii="Arial" w:hAnsi="Arial" w:cs="Arial"/>
          <w:color w:val="000000" w:themeColor="text1"/>
        </w:rPr>
        <w:t>Dermen</w:t>
      </w:r>
      <w:proofErr w:type="spellEnd"/>
      <w:r w:rsidRPr="004447AA">
        <w:rPr>
          <w:rFonts w:ascii="Arial" w:hAnsi="Arial" w:cs="Arial"/>
          <w:color w:val="000000" w:themeColor="text1"/>
        </w:rPr>
        <w:t xml:space="preserve"> (1976) Synonyms Test. </w:t>
      </w:r>
    </w:p>
    <w:p w14:paraId="4FEDD27F" w14:textId="77777777" w:rsidR="005C3B98" w:rsidRPr="004447AA" w:rsidRDefault="005C3B98" w:rsidP="005C3B98">
      <w:pPr>
        <w:spacing w:line="480" w:lineRule="auto"/>
        <w:jc w:val="both"/>
        <w:rPr>
          <w:rFonts w:ascii="Arial" w:hAnsi="Arial" w:cs="Arial"/>
          <w:color w:val="000000" w:themeColor="text1"/>
        </w:rPr>
      </w:pPr>
    </w:p>
    <w:p w14:paraId="00B41910" w14:textId="77777777" w:rsidR="005C3B98" w:rsidRPr="004447AA" w:rsidRDefault="005C3B98" w:rsidP="005C3B98">
      <w:pPr>
        <w:jc w:val="both"/>
        <w:rPr>
          <w:rFonts w:ascii="Arial" w:hAnsi="Arial" w:cs="Arial"/>
          <w:color w:val="000000" w:themeColor="text1"/>
        </w:rPr>
      </w:pPr>
      <w:r w:rsidRPr="004447AA">
        <w:rPr>
          <w:noProof/>
          <w:color w:val="000000" w:themeColor="text1"/>
        </w:rPr>
        <w:lastRenderedPageBreak/>
        <mc:AlternateContent>
          <mc:Choice Requires="wpg">
            <w:drawing>
              <wp:anchor distT="0" distB="0" distL="114300" distR="114300" simplePos="0" relativeHeight="251659264" behindDoc="0" locked="0" layoutInCell="1" allowOverlap="1" wp14:anchorId="047A185D" wp14:editId="5B054B73">
                <wp:simplePos x="0" y="0"/>
                <wp:positionH relativeFrom="column">
                  <wp:posOffset>1227552</wp:posOffset>
                </wp:positionH>
                <wp:positionV relativeFrom="paragraph">
                  <wp:posOffset>476641</wp:posOffset>
                </wp:positionV>
                <wp:extent cx="411670" cy="285750"/>
                <wp:effectExtent l="0" t="0" r="20320" b="6350"/>
                <wp:wrapNone/>
                <wp:docPr id="17" name="Group 17"/>
                <wp:cNvGraphicFramePr/>
                <a:graphic xmlns:a="http://schemas.openxmlformats.org/drawingml/2006/main">
                  <a:graphicData uri="http://schemas.microsoft.com/office/word/2010/wordprocessingGroup">
                    <wpg:wgp>
                      <wpg:cNvGrpSpPr/>
                      <wpg:grpSpPr>
                        <a:xfrm>
                          <a:off x="0" y="0"/>
                          <a:ext cx="411670" cy="285750"/>
                          <a:chOff x="0" y="0"/>
                          <a:chExt cx="411670" cy="285750"/>
                        </a:xfrm>
                      </wpg:grpSpPr>
                      <wps:wsp>
                        <wps:cNvPr id="2" name="Straight Connector 2"/>
                        <wps:cNvCnPr/>
                        <wps:spPr>
                          <a:xfrm flipV="1">
                            <a:off x="0" y="182880"/>
                            <a:ext cx="4102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 name="Text Box 3"/>
                        <wps:cNvSpPr txBox="1"/>
                        <wps:spPr>
                          <a:xfrm>
                            <a:off x="71120" y="0"/>
                            <a:ext cx="274320" cy="285750"/>
                          </a:xfrm>
                          <a:prstGeom prst="rect">
                            <a:avLst/>
                          </a:prstGeom>
                          <a:noFill/>
                          <a:ln w="6350">
                            <a:noFill/>
                          </a:ln>
                        </wps:spPr>
                        <wps:txbx>
                          <w:txbxContent>
                            <w:p w14:paraId="54EF704D" w14:textId="77777777" w:rsidR="005C3B98" w:rsidRDefault="005C3B98" w:rsidP="005C3B9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flipH="1" flipV="1">
                            <a:off x="5080" y="177800"/>
                            <a:ext cx="190" cy="792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flipV="1">
                            <a:off x="411480" y="177800"/>
                            <a:ext cx="190" cy="792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7A185D" id="Group 17" o:spid="_x0000_s1026" style="position:absolute;left:0;text-align:left;margin-left:96.65pt;margin-top:37.55pt;width:32.4pt;height:22.5pt;z-index:251659264" coordsize="411670,285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">
                <v:line id="Straight Connector 2" o:spid="_x0000_s1027" style="position:absolute;flip:y;visibility:visible;mso-wrap-style:square" from="0,182880" to="410210,182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" strokecolor="black [3213]">
                  <v:stroke joinstyle="miter"/>
                </v:line>
                <v:shapetype id="_x0000_t202" coordsize="21600,21600" o:spt="202" path="m,l,21600r21600,l21600,xe">
                  <v:stroke joinstyle="miter"/>
                  <v:path gradientshapeok="t" o:connecttype="rect"/>
                </v:shapetype>
                <v:shape id="Text Box 3" o:spid="_x0000_s1028" type="#_x0000_t202" style="position:absolute;left:71120;width:274320;height:285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14:paraId="54EF704D" w14:textId="77777777" w:rsidR="005C3B98" w:rsidRDefault="005C3B98" w:rsidP="005C3B98">
                        <w:r>
                          <w:t>*</w:t>
                        </w:r>
                      </w:p>
                    </w:txbxContent>
                  </v:textbox>
                </v:shape>
                <v:line id="Straight Connector 11" o:spid="_x0000_s1029" style="position:absolute;flip:x y;visibility:visible;mso-wrap-style:square" from="5080,177800" to="5270,257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" strokecolor="black [3213]">
                  <v:stroke joinstyle="miter"/>
                </v:line>
                <v:line id="Straight Connector 12" o:spid="_x0000_s1030" style="position:absolute;flip:x y;visibility:visible;mso-wrap-style:square" from="411480,177800" to="411670,257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" strokecolor="black [3213]">
                  <v:stroke joinstyle="miter"/>
                </v:line>
              </v:group>
            </w:pict>
          </mc:Fallback>
        </mc:AlternateContent>
      </w:r>
      <w:r w:rsidRPr="004447AA">
        <w:rPr>
          <w:noProof/>
          <w:color w:val="000000" w:themeColor="text1"/>
        </w:rPr>
        <w:drawing>
          <wp:inline distT="0" distB="0" distL="0" distR="0" wp14:anchorId="752C664C" wp14:editId="435D648D">
            <wp:extent cx="41275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27500" cy="3657600"/>
                    </a:xfrm>
                    <a:prstGeom prst="rect">
                      <a:avLst/>
                    </a:prstGeom>
                  </pic:spPr>
                </pic:pic>
              </a:graphicData>
            </a:graphic>
          </wp:inline>
        </w:drawing>
      </w:r>
    </w:p>
    <w:p w14:paraId="18321B2F" w14:textId="77777777" w:rsidR="005C3B98" w:rsidRPr="004447AA" w:rsidRDefault="005C3B98" w:rsidP="005C3B98">
      <w:pPr>
        <w:jc w:val="both"/>
        <w:rPr>
          <w:rFonts w:ascii="Arial" w:hAnsi="Arial" w:cs="Arial"/>
          <w:color w:val="000000" w:themeColor="text1"/>
        </w:rPr>
      </w:pPr>
    </w:p>
    <w:p w14:paraId="55499F88" w14:textId="452C3690" w:rsidR="005C3B98" w:rsidRPr="004447AA" w:rsidRDefault="005C3B98" w:rsidP="005C3B98">
      <w:pPr>
        <w:jc w:val="both"/>
        <w:rPr>
          <w:rFonts w:ascii="Arial" w:hAnsi="Arial" w:cs="Arial"/>
          <w:color w:val="000000" w:themeColor="text1"/>
        </w:rPr>
      </w:pPr>
      <w:r w:rsidRPr="00A670C3">
        <w:rPr>
          <w:rFonts w:ascii="Arial" w:hAnsi="Arial" w:cs="Arial"/>
          <w:b/>
          <w:bCs/>
          <w:i/>
          <w:color w:val="000000" w:themeColor="text1"/>
        </w:rPr>
        <w:t>Supplementary Figure 1.</w:t>
      </w:r>
      <w:r w:rsidRPr="004447AA">
        <w:rPr>
          <w:rFonts w:ascii="Arial" w:hAnsi="Arial" w:cs="Arial"/>
          <w:color w:val="000000" w:themeColor="text1"/>
        </w:rPr>
        <w:t xml:space="preserve"> Performance (</w:t>
      </w:r>
      <w:r w:rsidRPr="004447AA">
        <w:rPr>
          <w:rFonts w:ascii="Arial" w:hAnsi="Arial" w:cs="Arial"/>
          <w:i/>
          <w:color w:val="000000" w:themeColor="text1"/>
        </w:rPr>
        <w:t>d’</w:t>
      </w:r>
      <w:r w:rsidRPr="004447AA">
        <w:rPr>
          <w:rFonts w:ascii="Arial" w:hAnsi="Arial" w:cs="Arial"/>
          <w:color w:val="000000" w:themeColor="text1"/>
        </w:rPr>
        <w:t xml:space="preserve">) by task type (item, associative) and confidence block (ratings present, ratings absent). Errors bars show standard error. </w:t>
      </w:r>
    </w:p>
    <w:p w14:paraId="38ADCCDD" w14:textId="7E99080F" w:rsidR="001E0599" w:rsidRDefault="001E0599" w:rsidP="001E0599">
      <w:pPr>
        <w:jc w:val="both"/>
        <w:rPr>
          <w:rFonts w:ascii="Arial" w:hAnsi="Arial" w:cs="Arial"/>
          <w:color w:val="000000" w:themeColor="text1"/>
        </w:rPr>
      </w:pPr>
    </w:p>
    <w:p w14:paraId="55078F9E" w14:textId="77777777" w:rsidR="00DA2D15" w:rsidRPr="006E491E" w:rsidRDefault="00DA2D15" w:rsidP="00DA2D15">
      <w:pPr>
        <w:jc w:val="both"/>
        <w:rPr>
          <w:rFonts w:ascii="Arial" w:hAnsi="Arial" w:cs="Arial"/>
          <w:color w:val="000000" w:themeColor="text1"/>
        </w:rPr>
      </w:pPr>
    </w:p>
    <w:p w14:paraId="4FD7161E" w14:textId="77777777" w:rsidR="001E0599" w:rsidRPr="006E491E" w:rsidRDefault="001E0599" w:rsidP="001E0599">
      <w:pPr>
        <w:jc w:val="both"/>
        <w:rPr>
          <w:rFonts w:ascii="Arial" w:hAnsi="Arial" w:cs="Arial"/>
          <w:color w:val="000000" w:themeColor="text1"/>
        </w:rPr>
      </w:pPr>
    </w:p>
    <w:p w14:paraId="25A1474A" w14:textId="77777777" w:rsidR="008079AC" w:rsidRPr="006E491E" w:rsidRDefault="008079AC" w:rsidP="008079AC">
      <w:pPr>
        <w:spacing w:line="480" w:lineRule="auto"/>
        <w:jc w:val="both"/>
        <w:rPr>
          <w:rFonts w:ascii="Arial" w:hAnsi="Arial" w:cs="Arial"/>
          <w:b/>
          <w:i/>
          <w:color w:val="000000" w:themeColor="text1"/>
        </w:rPr>
      </w:pPr>
      <w:r w:rsidRPr="006E491E">
        <w:rPr>
          <w:rFonts w:ascii="Arial" w:hAnsi="Arial" w:cs="Arial"/>
          <w:b/>
          <w:i/>
          <w:color w:val="000000" w:themeColor="text1"/>
        </w:rPr>
        <w:t>3 Gamma Coefficients</w:t>
      </w:r>
    </w:p>
    <w:p w14:paraId="3738AD09" w14:textId="04FF80C3" w:rsidR="008079AC" w:rsidRPr="006E491E" w:rsidRDefault="008079AC" w:rsidP="008079AC">
      <w:pPr>
        <w:ind w:firstLine="720"/>
        <w:jc w:val="both"/>
        <w:rPr>
          <w:rFonts w:ascii="Arial" w:hAnsi="Arial" w:cs="Arial"/>
          <w:color w:val="000000" w:themeColor="text1"/>
        </w:rPr>
      </w:pPr>
      <w:r w:rsidRPr="006E491E">
        <w:rPr>
          <w:rFonts w:ascii="Arial" w:hAnsi="Arial" w:cs="Arial"/>
          <w:i/>
          <w:iCs/>
          <w:color w:val="000000" w:themeColor="text1"/>
        </w:rPr>
        <w:t xml:space="preserve"> </w:t>
      </w:r>
      <w:r w:rsidRPr="006E491E">
        <w:rPr>
          <w:rFonts w:ascii="Arial" w:hAnsi="Arial" w:cs="Arial"/>
          <w:color w:val="000000" w:themeColor="text1"/>
        </w:rPr>
        <w:t xml:space="preserve">The results from the metacognitive efficiency analyses provided compelling support for the age-equivalent monitoring hypothesis. To test this hypothesis further, we analyzed Goodman-Kruskal gamma coefficients, one of the most </w:t>
      </w:r>
      <w:r w:rsidR="00011D82" w:rsidRPr="006E491E">
        <w:rPr>
          <w:rFonts w:ascii="Arial" w:hAnsi="Arial" w:cs="Arial"/>
          <w:color w:val="000000" w:themeColor="text1"/>
        </w:rPr>
        <w:t>widely used</w:t>
      </w:r>
      <w:r w:rsidRPr="006E491E">
        <w:rPr>
          <w:rFonts w:ascii="Arial" w:hAnsi="Arial" w:cs="Arial"/>
          <w:color w:val="000000" w:themeColor="text1"/>
        </w:rPr>
        <w:t xml:space="preserve"> measures in metacognitive aging (e.g., Eakin et al., 2014; Tauber &amp; </w:t>
      </w:r>
      <w:proofErr w:type="spellStart"/>
      <w:r w:rsidRPr="006E491E">
        <w:rPr>
          <w:rFonts w:ascii="Arial" w:hAnsi="Arial" w:cs="Arial"/>
          <w:color w:val="000000" w:themeColor="text1"/>
        </w:rPr>
        <w:t>Dunlosky</w:t>
      </w:r>
      <w:proofErr w:type="spellEnd"/>
      <w:r w:rsidRPr="006E491E">
        <w:rPr>
          <w:rFonts w:ascii="Arial" w:hAnsi="Arial" w:cs="Arial"/>
          <w:color w:val="000000" w:themeColor="text1"/>
        </w:rPr>
        <w:t xml:space="preserve">, 2012; Wong et al., 2012). A 2 (younger, older) X 2 (item, associative) ANOVA with gamma coefficients as the dependent variable supported the age-equivalence analyses of metacognitive efficiency. The main effect of age was nonsignificant, </w:t>
      </w:r>
      <w:r w:rsidRPr="006E491E">
        <w:rPr>
          <w:rFonts w:ascii="Arial" w:hAnsi="Arial" w:cs="Arial"/>
          <w:i/>
          <w:iCs/>
          <w:color w:val="000000" w:themeColor="text1"/>
        </w:rPr>
        <w:t xml:space="preserve">F </w:t>
      </w:r>
      <w:r w:rsidRPr="006E491E">
        <w:rPr>
          <w:rFonts w:ascii="Arial" w:hAnsi="Arial" w:cs="Arial"/>
          <w:color w:val="000000" w:themeColor="text1"/>
        </w:rPr>
        <w:t xml:space="preserve">(1,47) = 1.36, </w:t>
      </w:r>
      <w:r w:rsidRPr="006E491E">
        <w:rPr>
          <w:rFonts w:ascii="Arial" w:hAnsi="Arial" w:cs="Arial"/>
          <w:i/>
          <w:iCs/>
          <w:color w:val="000000" w:themeColor="text1"/>
        </w:rPr>
        <w:t xml:space="preserve">p </w:t>
      </w:r>
      <w:r w:rsidRPr="006E491E">
        <w:rPr>
          <w:rFonts w:ascii="Arial" w:hAnsi="Arial" w:cs="Arial"/>
          <w:color w:val="000000" w:themeColor="text1"/>
        </w:rPr>
        <w:t>= .249,</w:t>
      </w:r>
      <w:r w:rsidRPr="006E491E">
        <w:rPr>
          <w:rFonts w:ascii="Arial" w:hAnsi="Arial" w:cs="Arial"/>
          <w:i/>
          <w:color w:val="000000" w:themeColor="text1"/>
        </w:rPr>
        <w:t xml:space="preserve"> η</w:t>
      </w:r>
      <w:r w:rsidRPr="006E491E">
        <w:rPr>
          <w:rFonts w:ascii="Arial" w:hAnsi="Arial" w:cs="Arial"/>
          <w:i/>
          <w:color w:val="000000" w:themeColor="text1"/>
          <w:vertAlign w:val="subscript"/>
        </w:rPr>
        <w:t>p</w:t>
      </w:r>
      <w:r w:rsidRPr="006E491E">
        <w:rPr>
          <w:rFonts w:ascii="Arial" w:hAnsi="Arial" w:cs="Arial"/>
          <w:i/>
          <w:color w:val="000000" w:themeColor="text1"/>
          <w:vertAlign w:val="superscript"/>
        </w:rPr>
        <w:t>2</w:t>
      </w:r>
      <w:r w:rsidRPr="006E491E">
        <w:rPr>
          <w:rFonts w:ascii="Arial" w:hAnsi="Arial" w:cs="Arial"/>
          <w:i/>
          <w:color w:val="000000" w:themeColor="text1"/>
        </w:rPr>
        <w:t xml:space="preserve"> </w:t>
      </w:r>
      <w:r w:rsidRPr="006E491E">
        <w:rPr>
          <w:rFonts w:ascii="Arial" w:hAnsi="Arial" w:cs="Arial"/>
          <w:color w:val="000000" w:themeColor="text1"/>
        </w:rPr>
        <w:t>= .028). Mean gammas were equivalent between younger (</w:t>
      </w:r>
      <w:r w:rsidRPr="006E491E">
        <w:rPr>
          <w:rFonts w:ascii="Arial" w:hAnsi="Arial" w:cs="Arial"/>
          <w:i/>
          <w:color w:val="000000" w:themeColor="text1"/>
        </w:rPr>
        <w:t xml:space="preserve">M = </w:t>
      </w:r>
      <w:r w:rsidRPr="006E491E">
        <w:rPr>
          <w:rFonts w:ascii="Arial" w:hAnsi="Arial" w:cs="Arial"/>
          <w:color w:val="000000" w:themeColor="text1"/>
        </w:rPr>
        <w:t xml:space="preserve">.52, </w:t>
      </w:r>
      <w:r w:rsidRPr="006E491E">
        <w:rPr>
          <w:rFonts w:ascii="Arial" w:hAnsi="Arial" w:cs="Arial"/>
          <w:i/>
          <w:color w:val="000000" w:themeColor="text1"/>
        </w:rPr>
        <w:t xml:space="preserve">SD </w:t>
      </w:r>
      <w:r w:rsidRPr="006E491E">
        <w:rPr>
          <w:rFonts w:ascii="Arial" w:hAnsi="Arial" w:cs="Arial"/>
          <w:color w:val="000000" w:themeColor="text1"/>
        </w:rPr>
        <w:t>= .05) and older adults (</w:t>
      </w:r>
      <w:r w:rsidRPr="006E491E">
        <w:rPr>
          <w:rFonts w:ascii="Arial" w:hAnsi="Arial" w:cs="Arial"/>
          <w:i/>
          <w:color w:val="000000" w:themeColor="text1"/>
        </w:rPr>
        <w:t xml:space="preserve">M = </w:t>
      </w:r>
      <w:r w:rsidRPr="006E491E">
        <w:rPr>
          <w:rFonts w:ascii="Arial" w:hAnsi="Arial" w:cs="Arial"/>
          <w:color w:val="000000" w:themeColor="text1"/>
        </w:rPr>
        <w:t xml:space="preserve">.44, </w:t>
      </w:r>
      <w:r w:rsidRPr="006E491E">
        <w:rPr>
          <w:rFonts w:ascii="Arial" w:hAnsi="Arial" w:cs="Arial"/>
          <w:i/>
          <w:color w:val="000000" w:themeColor="text1"/>
        </w:rPr>
        <w:t xml:space="preserve">SD </w:t>
      </w:r>
      <w:r w:rsidRPr="006E491E">
        <w:rPr>
          <w:rFonts w:ascii="Arial" w:hAnsi="Arial" w:cs="Arial"/>
          <w:color w:val="000000" w:themeColor="text1"/>
        </w:rPr>
        <w:t xml:space="preserve">= .05). Moreover, these values were significantly greater than zero, both </w:t>
      </w:r>
      <w:r w:rsidRPr="006E491E">
        <w:rPr>
          <w:rFonts w:ascii="Arial" w:hAnsi="Arial" w:cs="Arial"/>
          <w:i/>
          <w:iCs/>
          <w:color w:val="000000" w:themeColor="text1"/>
        </w:rPr>
        <w:t>t’</w:t>
      </w:r>
      <w:r w:rsidRPr="006E491E">
        <w:rPr>
          <w:rFonts w:ascii="Arial" w:hAnsi="Arial" w:cs="Arial"/>
          <w:color w:val="000000" w:themeColor="text1"/>
        </w:rPr>
        <w:t xml:space="preserve">s &gt; 9.00, both </w:t>
      </w:r>
      <w:r w:rsidRPr="006E491E">
        <w:rPr>
          <w:rFonts w:ascii="Arial" w:hAnsi="Arial" w:cs="Arial"/>
          <w:i/>
          <w:iCs/>
          <w:color w:val="000000" w:themeColor="text1"/>
        </w:rPr>
        <w:t>p</w:t>
      </w:r>
      <w:r w:rsidRPr="006E491E">
        <w:rPr>
          <w:rFonts w:ascii="Arial" w:hAnsi="Arial" w:cs="Arial"/>
          <w:color w:val="000000" w:themeColor="text1"/>
        </w:rPr>
        <w:t xml:space="preserve">’s &lt; .001, indicating good metacognitive accuracy by both younger and older adults. </w:t>
      </w:r>
    </w:p>
    <w:p w14:paraId="1453133B" w14:textId="77777777" w:rsidR="008079AC" w:rsidRPr="006E491E" w:rsidRDefault="008079AC" w:rsidP="008079AC">
      <w:pPr>
        <w:ind w:firstLine="720"/>
        <w:contextualSpacing/>
        <w:jc w:val="both"/>
        <w:rPr>
          <w:rFonts w:ascii="Arial" w:hAnsi="Arial" w:cs="Arial"/>
          <w:color w:val="000000" w:themeColor="text1"/>
        </w:rPr>
      </w:pPr>
      <w:r w:rsidRPr="006E491E">
        <w:rPr>
          <w:rFonts w:ascii="Arial" w:hAnsi="Arial" w:cs="Arial"/>
          <w:color w:val="000000" w:themeColor="text1"/>
        </w:rPr>
        <w:t>We further assessed the evidence favoring the null over the alternative hypothesis of the impact of age, this time, on gamma coefficients, by calculating Bayes factor (BF). The results yielded BF</w:t>
      </w:r>
      <w:r w:rsidRPr="006E491E">
        <w:rPr>
          <w:rFonts w:ascii="Arial" w:hAnsi="Arial" w:cs="Arial"/>
          <w:color w:val="000000" w:themeColor="text1"/>
          <w:vertAlign w:val="subscript"/>
        </w:rPr>
        <w:t xml:space="preserve">01 </w:t>
      </w:r>
      <w:r w:rsidRPr="006E491E">
        <w:rPr>
          <w:rFonts w:ascii="Arial" w:hAnsi="Arial" w:cs="Arial"/>
          <w:color w:val="000000" w:themeColor="text1"/>
        </w:rPr>
        <w:t xml:space="preserve">= 3.48, indicating that the observed data favored the null hypothesis of age equivalence for metacognitive accuracy over the alternative by about 3.5 to 1, </w:t>
      </w:r>
      <w:proofErr w:type="spellStart"/>
      <w:r w:rsidRPr="006E491E">
        <w:rPr>
          <w:rFonts w:ascii="Arial" w:hAnsi="Arial" w:cs="Arial"/>
          <w:color w:val="000000" w:themeColor="text1"/>
        </w:rPr>
        <w:t>M</w:t>
      </w:r>
      <w:r w:rsidRPr="006E491E">
        <w:rPr>
          <w:rFonts w:ascii="Arial" w:hAnsi="Arial" w:cs="Arial"/>
          <w:color w:val="000000" w:themeColor="text1"/>
          <w:vertAlign w:val="subscript"/>
        </w:rPr>
        <w:t>dif</w:t>
      </w:r>
      <w:proofErr w:type="spellEnd"/>
      <w:r w:rsidRPr="006E491E">
        <w:rPr>
          <w:rFonts w:ascii="Arial" w:hAnsi="Arial" w:cs="Arial"/>
          <w:color w:val="000000" w:themeColor="text1"/>
        </w:rPr>
        <w:t xml:space="preserve"> = .08, </w:t>
      </w:r>
      <w:proofErr w:type="gramStart"/>
      <w:r w:rsidRPr="006E491E">
        <w:rPr>
          <w:rFonts w:ascii="Arial" w:hAnsi="Arial" w:cs="Arial"/>
          <w:i/>
          <w:color w:val="000000" w:themeColor="text1"/>
        </w:rPr>
        <w:t>t</w:t>
      </w:r>
      <w:r w:rsidRPr="006E491E">
        <w:rPr>
          <w:rFonts w:ascii="Arial" w:hAnsi="Arial" w:cs="Arial"/>
          <w:color w:val="000000" w:themeColor="text1"/>
        </w:rPr>
        <w:t>(</w:t>
      </w:r>
      <w:proofErr w:type="gramEnd"/>
      <w:r w:rsidRPr="006E491E">
        <w:rPr>
          <w:rFonts w:ascii="Arial" w:hAnsi="Arial" w:cs="Arial"/>
          <w:color w:val="000000" w:themeColor="text1"/>
        </w:rPr>
        <w:t xml:space="preserve">47) = 1.17, </w:t>
      </w:r>
      <w:r w:rsidRPr="006E491E">
        <w:rPr>
          <w:rFonts w:ascii="Arial" w:hAnsi="Arial" w:cs="Arial"/>
          <w:i/>
          <w:color w:val="000000" w:themeColor="text1"/>
        </w:rPr>
        <w:t>p</w:t>
      </w:r>
      <w:r w:rsidRPr="006E491E">
        <w:rPr>
          <w:rFonts w:ascii="Arial" w:hAnsi="Arial" w:cs="Arial"/>
          <w:color w:val="000000" w:themeColor="text1"/>
        </w:rPr>
        <w:t xml:space="preserve"> = .249. The posterior probability for the null is 0.7768 and for the alternative is 0.2232. </w:t>
      </w:r>
    </w:p>
    <w:p w14:paraId="5215738F" w14:textId="77777777" w:rsidR="008079AC" w:rsidRPr="006E491E" w:rsidRDefault="008079AC" w:rsidP="008079AC">
      <w:pPr>
        <w:ind w:firstLine="720"/>
        <w:jc w:val="both"/>
        <w:rPr>
          <w:rFonts w:ascii="Arial" w:hAnsi="Arial" w:cs="Arial"/>
          <w:color w:val="000000" w:themeColor="text1"/>
        </w:rPr>
      </w:pPr>
      <w:r w:rsidRPr="006E491E">
        <w:rPr>
          <w:rFonts w:ascii="Arial" w:hAnsi="Arial" w:cs="Arial"/>
          <w:color w:val="000000" w:themeColor="text1"/>
        </w:rPr>
        <w:lastRenderedPageBreak/>
        <w:t xml:space="preserve">In contrast to the results for metacognitive efficiency, the main effect of test type on gamma coefficients was nonsignificant, </w:t>
      </w:r>
      <w:r w:rsidRPr="006E491E">
        <w:rPr>
          <w:rFonts w:ascii="Arial" w:hAnsi="Arial" w:cs="Arial"/>
          <w:i/>
          <w:color w:val="000000" w:themeColor="text1"/>
        </w:rPr>
        <w:t>F</w:t>
      </w:r>
      <w:r w:rsidRPr="006E491E">
        <w:rPr>
          <w:rFonts w:ascii="Arial" w:hAnsi="Arial" w:cs="Arial"/>
          <w:color w:val="000000" w:themeColor="text1"/>
        </w:rPr>
        <w:t xml:space="preserve"> (1,47) = .243, </w:t>
      </w:r>
      <w:r w:rsidRPr="006E491E">
        <w:rPr>
          <w:rFonts w:ascii="Arial" w:hAnsi="Arial" w:cs="Arial"/>
          <w:i/>
          <w:color w:val="000000" w:themeColor="text1"/>
        </w:rPr>
        <w:t>p</w:t>
      </w:r>
      <w:r w:rsidRPr="006E491E">
        <w:rPr>
          <w:rFonts w:ascii="Arial" w:hAnsi="Arial" w:cs="Arial"/>
          <w:color w:val="000000" w:themeColor="text1"/>
        </w:rPr>
        <w:t xml:space="preserve"> = .624, </w:t>
      </w:r>
      <w:r w:rsidRPr="006E491E">
        <w:rPr>
          <w:rFonts w:ascii="Arial" w:hAnsi="Arial" w:cs="Arial"/>
          <w:i/>
          <w:color w:val="000000" w:themeColor="text1"/>
        </w:rPr>
        <w:t>η</w:t>
      </w:r>
      <w:r w:rsidRPr="006E491E">
        <w:rPr>
          <w:rFonts w:ascii="Arial" w:hAnsi="Arial" w:cs="Arial"/>
          <w:i/>
          <w:color w:val="000000" w:themeColor="text1"/>
          <w:vertAlign w:val="subscript"/>
        </w:rPr>
        <w:t>p</w:t>
      </w:r>
      <w:r w:rsidRPr="006E491E">
        <w:rPr>
          <w:rFonts w:ascii="Arial" w:hAnsi="Arial" w:cs="Arial"/>
          <w:i/>
          <w:color w:val="000000" w:themeColor="text1"/>
          <w:vertAlign w:val="superscript"/>
        </w:rPr>
        <w:t>2</w:t>
      </w:r>
      <w:r w:rsidRPr="006E491E">
        <w:rPr>
          <w:rFonts w:ascii="Arial" w:hAnsi="Arial" w:cs="Arial"/>
          <w:color w:val="000000" w:themeColor="text1"/>
        </w:rPr>
        <w:t>= .005.</w:t>
      </w:r>
    </w:p>
    <w:p w14:paraId="1BFF0679" w14:textId="77777777" w:rsidR="008079AC" w:rsidRPr="006E491E" w:rsidRDefault="008079AC" w:rsidP="008079AC">
      <w:pPr>
        <w:ind w:firstLine="720"/>
        <w:jc w:val="both"/>
        <w:rPr>
          <w:rFonts w:ascii="Arial" w:hAnsi="Arial" w:cs="Arial"/>
          <w:color w:val="000000" w:themeColor="text1"/>
        </w:rPr>
      </w:pPr>
      <w:r w:rsidRPr="006E491E">
        <w:rPr>
          <w:rFonts w:ascii="Arial" w:hAnsi="Arial" w:cs="Arial"/>
          <w:color w:val="000000" w:themeColor="text1"/>
        </w:rPr>
        <w:t>The age by test type interaction was nonsignificant, (</w:t>
      </w:r>
      <w:r w:rsidRPr="006E491E">
        <w:rPr>
          <w:rFonts w:ascii="Arial" w:hAnsi="Arial" w:cs="Arial"/>
          <w:i/>
          <w:iCs/>
          <w:color w:val="000000" w:themeColor="text1"/>
        </w:rPr>
        <w:t>F</w:t>
      </w:r>
      <w:r w:rsidRPr="006E491E">
        <w:rPr>
          <w:rFonts w:ascii="Arial" w:hAnsi="Arial" w:cs="Arial"/>
          <w:color w:val="000000" w:themeColor="text1"/>
        </w:rPr>
        <w:t xml:space="preserve"> &lt; 1). </w:t>
      </w:r>
    </w:p>
    <w:p w14:paraId="21A81B69" w14:textId="77777777" w:rsidR="008079AC" w:rsidRPr="006E491E" w:rsidRDefault="008079AC" w:rsidP="008079AC">
      <w:pPr>
        <w:spacing w:line="480" w:lineRule="auto"/>
        <w:jc w:val="both"/>
        <w:rPr>
          <w:rFonts w:ascii="Arial" w:hAnsi="Arial" w:cs="Arial"/>
          <w:color w:val="000000" w:themeColor="text1"/>
        </w:rPr>
      </w:pPr>
    </w:p>
    <w:p w14:paraId="4CA876F6" w14:textId="77777777" w:rsidR="001E0599" w:rsidRPr="006E491E" w:rsidRDefault="001E0599" w:rsidP="001E0599">
      <w:pPr>
        <w:spacing w:line="480" w:lineRule="auto"/>
        <w:jc w:val="both"/>
        <w:rPr>
          <w:rFonts w:ascii="Arial" w:hAnsi="Arial" w:cs="Arial"/>
          <w:b/>
          <w:bCs/>
          <w:color w:val="000000" w:themeColor="text1"/>
        </w:rPr>
      </w:pPr>
    </w:p>
    <w:p w14:paraId="4BA6F01B" w14:textId="77777777" w:rsidR="00A670C3" w:rsidRPr="006E491E" w:rsidRDefault="00A670C3" w:rsidP="002674E1">
      <w:pPr>
        <w:spacing w:line="480" w:lineRule="auto"/>
        <w:ind w:firstLine="720"/>
        <w:jc w:val="both"/>
        <w:rPr>
          <w:rFonts w:ascii="Arial" w:hAnsi="Arial" w:cs="Arial"/>
          <w:color w:val="000000" w:themeColor="text1"/>
        </w:rPr>
      </w:pPr>
    </w:p>
    <w:p w14:paraId="6C48324D" w14:textId="2938647F" w:rsidR="002674E1" w:rsidRPr="006E491E" w:rsidRDefault="002674E1" w:rsidP="00A670C3">
      <w:pPr>
        <w:shd w:val="clear" w:color="auto" w:fill="FFFFFF"/>
        <w:spacing w:line="480" w:lineRule="auto"/>
        <w:rPr>
          <w:rFonts w:ascii="Arial" w:eastAsia="Times New Roman" w:hAnsi="Arial" w:cs="Arial"/>
          <w:color w:val="000000" w:themeColor="text1"/>
        </w:rPr>
      </w:pPr>
      <w:r w:rsidRPr="006E491E">
        <w:rPr>
          <w:rFonts w:ascii="Arial" w:eastAsia="Times New Roman" w:hAnsi="Arial" w:cs="Arial"/>
          <w:b/>
          <w:bCs/>
          <w:color w:val="000000" w:themeColor="text1"/>
        </w:rPr>
        <w:t>Supplementa</w:t>
      </w:r>
      <w:r w:rsidR="00D3314B" w:rsidRPr="006E491E">
        <w:rPr>
          <w:rFonts w:ascii="Arial" w:eastAsia="Times New Roman" w:hAnsi="Arial" w:cs="Arial"/>
          <w:b/>
          <w:bCs/>
          <w:color w:val="000000" w:themeColor="text1"/>
        </w:rPr>
        <w:t>ry</w:t>
      </w:r>
      <w:r w:rsidRPr="006E491E">
        <w:rPr>
          <w:rFonts w:ascii="Arial" w:eastAsia="Times New Roman" w:hAnsi="Arial" w:cs="Arial"/>
          <w:b/>
          <w:bCs/>
          <w:color w:val="000000" w:themeColor="text1"/>
        </w:rPr>
        <w:t xml:space="preserve"> References</w:t>
      </w:r>
    </w:p>
    <w:p w14:paraId="28BE9921" w14:textId="6CE1D943" w:rsidR="002674E1" w:rsidRDefault="002674E1" w:rsidP="00A670C3">
      <w:pPr>
        <w:rPr>
          <w:rFonts w:ascii="Arial" w:eastAsia="Times New Roman" w:hAnsi="Arial" w:cs="Arial"/>
          <w:color w:val="000000" w:themeColor="text1"/>
        </w:rPr>
      </w:pPr>
      <w:r w:rsidRPr="006E491E">
        <w:rPr>
          <w:rFonts w:ascii="Arial" w:eastAsia="Times New Roman" w:hAnsi="Arial" w:cs="Arial"/>
          <w:color w:val="000000" w:themeColor="text1"/>
        </w:rPr>
        <w:t xml:space="preserve">Double, K.S., &amp; Birney, D.P. (2017). Are you sure about that? Eliciting confidence </w:t>
      </w:r>
      <w:r w:rsidRPr="006E491E">
        <w:rPr>
          <w:rFonts w:ascii="Arial" w:eastAsia="Times New Roman" w:hAnsi="Arial" w:cs="Arial"/>
          <w:color w:val="000000" w:themeColor="text1"/>
        </w:rPr>
        <w:tab/>
        <w:t xml:space="preserve">ratings may influence performance on Raven's progressive matrices. </w:t>
      </w:r>
      <w:r w:rsidRPr="006E491E">
        <w:rPr>
          <w:rFonts w:ascii="Arial" w:eastAsia="Times New Roman" w:hAnsi="Arial" w:cs="Arial"/>
          <w:i/>
          <w:iCs/>
          <w:color w:val="000000" w:themeColor="text1"/>
        </w:rPr>
        <w:t xml:space="preserve">Thinking </w:t>
      </w:r>
      <w:r w:rsidRPr="006E491E">
        <w:rPr>
          <w:rFonts w:ascii="Arial" w:eastAsia="Times New Roman" w:hAnsi="Arial" w:cs="Arial"/>
          <w:i/>
          <w:iCs/>
          <w:color w:val="000000" w:themeColor="text1"/>
        </w:rPr>
        <w:tab/>
        <w:t>and Reasoning, 23</w:t>
      </w:r>
      <w:r w:rsidRPr="006E491E">
        <w:rPr>
          <w:rFonts w:ascii="Arial" w:eastAsia="Times New Roman" w:hAnsi="Arial" w:cs="Arial"/>
          <w:color w:val="000000" w:themeColor="text1"/>
        </w:rPr>
        <w:t xml:space="preserve">(2), 190-206. </w:t>
      </w:r>
      <w:proofErr w:type="spellStart"/>
      <w:r w:rsidR="001E3029" w:rsidRPr="006E491E">
        <w:rPr>
          <w:rFonts w:ascii="Arial" w:eastAsia="Times New Roman" w:hAnsi="Arial" w:cs="Arial"/>
          <w:color w:val="000000" w:themeColor="text1"/>
        </w:rPr>
        <w:t>doi</w:t>
      </w:r>
      <w:proofErr w:type="spellEnd"/>
      <w:r w:rsidR="001E3029" w:rsidRPr="006E491E">
        <w:rPr>
          <w:rFonts w:ascii="Arial" w:eastAsia="Times New Roman" w:hAnsi="Arial" w:cs="Arial"/>
          <w:color w:val="000000" w:themeColor="text1"/>
        </w:rPr>
        <w:t>: 1</w:t>
      </w:r>
      <w:r w:rsidRPr="006E491E">
        <w:rPr>
          <w:rFonts w:ascii="Arial" w:eastAsia="Times New Roman" w:hAnsi="Arial" w:cs="Arial"/>
          <w:color w:val="000000" w:themeColor="text1"/>
        </w:rPr>
        <w:t>0.1080/13546783.2017.1289121</w:t>
      </w:r>
    </w:p>
    <w:p w14:paraId="2F58C133" w14:textId="04418BC9" w:rsidR="003F3C50" w:rsidRDefault="003F3C50" w:rsidP="00A670C3">
      <w:pPr>
        <w:rPr>
          <w:rFonts w:ascii="Arial" w:eastAsia="Times New Roman" w:hAnsi="Arial" w:cs="Arial"/>
          <w:color w:val="000000" w:themeColor="text1"/>
        </w:rPr>
      </w:pPr>
    </w:p>
    <w:p w14:paraId="619C582A" w14:textId="128A0CA9" w:rsidR="001B7121" w:rsidRDefault="001B7121" w:rsidP="001B7121">
      <w:pPr>
        <w:ind w:left="720" w:hanging="720"/>
        <w:rPr>
          <w:rFonts w:ascii="Arial" w:eastAsia="Times New Roman" w:hAnsi="Arial" w:cs="Arial"/>
          <w:color w:val="000000" w:themeColor="text1"/>
        </w:rPr>
      </w:pPr>
      <w:r w:rsidRPr="001B7121">
        <w:rPr>
          <w:rFonts w:ascii="Arial" w:eastAsia="Times New Roman" w:hAnsi="Arial" w:cs="Arial"/>
          <w:color w:val="000000" w:themeColor="text1"/>
        </w:rPr>
        <w:t>Eakin, D. K., Hertzog, C., &amp; Harris, W. (2014). Age invariance in semantic and episodic metamemory: Both younger and older adults provide accurate feeling-of-knowing for names of faces. Aging, Neuropsychology, and Cognition, 21(1), 27-51.</w:t>
      </w:r>
    </w:p>
    <w:p w14:paraId="00F71CDD" w14:textId="77777777" w:rsidR="001B7121" w:rsidRDefault="001B7121" w:rsidP="00A670C3">
      <w:pPr>
        <w:rPr>
          <w:rFonts w:ascii="Arial" w:eastAsia="Times New Roman" w:hAnsi="Arial" w:cs="Arial"/>
          <w:color w:val="000000" w:themeColor="text1"/>
        </w:rPr>
      </w:pPr>
    </w:p>
    <w:p w14:paraId="6869CFB7" w14:textId="77777777" w:rsidR="00A66CDA" w:rsidRPr="00A66CDA" w:rsidRDefault="00A66CDA" w:rsidP="00A66CDA">
      <w:pPr>
        <w:rPr>
          <w:rFonts w:ascii="Arial" w:eastAsia="Times New Roman" w:hAnsi="Arial" w:cs="Arial"/>
          <w:color w:val="000000" w:themeColor="text1"/>
        </w:rPr>
      </w:pPr>
      <w:proofErr w:type="spellStart"/>
      <w:r w:rsidRPr="00A66CDA">
        <w:rPr>
          <w:rFonts w:ascii="Arial" w:eastAsia="Times New Roman" w:hAnsi="Arial" w:cs="Arial"/>
          <w:color w:val="000000" w:themeColor="text1"/>
        </w:rPr>
        <w:t>Ekstrom</w:t>
      </w:r>
      <w:proofErr w:type="spellEnd"/>
      <w:r w:rsidRPr="00A66CDA">
        <w:rPr>
          <w:rFonts w:ascii="Arial" w:eastAsia="Times New Roman" w:hAnsi="Arial" w:cs="Arial"/>
          <w:color w:val="000000" w:themeColor="text1"/>
        </w:rPr>
        <w:t xml:space="preserve">, R. B., French, J. W., Harman, H. H., and </w:t>
      </w:r>
      <w:proofErr w:type="spellStart"/>
      <w:r w:rsidRPr="00A66CDA">
        <w:rPr>
          <w:rFonts w:ascii="Arial" w:eastAsia="Times New Roman" w:hAnsi="Arial" w:cs="Arial"/>
          <w:color w:val="000000" w:themeColor="text1"/>
        </w:rPr>
        <w:t>Dermen</w:t>
      </w:r>
      <w:proofErr w:type="spellEnd"/>
      <w:r w:rsidRPr="00A66CDA">
        <w:rPr>
          <w:rFonts w:ascii="Arial" w:eastAsia="Times New Roman" w:hAnsi="Arial" w:cs="Arial"/>
          <w:color w:val="000000" w:themeColor="text1"/>
        </w:rPr>
        <w:t>, D. (1976). Manual</w:t>
      </w:r>
    </w:p>
    <w:p w14:paraId="3E5288E8" w14:textId="77777777" w:rsidR="00A66CDA" w:rsidRPr="00A66CDA" w:rsidRDefault="00A66CDA" w:rsidP="00A66CDA">
      <w:pPr>
        <w:ind w:left="720"/>
        <w:rPr>
          <w:rFonts w:ascii="Arial" w:eastAsia="Times New Roman" w:hAnsi="Arial" w:cs="Arial"/>
          <w:color w:val="000000" w:themeColor="text1"/>
        </w:rPr>
      </w:pPr>
      <w:r w:rsidRPr="00A66CDA">
        <w:rPr>
          <w:rFonts w:ascii="Arial" w:eastAsia="Times New Roman" w:hAnsi="Arial" w:cs="Arial"/>
          <w:color w:val="000000" w:themeColor="text1"/>
        </w:rPr>
        <w:t>for Kit of Factor- Referenced Cognitive Tests. Princeton, NJ: Educational Testing</w:t>
      </w:r>
    </w:p>
    <w:p w14:paraId="2A781E2D" w14:textId="7F5AF58F" w:rsidR="00A66CDA" w:rsidRDefault="00A66CDA" w:rsidP="00A66CDA">
      <w:pPr>
        <w:ind w:firstLine="720"/>
        <w:rPr>
          <w:rFonts w:ascii="Arial" w:eastAsia="Times New Roman" w:hAnsi="Arial" w:cs="Arial"/>
          <w:color w:val="000000" w:themeColor="text1"/>
        </w:rPr>
      </w:pPr>
      <w:r w:rsidRPr="00A66CDA">
        <w:rPr>
          <w:rFonts w:ascii="Arial" w:eastAsia="Times New Roman" w:hAnsi="Arial" w:cs="Arial"/>
          <w:color w:val="000000" w:themeColor="text1"/>
        </w:rPr>
        <w:t>Service.</w:t>
      </w:r>
    </w:p>
    <w:p w14:paraId="426B86C8" w14:textId="46BB0B98" w:rsidR="00A66CDA" w:rsidRDefault="00A66CDA" w:rsidP="00A670C3">
      <w:pPr>
        <w:rPr>
          <w:rFonts w:ascii="Arial" w:eastAsia="Times New Roman" w:hAnsi="Arial" w:cs="Arial"/>
          <w:color w:val="000000" w:themeColor="text1"/>
        </w:rPr>
      </w:pPr>
    </w:p>
    <w:p w14:paraId="515EA8FB" w14:textId="77777777" w:rsidR="001B7121" w:rsidRPr="001B7121" w:rsidRDefault="001B7121" w:rsidP="001B7121">
      <w:pPr>
        <w:rPr>
          <w:rFonts w:ascii="Arial" w:eastAsia="Times New Roman" w:hAnsi="Arial" w:cs="Arial"/>
          <w:color w:val="000000" w:themeColor="text1"/>
        </w:rPr>
      </w:pPr>
      <w:r w:rsidRPr="001B7121">
        <w:rPr>
          <w:rFonts w:ascii="Arial" w:eastAsia="Times New Roman" w:hAnsi="Arial" w:cs="Arial"/>
          <w:color w:val="000000" w:themeColor="text1"/>
        </w:rPr>
        <w:t>Palmer, E. C., David, A. S., and Fleming, S. M. (2014). Effects of age on</w:t>
      </w:r>
    </w:p>
    <w:p w14:paraId="37857E59" w14:textId="77777777" w:rsidR="001B7121" w:rsidRPr="001B7121" w:rsidRDefault="001B7121" w:rsidP="001B7121">
      <w:pPr>
        <w:ind w:firstLine="720"/>
        <w:rPr>
          <w:rFonts w:ascii="Arial" w:eastAsia="Times New Roman" w:hAnsi="Arial" w:cs="Arial"/>
          <w:color w:val="000000" w:themeColor="text1"/>
        </w:rPr>
      </w:pPr>
      <w:r w:rsidRPr="001B7121">
        <w:rPr>
          <w:rFonts w:ascii="Arial" w:eastAsia="Times New Roman" w:hAnsi="Arial" w:cs="Arial"/>
          <w:color w:val="000000" w:themeColor="text1"/>
        </w:rPr>
        <w:t xml:space="preserve">metacognitive efficiency. Conscious. </w:t>
      </w:r>
      <w:proofErr w:type="spellStart"/>
      <w:r w:rsidRPr="001B7121">
        <w:rPr>
          <w:rFonts w:ascii="Arial" w:eastAsia="Times New Roman" w:hAnsi="Arial" w:cs="Arial"/>
          <w:color w:val="000000" w:themeColor="text1"/>
        </w:rPr>
        <w:t>Cogn</w:t>
      </w:r>
      <w:proofErr w:type="spellEnd"/>
      <w:r w:rsidRPr="001B7121">
        <w:rPr>
          <w:rFonts w:ascii="Arial" w:eastAsia="Times New Roman" w:hAnsi="Arial" w:cs="Arial"/>
          <w:color w:val="000000" w:themeColor="text1"/>
        </w:rPr>
        <w:t xml:space="preserve">. 28, 151–160. </w:t>
      </w:r>
      <w:proofErr w:type="spellStart"/>
      <w:r w:rsidRPr="001B7121">
        <w:rPr>
          <w:rFonts w:ascii="Arial" w:eastAsia="Times New Roman" w:hAnsi="Arial" w:cs="Arial"/>
          <w:color w:val="000000" w:themeColor="text1"/>
        </w:rPr>
        <w:t>doi</w:t>
      </w:r>
      <w:proofErr w:type="spellEnd"/>
      <w:r w:rsidRPr="001B7121">
        <w:rPr>
          <w:rFonts w:ascii="Arial" w:eastAsia="Times New Roman" w:hAnsi="Arial" w:cs="Arial"/>
          <w:color w:val="000000" w:themeColor="text1"/>
        </w:rPr>
        <w:t>: 10.1016/</w:t>
      </w:r>
      <w:proofErr w:type="spellStart"/>
      <w:r w:rsidRPr="001B7121">
        <w:rPr>
          <w:rFonts w:ascii="Arial" w:eastAsia="Times New Roman" w:hAnsi="Arial" w:cs="Arial"/>
          <w:color w:val="000000" w:themeColor="text1"/>
        </w:rPr>
        <w:t>j.concog</w:t>
      </w:r>
      <w:proofErr w:type="spellEnd"/>
      <w:r w:rsidRPr="001B7121">
        <w:rPr>
          <w:rFonts w:ascii="Arial" w:eastAsia="Times New Roman" w:hAnsi="Arial" w:cs="Arial"/>
          <w:color w:val="000000" w:themeColor="text1"/>
        </w:rPr>
        <w:t>.</w:t>
      </w:r>
    </w:p>
    <w:p w14:paraId="10B8A8E7" w14:textId="174CFC05" w:rsidR="001B7121" w:rsidRDefault="001B7121" w:rsidP="001B7121">
      <w:pPr>
        <w:ind w:firstLine="720"/>
        <w:rPr>
          <w:rFonts w:ascii="Arial" w:eastAsia="Times New Roman" w:hAnsi="Arial" w:cs="Arial"/>
          <w:color w:val="000000" w:themeColor="text1"/>
        </w:rPr>
      </w:pPr>
      <w:r w:rsidRPr="001B7121">
        <w:rPr>
          <w:rFonts w:ascii="Arial" w:eastAsia="Times New Roman" w:hAnsi="Arial" w:cs="Arial"/>
          <w:color w:val="000000" w:themeColor="text1"/>
        </w:rPr>
        <w:t>2014.06.007</w:t>
      </w:r>
    </w:p>
    <w:p w14:paraId="2A7ADE9E" w14:textId="10E28592" w:rsidR="001B7121" w:rsidRDefault="001B7121" w:rsidP="00A670C3">
      <w:pPr>
        <w:rPr>
          <w:rFonts w:ascii="Arial" w:eastAsia="Times New Roman" w:hAnsi="Arial" w:cs="Arial"/>
          <w:color w:val="000000" w:themeColor="text1"/>
        </w:rPr>
      </w:pPr>
    </w:p>
    <w:p w14:paraId="5D2AF819" w14:textId="0948E558" w:rsidR="001B7121" w:rsidRDefault="001B7121" w:rsidP="001B7121">
      <w:pPr>
        <w:ind w:left="720" w:hanging="720"/>
        <w:rPr>
          <w:rFonts w:ascii="Arial" w:eastAsia="Times New Roman" w:hAnsi="Arial" w:cs="Arial"/>
          <w:color w:val="000000" w:themeColor="text1"/>
        </w:rPr>
      </w:pPr>
      <w:r w:rsidRPr="001B7121">
        <w:rPr>
          <w:rFonts w:ascii="Arial" w:eastAsia="Times New Roman" w:hAnsi="Arial" w:cs="Arial"/>
          <w:color w:val="000000" w:themeColor="text1"/>
        </w:rPr>
        <w:t xml:space="preserve">Tauber, S. K., &amp; </w:t>
      </w:r>
      <w:proofErr w:type="spellStart"/>
      <w:r w:rsidRPr="001B7121">
        <w:rPr>
          <w:rFonts w:ascii="Arial" w:eastAsia="Times New Roman" w:hAnsi="Arial" w:cs="Arial"/>
          <w:color w:val="000000" w:themeColor="text1"/>
        </w:rPr>
        <w:t>Dunlosky</w:t>
      </w:r>
      <w:proofErr w:type="spellEnd"/>
      <w:r w:rsidRPr="001B7121">
        <w:rPr>
          <w:rFonts w:ascii="Arial" w:eastAsia="Times New Roman" w:hAnsi="Arial" w:cs="Arial"/>
          <w:color w:val="000000" w:themeColor="text1"/>
        </w:rPr>
        <w:t>, J. (2012). Can older adults accurately judge their learning of emotional information? Psychology and Aging, 27(4), 924-933.</w:t>
      </w:r>
    </w:p>
    <w:p w14:paraId="00B3E846" w14:textId="77777777" w:rsidR="001B7121" w:rsidRDefault="001B7121" w:rsidP="00A670C3">
      <w:pPr>
        <w:rPr>
          <w:rFonts w:ascii="Arial" w:eastAsia="Times New Roman" w:hAnsi="Arial" w:cs="Arial"/>
          <w:color w:val="000000" w:themeColor="text1"/>
        </w:rPr>
      </w:pPr>
    </w:p>
    <w:p w14:paraId="1701D771" w14:textId="77777777" w:rsidR="003F3C50" w:rsidRDefault="003F3C50" w:rsidP="003F3C50">
      <w:pPr>
        <w:ind w:left="720" w:hanging="720"/>
        <w:rPr>
          <w:rFonts w:ascii="Arial" w:hAnsi="Arial" w:cs="Arial"/>
          <w:i/>
          <w:iCs/>
          <w:color w:val="000000" w:themeColor="text1"/>
        </w:rPr>
      </w:pPr>
      <w:proofErr w:type="spellStart"/>
      <w:r w:rsidRPr="003F3C50">
        <w:rPr>
          <w:rFonts w:ascii="Arial" w:hAnsi="Arial" w:cs="Arial"/>
          <w:color w:val="000000" w:themeColor="text1"/>
        </w:rPr>
        <w:t>Touron</w:t>
      </w:r>
      <w:proofErr w:type="spellEnd"/>
      <w:r w:rsidRPr="003F3C50">
        <w:rPr>
          <w:rFonts w:ascii="Arial" w:hAnsi="Arial" w:cs="Arial"/>
          <w:color w:val="000000" w:themeColor="text1"/>
        </w:rPr>
        <w:t xml:space="preserve">, D. R., &amp; Hertzog, C. (2004). Distinguishing age differences in knowledge, strategy use, and confidence during strategic skill acquisition. </w:t>
      </w:r>
      <w:r w:rsidRPr="003F3C50">
        <w:rPr>
          <w:rFonts w:ascii="Arial" w:hAnsi="Arial" w:cs="Arial"/>
          <w:i/>
          <w:iCs/>
          <w:color w:val="000000" w:themeColor="text1"/>
        </w:rPr>
        <w:t xml:space="preserve">Psychology and </w:t>
      </w:r>
    </w:p>
    <w:p w14:paraId="29FAEA09" w14:textId="387166FD" w:rsidR="003F3C50" w:rsidRDefault="003F3C50" w:rsidP="003F3C50">
      <w:pPr>
        <w:ind w:firstLine="720"/>
        <w:rPr>
          <w:rFonts w:ascii="Arial" w:hAnsi="Arial" w:cs="Arial"/>
          <w:color w:val="000000" w:themeColor="text1"/>
        </w:rPr>
      </w:pPr>
      <w:r>
        <w:rPr>
          <w:rFonts w:ascii="Arial" w:hAnsi="Arial" w:cs="Arial"/>
          <w:i/>
          <w:iCs/>
          <w:color w:val="000000" w:themeColor="text1"/>
        </w:rPr>
        <w:t>A</w:t>
      </w:r>
      <w:r w:rsidRPr="003F3C50">
        <w:rPr>
          <w:rFonts w:ascii="Arial" w:hAnsi="Arial" w:cs="Arial"/>
          <w:i/>
          <w:iCs/>
          <w:color w:val="000000" w:themeColor="text1"/>
        </w:rPr>
        <w:t>ging, 19</w:t>
      </w:r>
      <w:r w:rsidRPr="003F3C50">
        <w:rPr>
          <w:rFonts w:ascii="Arial" w:hAnsi="Arial" w:cs="Arial"/>
          <w:color w:val="000000" w:themeColor="text1"/>
        </w:rPr>
        <w:t>(3), 452</w:t>
      </w:r>
      <w:r>
        <w:rPr>
          <w:rFonts w:ascii="Arial" w:hAnsi="Arial" w:cs="Arial"/>
          <w:color w:val="000000" w:themeColor="text1"/>
        </w:rPr>
        <w:t>-466.</w:t>
      </w:r>
    </w:p>
    <w:p w14:paraId="7188D5A5" w14:textId="2978FDB3" w:rsidR="00A66CDA" w:rsidRDefault="00A66CDA" w:rsidP="003F3C50">
      <w:pPr>
        <w:ind w:firstLine="720"/>
        <w:rPr>
          <w:rFonts w:ascii="Arial" w:hAnsi="Arial" w:cs="Arial"/>
          <w:color w:val="000000" w:themeColor="text1"/>
        </w:rPr>
      </w:pPr>
    </w:p>
    <w:p w14:paraId="45DFA4A2" w14:textId="77777777" w:rsidR="00A66CDA" w:rsidRPr="00A66CDA" w:rsidRDefault="00A66CDA" w:rsidP="00A66CDA">
      <w:pPr>
        <w:rPr>
          <w:rFonts w:ascii="Arial" w:hAnsi="Arial" w:cs="Arial"/>
          <w:color w:val="000000" w:themeColor="text1"/>
        </w:rPr>
      </w:pPr>
      <w:r w:rsidRPr="00A66CDA">
        <w:rPr>
          <w:rFonts w:ascii="Arial" w:hAnsi="Arial" w:cs="Arial"/>
          <w:color w:val="000000" w:themeColor="text1"/>
        </w:rPr>
        <w:t>Wechsler, D. (1981). The Wechsler Adult Intelligence Scale - Revised. New York, NY:</w:t>
      </w:r>
    </w:p>
    <w:p w14:paraId="21A97F17" w14:textId="4CC8363A" w:rsidR="00A66CDA" w:rsidRDefault="00A66CDA" w:rsidP="00A66CDA">
      <w:pPr>
        <w:ind w:firstLine="720"/>
        <w:rPr>
          <w:rFonts w:ascii="Arial" w:hAnsi="Arial" w:cs="Arial"/>
          <w:color w:val="000000" w:themeColor="text1"/>
        </w:rPr>
      </w:pPr>
      <w:r w:rsidRPr="00A66CDA">
        <w:rPr>
          <w:rFonts w:ascii="Arial" w:hAnsi="Arial" w:cs="Arial"/>
          <w:color w:val="000000" w:themeColor="text1"/>
        </w:rPr>
        <w:t>Psychological Corporation.</w:t>
      </w:r>
    </w:p>
    <w:p w14:paraId="1DB97B46" w14:textId="6FBAF854" w:rsidR="001B7121" w:rsidRDefault="001B7121" w:rsidP="001B7121">
      <w:pPr>
        <w:rPr>
          <w:rFonts w:ascii="Arial" w:hAnsi="Arial" w:cs="Arial"/>
          <w:color w:val="000000" w:themeColor="text1"/>
        </w:rPr>
      </w:pPr>
    </w:p>
    <w:p w14:paraId="545C7E0A" w14:textId="77777777" w:rsidR="001B7121" w:rsidRPr="001B7121" w:rsidRDefault="001B7121" w:rsidP="001B7121">
      <w:pPr>
        <w:rPr>
          <w:rFonts w:ascii="Arial" w:hAnsi="Arial" w:cs="Arial"/>
          <w:color w:val="000000" w:themeColor="text1"/>
        </w:rPr>
      </w:pPr>
      <w:r w:rsidRPr="001B7121">
        <w:rPr>
          <w:rFonts w:ascii="Arial" w:hAnsi="Arial" w:cs="Arial"/>
          <w:color w:val="000000" w:themeColor="text1"/>
        </w:rPr>
        <w:t>Wilson, M. (1988). MRC psycholinguistic database: machine-usable dictionary,</w:t>
      </w:r>
    </w:p>
    <w:p w14:paraId="7B5C2B88" w14:textId="77777777" w:rsidR="001B7121" w:rsidRPr="001B7121" w:rsidRDefault="001B7121" w:rsidP="001B7121">
      <w:pPr>
        <w:ind w:firstLine="720"/>
        <w:rPr>
          <w:rFonts w:ascii="Arial" w:hAnsi="Arial" w:cs="Arial"/>
          <w:color w:val="000000" w:themeColor="text1"/>
        </w:rPr>
      </w:pPr>
      <w:r w:rsidRPr="001B7121">
        <w:rPr>
          <w:rFonts w:ascii="Arial" w:hAnsi="Arial" w:cs="Arial"/>
          <w:color w:val="000000" w:themeColor="text1"/>
        </w:rPr>
        <w:t xml:space="preserve">version 2.00. </w:t>
      </w:r>
      <w:proofErr w:type="spellStart"/>
      <w:r w:rsidRPr="001B7121">
        <w:rPr>
          <w:rFonts w:ascii="Arial" w:hAnsi="Arial" w:cs="Arial"/>
          <w:color w:val="000000" w:themeColor="text1"/>
        </w:rPr>
        <w:t>Behav</w:t>
      </w:r>
      <w:proofErr w:type="spellEnd"/>
      <w:r w:rsidRPr="001B7121">
        <w:rPr>
          <w:rFonts w:ascii="Arial" w:hAnsi="Arial" w:cs="Arial"/>
          <w:color w:val="000000" w:themeColor="text1"/>
        </w:rPr>
        <w:t xml:space="preserve">. Res. Methods </w:t>
      </w:r>
      <w:proofErr w:type="spellStart"/>
      <w:r w:rsidRPr="001B7121">
        <w:rPr>
          <w:rFonts w:ascii="Arial" w:hAnsi="Arial" w:cs="Arial"/>
          <w:color w:val="000000" w:themeColor="text1"/>
        </w:rPr>
        <w:t>Instrum</w:t>
      </w:r>
      <w:proofErr w:type="spellEnd"/>
      <w:r w:rsidRPr="001B7121">
        <w:rPr>
          <w:rFonts w:ascii="Arial" w:hAnsi="Arial" w:cs="Arial"/>
          <w:color w:val="000000" w:themeColor="text1"/>
        </w:rPr>
        <w:t xml:space="preserve">. </w:t>
      </w:r>
      <w:proofErr w:type="spellStart"/>
      <w:r w:rsidRPr="001B7121">
        <w:rPr>
          <w:rFonts w:ascii="Arial" w:hAnsi="Arial" w:cs="Arial"/>
          <w:color w:val="000000" w:themeColor="text1"/>
        </w:rPr>
        <w:t>Comput</w:t>
      </w:r>
      <w:proofErr w:type="spellEnd"/>
      <w:r w:rsidRPr="001B7121">
        <w:rPr>
          <w:rFonts w:ascii="Arial" w:hAnsi="Arial" w:cs="Arial"/>
          <w:color w:val="000000" w:themeColor="text1"/>
        </w:rPr>
        <w:t xml:space="preserve">. 20, 6–10. </w:t>
      </w:r>
      <w:proofErr w:type="spellStart"/>
      <w:r w:rsidRPr="001B7121">
        <w:rPr>
          <w:rFonts w:ascii="Arial" w:hAnsi="Arial" w:cs="Arial"/>
          <w:color w:val="000000" w:themeColor="text1"/>
        </w:rPr>
        <w:t>doi</w:t>
      </w:r>
      <w:proofErr w:type="spellEnd"/>
      <w:r w:rsidRPr="001B7121">
        <w:rPr>
          <w:rFonts w:ascii="Arial" w:hAnsi="Arial" w:cs="Arial"/>
          <w:color w:val="000000" w:themeColor="text1"/>
        </w:rPr>
        <w:t>: 10.3758/</w:t>
      </w:r>
    </w:p>
    <w:p w14:paraId="72D5AECA" w14:textId="4C9303F6" w:rsidR="001B7121" w:rsidRDefault="001B7121" w:rsidP="001B7121">
      <w:pPr>
        <w:ind w:firstLine="720"/>
        <w:rPr>
          <w:rFonts w:ascii="Arial" w:hAnsi="Arial" w:cs="Arial"/>
          <w:color w:val="000000" w:themeColor="text1"/>
        </w:rPr>
      </w:pPr>
      <w:r w:rsidRPr="001B7121">
        <w:rPr>
          <w:rFonts w:ascii="Arial" w:hAnsi="Arial" w:cs="Arial"/>
          <w:color w:val="000000" w:themeColor="text1"/>
        </w:rPr>
        <w:t>BF03202594</w:t>
      </w:r>
    </w:p>
    <w:p w14:paraId="3F0BC78A" w14:textId="41F2C470" w:rsidR="001B7121" w:rsidRDefault="001B7121" w:rsidP="001B7121">
      <w:pPr>
        <w:ind w:firstLine="720"/>
        <w:rPr>
          <w:rFonts w:ascii="Arial" w:hAnsi="Arial" w:cs="Arial"/>
          <w:color w:val="000000" w:themeColor="text1"/>
        </w:rPr>
      </w:pPr>
    </w:p>
    <w:p w14:paraId="504F9CB2" w14:textId="77777777" w:rsidR="001B7121" w:rsidRPr="001B7121" w:rsidRDefault="001B7121" w:rsidP="001B7121">
      <w:pPr>
        <w:rPr>
          <w:rFonts w:ascii="Arial" w:hAnsi="Arial" w:cs="Arial"/>
          <w:color w:val="000000" w:themeColor="text1"/>
        </w:rPr>
      </w:pPr>
      <w:r w:rsidRPr="001B7121">
        <w:rPr>
          <w:rFonts w:ascii="Arial" w:hAnsi="Arial" w:cs="Arial"/>
          <w:color w:val="000000" w:themeColor="text1"/>
        </w:rPr>
        <w:t>Wong, J. T., Cramer, S. J., and Gallo, D. J. (2012). Age-related reduction in the</w:t>
      </w:r>
    </w:p>
    <w:p w14:paraId="193B31AE" w14:textId="77777777" w:rsidR="001B7121" w:rsidRPr="001B7121" w:rsidRDefault="001B7121" w:rsidP="001B7121">
      <w:pPr>
        <w:ind w:firstLine="720"/>
        <w:rPr>
          <w:rFonts w:ascii="Arial" w:hAnsi="Arial" w:cs="Arial"/>
          <w:color w:val="000000" w:themeColor="text1"/>
        </w:rPr>
      </w:pPr>
      <w:r w:rsidRPr="001B7121">
        <w:rPr>
          <w:rFonts w:ascii="Arial" w:hAnsi="Arial" w:cs="Arial"/>
          <w:color w:val="000000" w:themeColor="text1"/>
        </w:rPr>
        <w:t>confidence-accuracy relationship in episodic memory: effects of recollection</w:t>
      </w:r>
    </w:p>
    <w:p w14:paraId="0EEDB1F6" w14:textId="77777777" w:rsidR="001B7121" w:rsidRPr="001B7121" w:rsidRDefault="001B7121" w:rsidP="001B7121">
      <w:pPr>
        <w:ind w:firstLine="720"/>
        <w:rPr>
          <w:rFonts w:ascii="Arial" w:hAnsi="Arial" w:cs="Arial"/>
          <w:color w:val="000000" w:themeColor="text1"/>
        </w:rPr>
      </w:pPr>
      <w:r w:rsidRPr="001B7121">
        <w:rPr>
          <w:rFonts w:ascii="Arial" w:hAnsi="Arial" w:cs="Arial"/>
          <w:color w:val="000000" w:themeColor="text1"/>
        </w:rPr>
        <w:t xml:space="preserve">quality and retrieval monitoring. Psychol. Aging 27, 1053–1065. </w:t>
      </w:r>
      <w:proofErr w:type="spellStart"/>
      <w:r w:rsidRPr="001B7121">
        <w:rPr>
          <w:rFonts w:ascii="Arial" w:hAnsi="Arial" w:cs="Arial"/>
          <w:color w:val="000000" w:themeColor="text1"/>
        </w:rPr>
        <w:t>doi</w:t>
      </w:r>
      <w:proofErr w:type="spellEnd"/>
      <w:r w:rsidRPr="001B7121">
        <w:rPr>
          <w:rFonts w:ascii="Arial" w:hAnsi="Arial" w:cs="Arial"/>
          <w:color w:val="000000" w:themeColor="text1"/>
        </w:rPr>
        <w:t>: 10.1037/</w:t>
      </w:r>
    </w:p>
    <w:p w14:paraId="1966C539" w14:textId="4FD0E45C" w:rsidR="001B7121" w:rsidRDefault="001B7121" w:rsidP="001B7121">
      <w:pPr>
        <w:ind w:firstLine="720"/>
        <w:rPr>
          <w:rFonts w:ascii="Arial" w:hAnsi="Arial" w:cs="Arial"/>
          <w:color w:val="000000" w:themeColor="text1"/>
        </w:rPr>
      </w:pPr>
      <w:r w:rsidRPr="001B7121">
        <w:rPr>
          <w:rFonts w:ascii="Arial" w:hAnsi="Arial" w:cs="Arial"/>
          <w:color w:val="000000" w:themeColor="text1"/>
        </w:rPr>
        <w:t>a0027686</w:t>
      </w:r>
    </w:p>
    <w:p w14:paraId="23313E76" w14:textId="5EA7F7FF" w:rsidR="001E7368" w:rsidRPr="006E491E" w:rsidRDefault="001E7368" w:rsidP="00A670C3">
      <w:pPr>
        <w:rPr>
          <w:color w:val="000000" w:themeColor="text1"/>
        </w:rPr>
      </w:pPr>
    </w:p>
    <w:sectPr w:rsidR="001E7368" w:rsidRPr="006E491E" w:rsidSect="00202D14">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EF907" w14:textId="77777777" w:rsidR="00A45CA7" w:rsidRDefault="00A45CA7">
      <w:r>
        <w:separator/>
      </w:r>
    </w:p>
  </w:endnote>
  <w:endnote w:type="continuationSeparator" w:id="0">
    <w:p w14:paraId="373D8F20" w14:textId="77777777" w:rsidR="00A45CA7" w:rsidRDefault="00A4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32AD" w14:textId="77777777" w:rsidR="005A42E0" w:rsidRDefault="00A45CA7">
    <w:pPr>
      <w:pStyle w:val="Footer"/>
    </w:pPr>
  </w:p>
  <w:p w14:paraId="0A25FB41" w14:textId="77777777" w:rsidR="005A42E0" w:rsidRDefault="00A45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2BAD9" w14:textId="77777777" w:rsidR="00A45CA7" w:rsidRDefault="00A45CA7">
      <w:r>
        <w:separator/>
      </w:r>
    </w:p>
  </w:footnote>
  <w:footnote w:type="continuationSeparator" w:id="0">
    <w:p w14:paraId="295F2A8F" w14:textId="77777777" w:rsidR="00A45CA7" w:rsidRDefault="00A4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892745"/>
      <w:docPartObj>
        <w:docPartGallery w:val="Page Numbers (Top of Page)"/>
        <w:docPartUnique/>
      </w:docPartObj>
    </w:sdtPr>
    <w:sdtEndPr>
      <w:rPr>
        <w:rStyle w:val="PageNumber"/>
      </w:rPr>
    </w:sdtEndPr>
    <w:sdtContent>
      <w:p w14:paraId="21B674C5" w14:textId="77777777" w:rsidR="005A42E0" w:rsidRDefault="002674E1" w:rsidP="00566B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A6AFA" w14:textId="77777777" w:rsidR="005A42E0" w:rsidRDefault="00A45CA7" w:rsidP="00202D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733419605"/>
      <w:docPartObj>
        <w:docPartGallery w:val="Page Numbers (Top of Page)"/>
        <w:docPartUnique/>
      </w:docPartObj>
    </w:sdtPr>
    <w:sdtEndPr>
      <w:rPr>
        <w:rStyle w:val="PageNumber"/>
      </w:rPr>
    </w:sdtEndPr>
    <w:sdtContent>
      <w:p w14:paraId="0AA6A92D" w14:textId="77777777" w:rsidR="005A42E0" w:rsidRPr="00EE00FB" w:rsidRDefault="002674E1" w:rsidP="00566B26">
        <w:pPr>
          <w:pStyle w:val="Header"/>
          <w:framePr w:wrap="none" w:vAnchor="text" w:hAnchor="margin" w:xAlign="right" w:y="1"/>
          <w:rPr>
            <w:rStyle w:val="PageNumber"/>
            <w:rFonts w:ascii="Arial" w:hAnsi="Arial" w:cs="Arial"/>
          </w:rPr>
        </w:pPr>
        <w:r w:rsidRPr="00EE00FB">
          <w:rPr>
            <w:rStyle w:val="PageNumber"/>
            <w:rFonts w:ascii="Arial" w:hAnsi="Arial" w:cs="Arial"/>
          </w:rPr>
          <w:fldChar w:fldCharType="begin"/>
        </w:r>
        <w:r w:rsidRPr="00EE00FB">
          <w:rPr>
            <w:rStyle w:val="PageNumber"/>
            <w:rFonts w:ascii="Arial" w:hAnsi="Arial" w:cs="Arial"/>
          </w:rPr>
          <w:instrText xml:space="preserve"> PAGE </w:instrText>
        </w:r>
        <w:r w:rsidRPr="00EE00FB">
          <w:rPr>
            <w:rStyle w:val="PageNumber"/>
            <w:rFonts w:ascii="Arial" w:hAnsi="Arial" w:cs="Arial"/>
          </w:rPr>
          <w:fldChar w:fldCharType="separate"/>
        </w:r>
        <w:r w:rsidRPr="00EE00FB">
          <w:rPr>
            <w:rStyle w:val="PageNumber"/>
            <w:rFonts w:ascii="Arial" w:hAnsi="Arial" w:cs="Arial"/>
            <w:noProof/>
          </w:rPr>
          <w:t>2</w:t>
        </w:r>
        <w:r w:rsidRPr="00EE00FB">
          <w:rPr>
            <w:rStyle w:val="PageNumber"/>
            <w:rFonts w:ascii="Arial" w:hAnsi="Arial" w:cs="Arial"/>
          </w:rPr>
          <w:fldChar w:fldCharType="end"/>
        </w:r>
      </w:p>
    </w:sdtContent>
  </w:sdt>
  <w:p w14:paraId="36B4EA9B" w14:textId="77777777" w:rsidR="005A42E0" w:rsidRPr="00EE00FB" w:rsidRDefault="002674E1" w:rsidP="00334C59">
    <w:pPr>
      <w:pStyle w:val="Header"/>
      <w:ind w:right="360"/>
      <w:rPr>
        <w:rFonts w:ascii="Arial" w:hAnsi="Arial" w:cs="Arial"/>
      </w:rPr>
    </w:pPr>
    <w:r w:rsidRPr="00D840D3">
      <w:rPr>
        <w:rFonts w:ascii="Arial" w:hAnsi="Arial" w:cs="Arial"/>
      </w:rPr>
      <w:t>METACOGNITION AND ASSOCIATIVE MEMORY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C9A6" w14:textId="77777777" w:rsidR="005A42E0" w:rsidRDefault="00A45CA7" w:rsidP="00202D1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E1"/>
    <w:rsid w:val="00011D82"/>
    <w:rsid w:val="000903B1"/>
    <w:rsid w:val="00097E9F"/>
    <w:rsid w:val="00132C08"/>
    <w:rsid w:val="0019065A"/>
    <w:rsid w:val="001B7121"/>
    <w:rsid w:val="001E0599"/>
    <w:rsid w:val="001E3029"/>
    <w:rsid w:val="001E7368"/>
    <w:rsid w:val="00210997"/>
    <w:rsid w:val="0023156B"/>
    <w:rsid w:val="002674E1"/>
    <w:rsid w:val="002C1164"/>
    <w:rsid w:val="003F3C50"/>
    <w:rsid w:val="00413259"/>
    <w:rsid w:val="00446584"/>
    <w:rsid w:val="00475F02"/>
    <w:rsid w:val="004C0DB3"/>
    <w:rsid w:val="00530B35"/>
    <w:rsid w:val="00583801"/>
    <w:rsid w:val="005C1825"/>
    <w:rsid w:val="005C3B98"/>
    <w:rsid w:val="00633CC6"/>
    <w:rsid w:val="006E491E"/>
    <w:rsid w:val="007E4BE3"/>
    <w:rsid w:val="008079AC"/>
    <w:rsid w:val="00832124"/>
    <w:rsid w:val="008519E9"/>
    <w:rsid w:val="0086257B"/>
    <w:rsid w:val="008871C2"/>
    <w:rsid w:val="008C5C19"/>
    <w:rsid w:val="008E7DF5"/>
    <w:rsid w:val="00904656"/>
    <w:rsid w:val="009A585E"/>
    <w:rsid w:val="009D5C13"/>
    <w:rsid w:val="00A45CA7"/>
    <w:rsid w:val="00A66CDA"/>
    <w:rsid w:val="00A670C3"/>
    <w:rsid w:val="00A67DE0"/>
    <w:rsid w:val="00A96AAE"/>
    <w:rsid w:val="00AC55CC"/>
    <w:rsid w:val="00B54CC3"/>
    <w:rsid w:val="00C05E89"/>
    <w:rsid w:val="00C52C4B"/>
    <w:rsid w:val="00C63E37"/>
    <w:rsid w:val="00C641C5"/>
    <w:rsid w:val="00C77106"/>
    <w:rsid w:val="00C81463"/>
    <w:rsid w:val="00CF06B0"/>
    <w:rsid w:val="00D3314B"/>
    <w:rsid w:val="00D46A49"/>
    <w:rsid w:val="00DA2D15"/>
    <w:rsid w:val="00DC33C0"/>
    <w:rsid w:val="00E40C55"/>
    <w:rsid w:val="00EB4DDF"/>
    <w:rsid w:val="00F30F13"/>
    <w:rsid w:val="00F835A9"/>
    <w:rsid w:val="00FA7EA2"/>
    <w:rsid w:val="00FC2027"/>
    <w:rsid w:val="00FD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E4054"/>
  <w15:chartTrackingRefBased/>
  <w15:docId w15:val="{2DDD9A0D-2E61-E442-8749-C46E1424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4E1"/>
    <w:pPr>
      <w:tabs>
        <w:tab w:val="center" w:pos="4680"/>
        <w:tab w:val="right" w:pos="9360"/>
      </w:tabs>
    </w:pPr>
  </w:style>
  <w:style w:type="character" w:customStyle="1" w:styleId="HeaderChar">
    <w:name w:val="Header Char"/>
    <w:basedOn w:val="DefaultParagraphFont"/>
    <w:link w:val="Header"/>
    <w:uiPriority w:val="99"/>
    <w:rsid w:val="002674E1"/>
  </w:style>
  <w:style w:type="paragraph" w:styleId="Footer">
    <w:name w:val="footer"/>
    <w:basedOn w:val="Normal"/>
    <w:link w:val="FooterChar"/>
    <w:uiPriority w:val="99"/>
    <w:unhideWhenUsed/>
    <w:rsid w:val="002674E1"/>
    <w:pPr>
      <w:tabs>
        <w:tab w:val="center" w:pos="4680"/>
        <w:tab w:val="right" w:pos="9360"/>
      </w:tabs>
    </w:pPr>
  </w:style>
  <w:style w:type="character" w:customStyle="1" w:styleId="FooterChar">
    <w:name w:val="Footer Char"/>
    <w:basedOn w:val="DefaultParagraphFont"/>
    <w:link w:val="Footer"/>
    <w:uiPriority w:val="99"/>
    <w:rsid w:val="002674E1"/>
  </w:style>
  <w:style w:type="table" w:styleId="TableGrid">
    <w:name w:val="Table Grid"/>
    <w:basedOn w:val="TableNormal"/>
    <w:uiPriority w:val="39"/>
    <w:rsid w:val="002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674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eNumber">
    <w:name w:val="page number"/>
    <w:basedOn w:val="DefaultParagraphFont"/>
    <w:uiPriority w:val="99"/>
    <w:semiHidden/>
    <w:unhideWhenUsed/>
    <w:rsid w:val="002674E1"/>
  </w:style>
  <w:style w:type="paragraph" w:styleId="BalloonText">
    <w:name w:val="Balloon Text"/>
    <w:basedOn w:val="Normal"/>
    <w:link w:val="BalloonTextChar"/>
    <w:uiPriority w:val="99"/>
    <w:semiHidden/>
    <w:unhideWhenUsed/>
    <w:rsid w:val="008321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21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6323">
      <w:bodyDiv w:val="1"/>
      <w:marLeft w:val="0"/>
      <w:marRight w:val="0"/>
      <w:marTop w:val="0"/>
      <w:marBottom w:val="0"/>
      <w:divBdr>
        <w:top w:val="none" w:sz="0" w:space="0" w:color="auto"/>
        <w:left w:val="none" w:sz="0" w:space="0" w:color="auto"/>
        <w:bottom w:val="none" w:sz="0" w:space="0" w:color="auto"/>
        <w:right w:val="none" w:sz="0" w:space="0" w:color="auto"/>
      </w:divBdr>
    </w:div>
    <w:div w:id="307054570">
      <w:bodyDiv w:val="1"/>
      <w:marLeft w:val="0"/>
      <w:marRight w:val="0"/>
      <w:marTop w:val="0"/>
      <w:marBottom w:val="0"/>
      <w:divBdr>
        <w:top w:val="none" w:sz="0" w:space="0" w:color="auto"/>
        <w:left w:val="none" w:sz="0" w:space="0" w:color="auto"/>
        <w:bottom w:val="none" w:sz="0" w:space="0" w:color="auto"/>
        <w:right w:val="none" w:sz="0" w:space="0" w:color="auto"/>
      </w:divBdr>
    </w:div>
    <w:div w:id="1439370554">
      <w:bodyDiv w:val="1"/>
      <w:marLeft w:val="0"/>
      <w:marRight w:val="0"/>
      <w:marTop w:val="0"/>
      <w:marBottom w:val="0"/>
      <w:divBdr>
        <w:top w:val="none" w:sz="0" w:space="0" w:color="auto"/>
        <w:left w:val="none" w:sz="0" w:space="0" w:color="auto"/>
        <w:bottom w:val="none" w:sz="0" w:space="0" w:color="auto"/>
        <w:right w:val="none" w:sz="0" w:space="0" w:color="auto"/>
      </w:divBdr>
    </w:div>
    <w:div w:id="2065374035">
      <w:bodyDiv w:val="1"/>
      <w:marLeft w:val="0"/>
      <w:marRight w:val="0"/>
      <w:marTop w:val="0"/>
      <w:marBottom w:val="0"/>
      <w:divBdr>
        <w:top w:val="none" w:sz="0" w:space="0" w:color="auto"/>
        <w:left w:val="none" w:sz="0" w:space="0" w:color="auto"/>
        <w:bottom w:val="none" w:sz="0" w:space="0" w:color="auto"/>
        <w:right w:val="none" w:sz="0" w:space="0" w:color="auto"/>
      </w:divBdr>
      <w:divsChild>
        <w:div w:id="20323563">
          <w:marLeft w:val="0"/>
          <w:marRight w:val="0"/>
          <w:marTop w:val="0"/>
          <w:marBottom w:val="0"/>
          <w:divBdr>
            <w:top w:val="none" w:sz="0" w:space="0" w:color="auto"/>
            <w:left w:val="none" w:sz="0" w:space="0" w:color="auto"/>
            <w:bottom w:val="none" w:sz="0" w:space="0" w:color="auto"/>
            <w:right w:val="none" w:sz="0" w:space="0" w:color="auto"/>
          </w:divBdr>
          <w:divsChild>
            <w:div w:id="2100440878">
              <w:marLeft w:val="0"/>
              <w:marRight w:val="0"/>
              <w:marTop w:val="0"/>
              <w:marBottom w:val="0"/>
              <w:divBdr>
                <w:top w:val="none" w:sz="0" w:space="0" w:color="auto"/>
                <w:left w:val="none" w:sz="0" w:space="0" w:color="auto"/>
                <w:bottom w:val="none" w:sz="0" w:space="0" w:color="auto"/>
                <w:right w:val="none" w:sz="0" w:space="0" w:color="auto"/>
              </w:divBdr>
              <w:divsChild>
                <w:div w:id="14807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Zakrzewski</dc:creator>
  <cp:keywords/>
  <dc:description/>
  <cp:lastModifiedBy>Alexandria Zakrzewski</cp:lastModifiedBy>
  <cp:revision>2</cp:revision>
  <dcterms:created xsi:type="dcterms:W3CDTF">2021-01-18T15:41:00Z</dcterms:created>
  <dcterms:modified xsi:type="dcterms:W3CDTF">2021-01-18T15:41:00Z</dcterms:modified>
</cp:coreProperties>
</file>