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360" w:lineRule="auto"/>
        <w:rPr>
          <w:rFonts w:ascii="Times New Roman" w:hAnsi="Times New Roman" w:cs="Times New Roman"/>
          <w:b/>
          <w:bCs/>
          <w:sz w:val="28"/>
          <w:szCs w:val="28"/>
        </w:rPr>
      </w:pPr>
      <w:r>
        <w:rPr>
          <w:rFonts w:ascii="Times New Roman" w:hAnsi="Times New Roman" w:cs="Times New Roman"/>
          <w:b/>
          <w:bCs/>
          <w:sz w:val="28"/>
          <w:szCs w:val="28"/>
        </w:rPr>
        <w:t>Genome</w:t>
      </w:r>
      <w:r>
        <w:rPr>
          <w:rFonts w:hint="eastAsia" w:ascii="Times New Roman" w:hAnsi="Times New Roman" w:cs="Times New Roman"/>
          <w:b/>
          <w:bCs/>
          <w:sz w:val="28"/>
          <w:szCs w:val="28"/>
        </w:rPr>
        <w:t>-</w:t>
      </w:r>
      <w:r>
        <w:rPr>
          <w:rFonts w:ascii="Times New Roman" w:hAnsi="Times New Roman" w:cs="Times New Roman"/>
          <w:b/>
          <w:bCs/>
          <w:sz w:val="28"/>
          <w:szCs w:val="28"/>
        </w:rPr>
        <w:t xml:space="preserve">wide integrated analysis </w:t>
      </w:r>
      <w:r>
        <w:rPr>
          <w:rFonts w:hint="eastAsia" w:ascii="Times New Roman" w:hAnsi="Times New Roman" w:cs="Times New Roman"/>
          <w:b/>
          <w:bCs/>
          <w:sz w:val="28"/>
          <w:szCs w:val="28"/>
        </w:rPr>
        <w:t>revealed</w:t>
      </w:r>
      <w:r>
        <w:rPr>
          <w:rFonts w:ascii="Times New Roman" w:hAnsi="Times New Roman" w:cs="Times New Roman"/>
          <w:b/>
          <w:bCs/>
          <w:sz w:val="28"/>
          <w:szCs w:val="28"/>
        </w:rPr>
        <w:t xml:space="preserve"> functions of </w:t>
      </w:r>
      <w:r>
        <w:rPr>
          <w:rFonts w:hint="eastAsia" w:ascii="Times New Roman" w:hAnsi="Times New Roman" w:cs="Times New Roman"/>
          <w:b/>
          <w:bCs/>
          <w:sz w:val="28"/>
          <w:szCs w:val="28"/>
        </w:rPr>
        <w:t>lncRNA-miRNA-mRNA interaction</w:t>
      </w:r>
      <w:r>
        <w:rPr>
          <w:rFonts w:ascii="Times New Roman" w:hAnsi="Times New Roman" w:cs="Times New Roman"/>
          <w:b/>
          <w:bCs/>
          <w:sz w:val="28"/>
          <w:szCs w:val="28"/>
        </w:rPr>
        <w:t xml:space="preserve"> in growth of intermuscular bones in </w:t>
      </w:r>
      <w:r>
        <w:rPr>
          <w:rFonts w:ascii="Times New Roman" w:hAnsi="Times New Roman" w:cs="Times New Roman"/>
          <w:b/>
          <w:bCs/>
          <w:i/>
          <w:iCs/>
          <w:sz w:val="28"/>
          <w:szCs w:val="28"/>
        </w:rPr>
        <w:t>Megalobrama amblycephala</w:t>
      </w:r>
      <w:r>
        <w:rPr>
          <w:rFonts w:ascii="Times New Roman" w:hAnsi="Times New Roman" w:cs="Times New Roman"/>
          <w:b/>
          <w:bCs/>
          <w:sz w:val="28"/>
          <w:szCs w:val="28"/>
        </w:rPr>
        <w:t xml:space="preserve"> </w:t>
      </w:r>
    </w:p>
    <w:p>
      <w:pPr>
        <w:spacing w:line="360" w:lineRule="auto"/>
        <w:rPr>
          <w:rFonts w:ascii="Times New Roman" w:hAnsi="Times New Roman"/>
        </w:rPr>
      </w:pPr>
    </w:p>
    <w:p>
      <w:pPr>
        <w:rPr>
          <w:rFonts w:ascii="Times New Roman" w:hAnsi="Times New Roman" w:cs="Times New Roman"/>
        </w:rPr>
      </w:pPr>
      <w:r>
        <w:rPr>
          <w:rFonts w:ascii="Times New Roman" w:hAnsi="Times New Roman" w:cs="Times New Roman"/>
        </w:rPr>
        <w:t>Yulong Chen</w:t>
      </w:r>
      <w:r>
        <w:rPr>
          <w:rFonts w:ascii="Times New Roman" w:hAnsi="Times New Roman" w:cs="Times New Roman"/>
          <w:vertAlign w:val="superscript"/>
        </w:rPr>
        <w:t xml:space="preserve"> 1,2†</w:t>
      </w:r>
      <w:r>
        <w:rPr>
          <w:rFonts w:ascii="Times New Roman" w:hAnsi="Times New Roman" w:cs="Times New Roman"/>
        </w:rPr>
        <w:t xml:space="preserve">, Shiming Wan </w:t>
      </w:r>
      <w:r>
        <w:rPr>
          <w:rFonts w:ascii="Times New Roman" w:hAnsi="Times New Roman" w:cs="Times New Roman"/>
          <w:vertAlign w:val="superscript"/>
        </w:rPr>
        <w:t>1,2†</w:t>
      </w:r>
      <w:r>
        <w:rPr>
          <w:rFonts w:ascii="Times New Roman" w:hAnsi="Times New Roman" w:cs="Times New Roman"/>
        </w:rPr>
        <w:t>, Q</w:t>
      </w:r>
      <w:r>
        <w:rPr>
          <w:rFonts w:hint="eastAsia" w:ascii="Times New Roman" w:hAnsi="Times New Roman" w:cs="Times New Roman"/>
        </w:rPr>
        <w:t>ing</w:t>
      </w:r>
      <w:r>
        <w:rPr>
          <w:rFonts w:ascii="Times New Roman" w:hAnsi="Times New Roman" w:cs="Times New Roman"/>
        </w:rPr>
        <w:t xml:space="preserve"> Li </w:t>
      </w:r>
      <w:r>
        <w:rPr>
          <w:rFonts w:ascii="Times New Roman" w:hAnsi="Times New Roman" w:cs="Times New Roman"/>
          <w:vertAlign w:val="superscript"/>
        </w:rPr>
        <w:t>3</w:t>
      </w:r>
      <w:r>
        <w:rPr>
          <w:rFonts w:ascii="Times New Roman" w:hAnsi="Times New Roman" w:cs="Times New Roman"/>
        </w:rPr>
        <w:t xml:space="preserve">, Xiaoru Dong </w:t>
      </w:r>
      <w:r>
        <w:rPr>
          <w:rFonts w:ascii="Times New Roman" w:hAnsi="Times New Roman" w:cs="Times New Roman"/>
          <w:vertAlign w:val="superscript"/>
        </w:rPr>
        <w:t>1,2</w:t>
      </w:r>
      <w:r>
        <w:rPr>
          <w:rFonts w:ascii="Times New Roman" w:hAnsi="Times New Roman" w:cs="Times New Roman"/>
        </w:rPr>
        <w:t xml:space="preserve">, Jinghan Diao </w:t>
      </w:r>
      <w:r>
        <w:rPr>
          <w:rFonts w:ascii="Times New Roman" w:hAnsi="Times New Roman" w:cs="Times New Roman"/>
          <w:vertAlign w:val="superscript"/>
        </w:rPr>
        <w:t>1,2</w:t>
      </w:r>
      <w:r>
        <w:rPr>
          <w:rFonts w:ascii="Times New Roman" w:hAnsi="Times New Roman" w:cs="Times New Roman"/>
        </w:rPr>
        <w:t xml:space="preserve">, Qing Liao </w:t>
      </w:r>
      <w:r>
        <w:rPr>
          <w:rFonts w:ascii="Times New Roman" w:hAnsi="Times New Roman" w:cs="Times New Roman"/>
          <w:vertAlign w:val="superscript"/>
        </w:rPr>
        <w:t>1,2</w:t>
      </w:r>
      <w:r>
        <w:rPr>
          <w:rFonts w:ascii="Times New Roman" w:hAnsi="Times New Roman" w:cs="Times New Roman"/>
        </w:rPr>
        <w:t xml:space="preserve">, Gui-Ying Wang </w:t>
      </w:r>
      <w:r>
        <w:rPr>
          <w:rFonts w:ascii="Times New Roman" w:hAnsi="Times New Roman" w:cs="Times New Roman"/>
          <w:vertAlign w:val="superscript"/>
        </w:rPr>
        <w:t>3</w:t>
      </w:r>
      <w:r>
        <w:rPr>
          <w:rFonts w:ascii="Times New Roman" w:hAnsi="Times New Roman" w:cs="Times New Roman"/>
        </w:rPr>
        <w:t>, Ze-Xia Gao</w:t>
      </w:r>
      <w:r>
        <w:rPr>
          <w:rFonts w:ascii="Times New Roman" w:hAnsi="Times New Roman" w:cs="Times New Roman"/>
          <w:vertAlign w:val="superscript"/>
        </w:rPr>
        <w:t>1,2,4*</w:t>
      </w:r>
    </w:p>
    <w:p>
      <w:pPr>
        <w:spacing w:line="360" w:lineRule="auto"/>
        <w:rPr>
          <w:rFonts w:ascii="Times New Roman" w:hAnsi="Times New Roman" w:cs="Times New Roman"/>
        </w:rPr>
      </w:pPr>
    </w:p>
    <w:p>
      <w:pPr>
        <w:spacing w:before="100" w:beforeAutospacing="1" w:line="360" w:lineRule="auto"/>
        <w:rPr>
          <w:rFonts w:ascii="Times New Roman" w:hAnsi="Times New Roman" w:cs="Times New Roman"/>
        </w:rPr>
      </w:pPr>
      <w:r>
        <w:rPr>
          <w:rFonts w:ascii="Times New Roman" w:hAnsi="Times New Roman" w:cs="Times New Roman"/>
          <w:vertAlign w:val="superscript"/>
        </w:rPr>
        <w:t xml:space="preserve">1 </w:t>
      </w:r>
      <w:r>
        <w:rPr>
          <w:rFonts w:ascii="Times New Roman" w:hAnsi="Times New Roman" w:cs="Times New Roman"/>
        </w:rPr>
        <w:t xml:space="preserve">College of Fisheries, Key Lab of Agricultural Animal Genetics, Breeding and Reproduction of Ministry of Education/Key Lab of Freshwater Animal Breeding, Ministry of Agriculture, Huazhong Agricultural University, Wuhan, Hubei 430070, China; </w:t>
      </w:r>
    </w:p>
    <w:p>
      <w:pPr>
        <w:spacing w:before="100" w:beforeAutospacing="1" w:line="360" w:lineRule="auto"/>
        <w:rPr>
          <w:rFonts w:ascii="Times New Roman" w:hAnsi="Times New Roman" w:cs="Times New Roman"/>
        </w:rPr>
      </w:pPr>
      <w:r>
        <w:rPr>
          <w:rFonts w:ascii="Times New Roman" w:hAnsi="Times New Roman" w:cs="Times New Roman"/>
          <w:vertAlign w:val="superscript"/>
        </w:rPr>
        <w:t xml:space="preserve">2 </w:t>
      </w:r>
      <w:r>
        <w:rPr>
          <w:rFonts w:hint="eastAsia" w:ascii="Times New Roman" w:hAnsi="Times New Roman" w:cs="Times New Roman"/>
        </w:rPr>
        <w:t>Engineering Research Center of Green development for Conventional Aquatic Biological Industry in the Yangtze River Economic Belt, Ministry of Education, Wuhan 430070, China</w:t>
      </w:r>
    </w:p>
    <w:p>
      <w:pPr>
        <w:spacing w:before="100" w:beforeAutospacing="1" w:line="360" w:lineRule="auto"/>
        <w:rPr>
          <w:rFonts w:ascii="Times New Roman" w:hAnsi="Times New Roman" w:cs="Times New Roman"/>
          <w:vertAlign w:val="superscript"/>
        </w:rPr>
      </w:pP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 xml:space="preserve"> Fisheries Research Institute, Wuhan Academy of Agricultural Sciences/</w:t>
      </w:r>
      <w:r>
        <w:t xml:space="preserve"> </w:t>
      </w:r>
      <w:r>
        <w:rPr>
          <w:rFonts w:ascii="Times New Roman" w:hAnsi="Times New Roman" w:cs="Times New Roman"/>
          <w:color w:val="000000" w:themeColor="text1"/>
          <w14:textFill>
            <w14:solidFill>
              <w14:schemeClr w14:val="tx1"/>
            </w14:solidFill>
          </w14:textFill>
        </w:rPr>
        <w:t>Wuhan Xianfeng Aquaculture Technology Co. Ltd, Wuhan, China</w:t>
      </w:r>
    </w:p>
    <w:p>
      <w:pPr>
        <w:spacing w:before="100" w:beforeAutospacing="1" w:line="360" w:lineRule="auto"/>
        <w:rPr>
          <w:rFonts w:ascii="Times New Roman" w:hAnsi="Times New Roman" w:cs="Times New Roman"/>
        </w:rPr>
      </w:pPr>
      <w:r>
        <w:rPr>
          <w:rFonts w:ascii="Times New Roman" w:hAnsi="Times New Roman" w:cs="Times New Roman"/>
          <w:vertAlign w:val="superscript"/>
        </w:rPr>
        <w:t>4</w:t>
      </w:r>
      <w:r>
        <w:rPr>
          <w:rFonts w:ascii="Times New Roman" w:hAnsi="Times New Roman" w:cs="Times New Roman"/>
        </w:rPr>
        <w:t xml:space="preserve"> Engineering Technology Research Center for Fish Breeding and Culture in Hubei Province, Wuhan 430070, China</w:t>
      </w:r>
    </w:p>
    <w:p>
      <w:pPr>
        <w:spacing w:before="100" w:beforeAutospacing="1" w:line="360" w:lineRule="auto"/>
        <w:rPr>
          <w:rFonts w:ascii="Times New Roman" w:hAnsi="Times New Roman" w:cs="Times New Roman"/>
        </w:rPr>
      </w:pPr>
      <w:r>
        <w:rPr>
          <w:rFonts w:ascii="Times New Roman" w:hAnsi="Times New Roman" w:cs="Times New Roman"/>
          <w:vertAlign w:val="superscript"/>
        </w:rPr>
        <w:t>*</w:t>
      </w:r>
      <w:r>
        <w:rPr>
          <w:rFonts w:ascii="Times New Roman" w:hAnsi="Times New Roman" w:cs="Times New Roman"/>
        </w:rPr>
        <w:t>Corresponding authors: Ze-Xia Gao; E-mail addresses:</w:t>
      </w:r>
      <w:r>
        <w:fldChar w:fldCharType="begin"/>
      </w:r>
      <w:r>
        <w:instrText xml:space="preserve"> HYPERLINK "mailto:gaozexia@hotmail.com;" </w:instrText>
      </w:r>
      <w:r>
        <w:fldChar w:fldCharType="separate"/>
      </w:r>
      <w:r>
        <w:rPr>
          <w:rStyle w:val="4"/>
          <w:rFonts w:ascii="Times New Roman" w:hAnsi="Times New Roman" w:cs="Times New Roman"/>
        </w:rPr>
        <w:t>gaozexia@hotmail.com;</w:t>
      </w:r>
      <w:r>
        <w:rPr>
          <w:rStyle w:val="4"/>
          <w:rFonts w:ascii="Times New Roman" w:hAnsi="Times New Roman" w:cs="Times New Roman"/>
        </w:rPr>
        <w:fldChar w:fldCharType="end"/>
      </w:r>
      <w:r>
        <w:rPr>
          <w:rFonts w:ascii="Times New Roman" w:hAnsi="Times New Roman" w:cs="Times New Roman"/>
        </w:rPr>
        <w:t xml:space="preserve"> </w:t>
      </w:r>
      <w:r>
        <w:fldChar w:fldCharType="begin"/>
      </w:r>
      <w:r>
        <w:instrText xml:space="preserve"> HYPERLINK "mailto:gaozx@mail.hzau.edu.cn;" </w:instrText>
      </w:r>
      <w:r>
        <w:fldChar w:fldCharType="separate"/>
      </w:r>
      <w:r>
        <w:rPr>
          <w:rStyle w:val="4"/>
          <w:rFonts w:ascii="Times New Roman" w:hAnsi="Times New Roman" w:cs="Times New Roman"/>
        </w:rPr>
        <w:t>gaozx@mail.hzau.edu.cn;</w:t>
      </w:r>
      <w:r>
        <w:rPr>
          <w:rStyle w:val="4"/>
          <w:rFonts w:ascii="Times New Roman" w:hAnsi="Times New Roman" w:cs="Times New Roman"/>
        </w:rPr>
        <w:fldChar w:fldCharType="end"/>
      </w:r>
      <w:r>
        <w:rPr>
          <w:rFonts w:ascii="Times New Roman" w:hAnsi="Times New Roman" w:cs="Times New Roman"/>
        </w:rPr>
        <w:t xml:space="preserve"> Tel/Fax: +86-27-8728-2113</w:t>
      </w:r>
    </w:p>
    <w:p>
      <w:pPr>
        <w:spacing w:before="100" w:beforeAutospacing="1" w:line="360" w:lineRule="auto"/>
        <w:rPr>
          <w:rFonts w:ascii="Times New Roman" w:hAnsi="Times New Roman" w:cs="Times New Roman"/>
        </w:rPr>
      </w:pPr>
      <w:r>
        <w:rPr>
          <w:rFonts w:ascii="Times New Roman" w:hAnsi="Times New Roman" w:cs="Times New Roman"/>
          <w:vertAlign w:val="superscript"/>
        </w:rPr>
        <w:t xml:space="preserve">† </w:t>
      </w:r>
      <w:r>
        <w:rPr>
          <w:rFonts w:ascii="Times New Roman" w:hAnsi="Times New Roman" w:cs="Times New Roman"/>
        </w:rPr>
        <w:t>These authors contributed equally to this work.</w:t>
      </w:r>
    </w:p>
    <w:p>
      <w:pPr>
        <w:spacing w:before="100" w:beforeAutospacing="1" w:line="360" w:lineRule="auto"/>
        <w:rPr>
          <w:rFonts w:ascii="Times New Roman" w:hAnsi="Times New Roman" w:cs="Times New Roman"/>
        </w:rPr>
      </w:pPr>
    </w:p>
    <w:p>
      <w:pPr>
        <w:spacing w:before="100" w:beforeAutospacing="1" w:line="360" w:lineRule="auto"/>
        <w:rPr>
          <w:rFonts w:ascii="Times New Roman" w:hAnsi="Times New Roman" w:cs="Times New Roman"/>
        </w:rPr>
      </w:pPr>
    </w:p>
    <w:p>
      <w:pPr>
        <w:spacing w:before="100" w:beforeAutospacing="1" w:line="360" w:lineRule="auto"/>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Supplementary figure legend</w:t>
      </w:r>
    </w:p>
    <w:p>
      <w:pPr>
        <w:spacing w:before="100" w:beforeAutospacing="1" w:line="360" w:lineRule="auto"/>
        <w:rPr>
          <w:rFonts w:ascii="Times New Roman" w:hAnsi="Times New Roman"/>
        </w:rPr>
      </w:pPr>
      <w:r>
        <w:rPr>
          <w:rFonts w:hint="eastAsia" w:ascii="Times New Roman" w:hAnsi="Times New Roman"/>
          <w:b/>
          <w:color w:val="000000" w:themeColor="text1"/>
          <w14:textFill>
            <w14:solidFill>
              <w14:schemeClr w14:val="tx1"/>
            </w14:solidFill>
          </w14:textFill>
        </w:rPr>
        <w:t>F</w:t>
      </w:r>
      <w:r>
        <w:rPr>
          <w:rFonts w:ascii="Times New Roman" w:hAnsi="Times New Roman"/>
          <w:b/>
          <w:color w:val="000000" w:themeColor="text1"/>
          <w14:textFill>
            <w14:solidFill>
              <w14:schemeClr w14:val="tx1"/>
            </w14:solidFill>
          </w14:textFill>
        </w:rPr>
        <w:t>ig</w:t>
      </w:r>
      <w:r>
        <w:rPr>
          <w:rFonts w:hint="eastAsia" w:ascii="Times New Roman" w:hAnsi="Times New Roman"/>
          <w:b/>
          <w:color w:val="000000" w:themeColor="text1"/>
          <w14:textFill>
            <w14:solidFill>
              <w14:schemeClr w14:val="tx1"/>
            </w14:solidFill>
          </w14:textFill>
        </w:rPr>
        <w:t>ure</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S</w:t>
      </w:r>
      <w:r>
        <w:rPr>
          <w:rFonts w:ascii="Times New Roman" w:hAnsi="Times New Roman"/>
          <w:b/>
          <w:color w:val="000000" w:themeColor="text1"/>
          <w14:textFill>
            <w14:solidFill>
              <w14:schemeClr w14:val="tx1"/>
            </w14:solidFill>
          </w14:textFill>
        </w:rPr>
        <w:t xml:space="preserve">1 </w:t>
      </w:r>
      <w:r>
        <w:rPr>
          <w:rFonts w:ascii="Times New Roman" w:hAnsi="Times New Roman"/>
        </w:rPr>
        <w:t xml:space="preserve">Results of reference genome mapping. (a) GMAP analysis of corrected reads to reference genome. (b) Coverage and identity distribution </w:t>
      </w:r>
      <w:r>
        <w:rPr>
          <w:rFonts w:hint="eastAsia" w:ascii="Times New Roman" w:hAnsi="Times New Roman"/>
        </w:rPr>
        <w:t>of</w:t>
      </w:r>
      <w:r>
        <w:rPr>
          <w:rFonts w:ascii="Times New Roman" w:hAnsi="Times New Roman"/>
        </w:rPr>
        <w:t xml:space="preserve"> transcripts. (c) The distribution of full-length transcripts on the reference genome. The </w:t>
      </w:r>
      <w:r>
        <w:rPr>
          <w:rFonts w:hint="eastAsia" w:ascii="Times New Roman" w:hAnsi="Times New Roman"/>
        </w:rPr>
        <w:t>x-</w:t>
      </w:r>
      <w:r>
        <w:rPr>
          <w:rFonts w:ascii="Times New Roman" w:hAnsi="Times New Roman"/>
        </w:rPr>
        <w:t>axis indicates the len</w:t>
      </w:r>
      <w:bookmarkStart w:id="0" w:name="_GoBack"/>
      <w:bookmarkEnd w:id="0"/>
      <w:r>
        <w:rPr>
          <w:rFonts w:ascii="Times New Roman" w:hAnsi="Times New Roman"/>
        </w:rPr>
        <w:t xml:space="preserve">gth of a chromosome in millions of bases; the </w:t>
      </w:r>
      <w:r>
        <w:rPr>
          <w:rFonts w:hint="eastAsia" w:ascii="Times New Roman" w:hAnsi="Times New Roman"/>
        </w:rPr>
        <w:t>y-</w:t>
      </w:r>
      <w:r>
        <w:rPr>
          <w:rFonts w:ascii="Times New Roman" w:hAnsi="Times New Roman"/>
        </w:rPr>
        <w:t xml:space="preserve">axis indicates the density of reads; green </w:t>
      </w:r>
      <w:r>
        <w:rPr>
          <w:rFonts w:hint="eastAsia" w:ascii="Times New Roman" w:hAnsi="Times New Roman"/>
        </w:rPr>
        <w:t>indicates</w:t>
      </w:r>
      <w:r>
        <w:rPr>
          <w:rFonts w:ascii="Times New Roman" w:hAnsi="Times New Roman"/>
        </w:rPr>
        <w:t xml:space="preserve"> “+” strand, red indicates “-” strand</w:t>
      </w:r>
    </w:p>
    <w:p>
      <w:pPr>
        <w:spacing w:before="100" w:beforeAutospacing="1" w:line="360" w:lineRule="auto"/>
        <w:rPr>
          <w:rFonts w:ascii="Times New Roman" w:hAnsi="Times New Roman"/>
        </w:rPr>
      </w:pPr>
      <w:r>
        <w:rPr>
          <w:rFonts w:hint="eastAsia" w:ascii="Times New Roman" w:hAnsi="Times New Roman"/>
          <w:b/>
          <w:color w:val="000000" w:themeColor="text1"/>
          <w14:textFill>
            <w14:solidFill>
              <w14:schemeClr w14:val="tx1"/>
            </w14:solidFill>
          </w14:textFill>
        </w:rPr>
        <w:t>F</w:t>
      </w:r>
      <w:r>
        <w:rPr>
          <w:rFonts w:ascii="Times New Roman" w:hAnsi="Times New Roman"/>
          <w:b/>
          <w:color w:val="000000" w:themeColor="text1"/>
          <w14:textFill>
            <w14:solidFill>
              <w14:schemeClr w14:val="tx1"/>
            </w14:solidFill>
          </w14:textFill>
        </w:rPr>
        <w:t>ig</w:t>
      </w:r>
      <w:r>
        <w:rPr>
          <w:rFonts w:hint="eastAsia" w:ascii="Times New Roman" w:hAnsi="Times New Roman"/>
          <w:b/>
          <w:color w:val="000000" w:themeColor="text1"/>
          <w14:textFill>
            <w14:solidFill>
              <w14:schemeClr w14:val="tx1"/>
            </w14:solidFill>
          </w14:textFill>
        </w:rPr>
        <w:t>ure</w:t>
      </w:r>
      <w:r>
        <w:rPr>
          <w:rFonts w:ascii="Times New Roman" w:hAnsi="Times New Roman" w:cs="Times New Roman"/>
          <w:b/>
          <w:bCs/>
        </w:rPr>
        <w:t xml:space="preserve"> S2</w:t>
      </w:r>
      <w:r>
        <w:rPr>
          <w:rFonts w:ascii="Times New Roman" w:hAnsi="Times New Roman" w:cs="Times New Roman"/>
          <w:color w:val="000000" w:themeColor="text1"/>
          <w14:textFill>
            <w14:solidFill>
              <w14:schemeClr w14:val="tx1"/>
            </w14:solidFill>
          </w14:textFill>
        </w:rPr>
        <w:t xml:space="preserve"> C</w:t>
      </w:r>
      <w:r>
        <w:rPr>
          <w:rFonts w:ascii="Times New Roman" w:hAnsi="Times New Roman"/>
        </w:rPr>
        <w:t xml:space="preserve">lassification and characterization of transcripts. (a) Classification of FLNC sequences mapped to reference genome. </w:t>
      </w:r>
      <w:r>
        <w:rPr>
          <w:rFonts w:hint="eastAsia" w:ascii="Times New Roman" w:hAnsi="Times New Roman"/>
        </w:rPr>
        <w:t>(</w:t>
      </w:r>
      <w:r>
        <w:rPr>
          <w:rFonts w:ascii="Times New Roman" w:hAnsi="Times New Roman"/>
        </w:rPr>
        <w:t>b</w:t>
      </w:r>
      <w:r>
        <w:rPr>
          <w:rFonts w:hint="eastAsia" w:ascii="Times New Roman" w:hAnsi="Times New Roman"/>
        </w:rPr>
        <w:t>)</w:t>
      </w:r>
      <w:r>
        <w:rPr>
          <w:rFonts w:ascii="Times New Roman" w:hAnsi="Times New Roman"/>
        </w:rPr>
        <w:t xml:space="preserve"> Distribution of transcript length and density in Iso-Seq data and reference genome</w:t>
      </w:r>
      <w:r>
        <w:rPr>
          <w:rFonts w:hint="eastAsia" w:ascii="Times New Roman" w:hAnsi="Times New Roman"/>
        </w:rPr>
        <w:t>. (</w:t>
      </w:r>
      <w:r>
        <w:rPr>
          <w:rFonts w:ascii="Times New Roman" w:hAnsi="Times New Roman"/>
        </w:rPr>
        <w:t>c</w:t>
      </w:r>
      <w:r>
        <w:rPr>
          <w:rFonts w:hint="eastAsia" w:ascii="Times New Roman" w:hAnsi="Times New Roman"/>
        </w:rPr>
        <w:t>)</w:t>
      </w:r>
      <w:r>
        <w:rPr>
          <w:rFonts w:ascii="Times New Roman" w:hAnsi="Times New Roman"/>
        </w:rPr>
        <w:t xml:space="preserve"> I</w:t>
      </w:r>
      <w:r>
        <w:rPr>
          <w:rFonts w:hint="eastAsia" w:ascii="Times New Roman" w:hAnsi="Times New Roman"/>
        </w:rPr>
        <w:t>soform</w:t>
      </w:r>
      <w:r>
        <w:rPr>
          <w:rFonts w:ascii="Times New Roman" w:hAnsi="Times New Roman"/>
        </w:rPr>
        <w:t xml:space="preserve"> number of genes in Iso-Seq data and reference genome. (d) Exon number of transcripts in Iso-Seq data and reference genome. (e) Reverse </w:t>
      </w:r>
      <w:r>
        <w:rPr>
          <w:rFonts w:hint="eastAsia" w:ascii="Times New Roman" w:hAnsi="Times New Roman"/>
        </w:rPr>
        <w:t>t</w:t>
      </w:r>
      <w:r>
        <w:rPr>
          <w:rFonts w:ascii="Times New Roman" w:hAnsi="Times New Roman"/>
        </w:rPr>
        <w:t>ranscription PCR validation of AS isoforms (M: DL2000).</w:t>
      </w:r>
    </w:p>
    <w:p>
      <w:pPr>
        <w:spacing w:before="100" w:beforeAutospacing="1" w:line="360" w:lineRule="auto"/>
        <w:rPr>
          <w:rFonts w:ascii="Times New Roman" w:hAnsi="Times New Roman"/>
        </w:rPr>
      </w:pPr>
      <w:r>
        <w:rPr>
          <w:rFonts w:hint="eastAsia" w:ascii="Times New Roman" w:hAnsi="Times New Roman"/>
          <w:b/>
          <w:color w:val="000000" w:themeColor="text1"/>
          <w14:textFill>
            <w14:solidFill>
              <w14:schemeClr w14:val="tx1"/>
            </w14:solidFill>
          </w14:textFill>
        </w:rPr>
        <w:t>F</w:t>
      </w:r>
      <w:r>
        <w:rPr>
          <w:rFonts w:ascii="Times New Roman" w:hAnsi="Times New Roman"/>
          <w:b/>
          <w:color w:val="000000" w:themeColor="text1"/>
          <w14:textFill>
            <w14:solidFill>
              <w14:schemeClr w14:val="tx1"/>
            </w14:solidFill>
          </w14:textFill>
        </w:rPr>
        <w:t>ig</w:t>
      </w:r>
      <w:r>
        <w:rPr>
          <w:rFonts w:hint="eastAsia" w:ascii="Times New Roman" w:hAnsi="Times New Roman"/>
          <w:b/>
          <w:color w:val="000000" w:themeColor="text1"/>
          <w14:textFill>
            <w14:solidFill>
              <w14:schemeClr w14:val="tx1"/>
            </w14:solidFill>
          </w14:textFill>
        </w:rPr>
        <w:t>ure</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S</w:t>
      </w:r>
      <w:r>
        <w:rPr>
          <w:rFonts w:ascii="Times New Roman" w:hAnsi="Times New Roman"/>
          <w:b/>
          <w:color w:val="000000" w:themeColor="text1"/>
          <w14:textFill>
            <w14:solidFill>
              <w14:schemeClr w14:val="tx1"/>
            </w14:solidFill>
          </w14:textFill>
        </w:rPr>
        <w:t xml:space="preserve">3 </w:t>
      </w:r>
      <w:r>
        <w:rPr>
          <w:rFonts w:ascii="Times New Roman" w:hAnsi="Times New Roman" w:cs="Times New Roman"/>
          <w:color w:val="000000" w:themeColor="text1"/>
          <w14:textFill>
            <w14:solidFill>
              <w14:schemeClr w14:val="tx1"/>
            </w14:solidFill>
          </w14:textFill>
        </w:rPr>
        <w:t>I</w:t>
      </w:r>
      <w:r>
        <w:rPr>
          <w:rFonts w:ascii="Times New Roman" w:hAnsi="Times New Roman"/>
        </w:rPr>
        <w:t>dentification and analysis of lncRNAs. (a) Venn</w:t>
      </w:r>
      <w:r>
        <w:rPr>
          <w:rFonts w:ascii="Times New Roman" w:hAnsi="Times New Roman"/>
          <w:b/>
          <w:color w:val="4933F7"/>
        </w:rPr>
        <w:t xml:space="preserve"> </w:t>
      </w:r>
      <w:r>
        <w:rPr>
          <w:rFonts w:ascii="Times New Roman" w:hAnsi="Times New Roman"/>
          <w:bCs/>
          <w:color w:val="000000" w:themeColor="text1"/>
          <w14:textFill>
            <w14:solidFill>
              <w14:schemeClr w14:val="tx1"/>
            </w14:solidFill>
          </w14:textFill>
        </w:rPr>
        <w:t xml:space="preserve">diagram of lncRNAs predicted by </w:t>
      </w:r>
      <w:r>
        <w:rPr>
          <w:rFonts w:ascii="Times New Roman" w:hAnsi="Times New Roman"/>
        </w:rPr>
        <w:t>PLEK, CPC, CNCI and Pfam. (b) Classification and proportions of four types of lncRNA. (c) Density and length distributions of mRNAs and lncRNAs. (d) Comparison of exon number of mRNAs and lncRNAs identified in present study.</w:t>
      </w:r>
    </w:p>
    <w:p>
      <w:pPr>
        <w:spacing w:before="100" w:beforeAutospacing="1" w:line="360" w:lineRule="auto"/>
        <w:rPr>
          <w:rFonts w:ascii="Times New Roman" w:hAnsi="Times New Roman"/>
        </w:rPr>
      </w:pPr>
      <w:r>
        <w:rPr>
          <w:rFonts w:hint="eastAsia" w:ascii="Times New Roman" w:hAnsi="Times New Roman"/>
          <w:b/>
          <w:color w:val="000000" w:themeColor="text1"/>
          <w14:textFill>
            <w14:solidFill>
              <w14:schemeClr w14:val="tx1"/>
            </w14:solidFill>
          </w14:textFill>
        </w:rPr>
        <w:t>F</w:t>
      </w:r>
      <w:r>
        <w:rPr>
          <w:rFonts w:ascii="Times New Roman" w:hAnsi="Times New Roman"/>
          <w:b/>
          <w:color w:val="000000" w:themeColor="text1"/>
          <w14:textFill>
            <w14:solidFill>
              <w14:schemeClr w14:val="tx1"/>
            </w14:solidFill>
          </w14:textFill>
        </w:rPr>
        <w:t>ig</w:t>
      </w:r>
      <w:r>
        <w:rPr>
          <w:rFonts w:hint="eastAsia" w:ascii="Times New Roman" w:hAnsi="Times New Roman"/>
          <w:b/>
          <w:color w:val="000000" w:themeColor="text1"/>
          <w14:textFill>
            <w14:solidFill>
              <w14:schemeClr w14:val="tx1"/>
            </w14:solidFill>
          </w14:textFill>
        </w:rPr>
        <w:t>ure</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S</w:t>
      </w:r>
      <w:r>
        <w:rPr>
          <w:rFonts w:ascii="Times New Roman" w:hAnsi="Times New Roman"/>
          <w:b/>
          <w:color w:val="000000" w:themeColor="text1"/>
          <w14:textFill>
            <w14:solidFill>
              <w14:schemeClr w14:val="tx1"/>
            </w14:solidFill>
          </w14:textFill>
        </w:rPr>
        <w:t xml:space="preserve">4 </w:t>
      </w:r>
      <w:r>
        <w:rPr>
          <w:rFonts w:ascii="Times New Roman" w:hAnsi="Times New Roman"/>
        </w:rPr>
        <w:t>The clustered heatmaps volcano maps of lncRNA, mRNA and miRNA in IB_I and IB_III.</w:t>
      </w:r>
    </w:p>
    <w:p>
      <w:pPr>
        <w:spacing w:before="100" w:beforeAutospacing="1" w:line="360" w:lineRule="auto"/>
        <w:rPr>
          <w:rFonts w:ascii="Times New Roman" w:hAnsi="Times New Roman"/>
        </w:rPr>
      </w:pPr>
      <w:r>
        <w:rPr>
          <w:rFonts w:hint="eastAsia" w:ascii="Times New Roman" w:hAnsi="Times New Roman"/>
          <w:b/>
          <w:color w:val="000000" w:themeColor="text1"/>
          <w14:textFill>
            <w14:solidFill>
              <w14:schemeClr w14:val="tx1"/>
            </w14:solidFill>
          </w14:textFill>
        </w:rPr>
        <w:t>F</w:t>
      </w:r>
      <w:r>
        <w:rPr>
          <w:rFonts w:ascii="Times New Roman" w:hAnsi="Times New Roman"/>
          <w:b/>
          <w:color w:val="000000" w:themeColor="text1"/>
          <w14:textFill>
            <w14:solidFill>
              <w14:schemeClr w14:val="tx1"/>
            </w14:solidFill>
          </w14:textFill>
        </w:rPr>
        <w:t>ig</w:t>
      </w:r>
      <w:r>
        <w:rPr>
          <w:rFonts w:hint="eastAsia" w:ascii="Times New Roman" w:hAnsi="Times New Roman"/>
          <w:b/>
          <w:color w:val="000000" w:themeColor="text1"/>
          <w14:textFill>
            <w14:solidFill>
              <w14:schemeClr w14:val="tx1"/>
            </w14:solidFill>
          </w14:textFill>
        </w:rPr>
        <w:t>ure</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S</w:t>
      </w:r>
      <w:r>
        <w:rPr>
          <w:rFonts w:ascii="Times New Roman" w:hAnsi="Times New Roman"/>
          <w:b/>
          <w:color w:val="000000" w:themeColor="text1"/>
          <w14:textFill>
            <w14:solidFill>
              <w14:schemeClr w14:val="tx1"/>
            </w14:solidFill>
          </w14:textFill>
        </w:rPr>
        <w:t xml:space="preserve">5 </w:t>
      </w:r>
      <w:r>
        <w:rPr>
          <w:rFonts w:ascii="Times New Roman" w:hAnsi="Times New Roman"/>
          <w:bCs/>
          <w:color w:val="000000" w:themeColor="text1"/>
          <w14:textFill>
            <w14:solidFill>
              <w14:schemeClr w14:val="tx1"/>
            </w14:solidFill>
          </w14:textFill>
        </w:rPr>
        <w:t>The</w:t>
      </w:r>
      <w:r>
        <w:rPr>
          <w:rFonts w:ascii="Times New Roman" w:hAnsi="Times New Roman"/>
          <w:b/>
          <w:color w:val="000000" w:themeColor="text1"/>
          <w14:textFill>
            <w14:solidFill>
              <w14:schemeClr w14:val="tx1"/>
            </w14:solidFill>
          </w14:textFill>
        </w:rPr>
        <w:t xml:space="preserve"> </w:t>
      </w:r>
      <w:r>
        <w:rPr>
          <w:rFonts w:ascii="Times New Roman" w:hAnsi="Times New Roman"/>
        </w:rPr>
        <w:t>GO enrichment analysis. (</w:t>
      </w:r>
      <w:r>
        <w:rPr>
          <w:rFonts w:hint="eastAsia" w:ascii="Times New Roman" w:hAnsi="Times New Roman"/>
        </w:rPr>
        <w:t>a</w:t>
      </w:r>
      <w:r>
        <w:rPr>
          <w:rFonts w:ascii="Times New Roman" w:hAnsi="Times New Roman"/>
        </w:rPr>
        <w:t xml:space="preserve">) </w:t>
      </w:r>
      <w:r>
        <w:rPr>
          <w:rFonts w:ascii="Times New Roman" w:hAnsi="Times New Roman"/>
          <w:bCs/>
          <w:color w:val="000000" w:themeColor="text1"/>
          <w14:textFill>
            <w14:solidFill>
              <w14:schemeClr w14:val="tx1"/>
            </w14:solidFill>
          </w14:textFill>
        </w:rPr>
        <w:t>The</w:t>
      </w:r>
      <w:r>
        <w:rPr>
          <w:rFonts w:ascii="Times New Roman" w:hAnsi="Times New Roman"/>
          <w:b/>
          <w:color w:val="000000" w:themeColor="text1"/>
          <w14:textFill>
            <w14:solidFill>
              <w14:schemeClr w14:val="tx1"/>
            </w14:solidFill>
          </w14:textFill>
        </w:rPr>
        <w:t xml:space="preserve"> </w:t>
      </w:r>
      <w:r>
        <w:rPr>
          <w:rFonts w:ascii="Times New Roman" w:hAnsi="Times New Roman"/>
        </w:rPr>
        <w:t>GO enrichment of the co-expression mRNA of differentially expressed lncRNAs. (b)</w:t>
      </w:r>
      <w:r>
        <w:rPr>
          <w:rFonts w:ascii="Times New Roman" w:hAnsi="Times New Roman"/>
          <w:bCs/>
          <w:color w:val="000000" w:themeColor="text1"/>
          <w14:textFill>
            <w14:solidFill>
              <w14:schemeClr w14:val="tx1"/>
            </w14:solidFill>
          </w14:textFill>
        </w:rPr>
        <w:t xml:space="preserve"> The</w:t>
      </w:r>
      <w:r>
        <w:rPr>
          <w:rFonts w:ascii="Times New Roman" w:hAnsi="Times New Roman"/>
          <w:b/>
          <w:color w:val="000000" w:themeColor="text1"/>
          <w14:textFill>
            <w14:solidFill>
              <w14:schemeClr w14:val="tx1"/>
            </w14:solidFill>
          </w14:textFill>
        </w:rPr>
        <w:t xml:space="preserve"> </w:t>
      </w:r>
      <w:r>
        <w:rPr>
          <w:rFonts w:ascii="Times New Roman" w:hAnsi="Times New Roman"/>
        </w:rPr>
        <w:t>GO enrichment of the target mRNA of differentially expressed miRNAs.</w:t>
      </w:r>
    </w:p>
    <w:p>
      <w:pPr>
        <w:spacing w:before="100" w:beforeAutospacing="1" w:line="360" w:lineRule="auto"/>
        <w:rPr>
          <w:rFonts w:ascii="Times New Roman" w:hAnsi="Times New Roman"/>
        </w:rPr>
      </w:pPr>
      <w:r>
        <w:rPr>
          <w:rFonts w:hint="eastAsia" w:ascii="Times New Roman" w:hAnsi="Times New Roman"/>
          <w:b/>
          <w:color w:val="000000" w:themeColor="text1"/>
          <w14:textFill>
            <w14:solidFill>
              <w14:schemeClr w14:val="tx1"/>
            </w14:solidFill>
          </w14:textFill>
        </w:rPr>
        <w:t>F</w:t>
      </w:r>
      <w:r>
        <w:rPr>
          <w:rFonts w:ascii="Times New Roman" w:hAnsi="Times New Roman"/>
          <w:b/>
          <w:color w:val="000000" w:themeColor="text1"/>
          <w14:textFill>
            <w14:solidFill>
              <w14:schemeClr w14:val="tx1"/>
            </w14:solidFill>
          </w14:textFill>
        </w:rPr>
        <w:t>ig</w:t>
      </w:r>
      <w:r>
        <w:rPr>
          <w:rFonts w:hint="eastAsia" w:ascii="Times New Roman" w:hAnsi="Times New Roman"/>
          <w:b/>
          <w:color w:val="000000" w:themeColor="text1"/>
          <w14:textFill>
            <w14:solidFill>
              <w14:schemeClr w14:val="tx1"/>
            </w14:solidFill>
          </w14:textFill>
        </w:rPr>
        <w:t>ure</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14:textFill>
            <w14:solidFill>
              <w14:schemeClr w14:val="tx1"/>
            </w14:solidFill>
          </w14:textFill>
        </w:rPr>
        <w:t>S</w:t>
      </w:r>
      <w:r>
        <w:rPr>
          <w:rFonts w:ascii="Times New Roman" w:hAnsi="Times New Roman"/>
          <w:b/>
          <w:color w:val="000000" w:themeColor="text1"/>
          <w14:textFill>
            <w14:solidFill>
              <w14:schemeClr w14:val="tx1"/>
            </w14:solidFill>
          </w14:textFill>
        </w:rPr>
        <w:t xml:space="preserve">6 </w:t>
      </w:r>
      <w:r>
        <w:rPr>
          <w:rFonts w:ascii="Times New Roman" w:hAnsi="Times New Roman"/>
        </w:rPr>
        <w:t>Top 20 enriched Kyoto Encyclopedia of Gene and Genome (KEGG) pathways. (a) Top 20 enriched KEGG pathways of the co-expression mRNA of differentially expressed lncRNAs. (b) Top 20 enriched KEGG pathways of differentially expressed mRNAs (c) Top 20 enriched KEGG pathways of the target mRNA of differentially expressed miRNAs.</w:t>
      </w:r>
    </w:p>
    <w:p>
      <w:r>
        <w:rPr>
          <w:rFonts w:hint="eastAsia"/>
        </w:rPr>
        <w:drawing>
          <wp:inline distT="0" distB="0" distL="114300" distR="114300">
            <wp:extent cx="5272405" cy="2989580"/>
            <wp:effectExtent l="0" t="0" r="635" b="12700"/>
            <wp:docPr id="1" name="图片 1" descr="Supplementary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 1"/>
                    <pic:cNvPicPr>
                      <a:picLocks noChangeAspect="1"/>
                    </pic:cNvPicPr>
                  </pic:nvPicPr>
                  <pic:blipFill>
                    <a:blip r:embed="rId4"/>
                    <a:stretch>
                      <a:fillRect/>
                    </a:stretch>
                  </pic:blipFill>
                  <pic:spPr>
                    <a:xfrm>
                      <a:off x="0" y="0"/>
                      <a:ext cx="5272405" cy="2989580"/>
                    </a:xfrm>
                    <a:prstGeom prst="rect">
                      <a:avLst/>
                    </a:prstGeom>
                  </pic:spPr>
                </pic:pic>
              </a:graphicData>
            </a:graphic>
          </wp:inline>
        </w:drawing>
      </w:r>
    </w:p>
    <w:p>
      <w:pPr>
        <w:rPr>
          <w:rFonts w:ascii="Times New Roman" w:hAnsi="Times New Roman" w:cs="Times New Roman"/>
          <w:b/>
          <w:bCs/>
        </w:rPr>
      </w:pPr>
      <w:r>
        <w:rPr>
          <w:rFonts w:ascii="Times New Roman" w:hAnsi="Times New Roman" w:cs="Times New Roman"/>
          <w:b/>
          <w:bCs/>
        </w:rPr>
        <w:t>Fig</w:t>
      </w:r>
      <w:r>
        <w:rPr>
          <w:rFonts w:hint="eastAsia" w:ascii="Times New Roman" w:hAnsi="Times New Roman" w:cs="Times New Roman"/>
          <w:b/>
          <w:bCs/>
        </w:rPr>
        <w:t xml:space="preserve">ure </w:t>
      </w:r>
      <w:r>
        <w:rPr>
          <w:rFonts w:ascii="Times New Roman" w:hAnsi="Times New Roman" w:cs="Times New Roman"/>
          <w:b/>
          <w:bCs/>
        </w:rPr>
        <w:t>S1</w:t>
      </w:r>
    </w:p>
    <w:p>
      <w:pPr>
        <w:rPr>
          <w:rFonts w:ascii="Times New Roman" w:hAnsi="Times New Roman" w:cs="Times New Roman"/>
          <w:b/>
          <w:bCs/>
        </w:rPr>
      </w:pPr>
      <w:r>
        <w:rPr>
          <w:rFonts w:ascii="Times New Roman" w:hAnsi="Times New Roman" w:cs="Times New Roman"/>
          <w:b/>
          <w:bCs/>
        </w:rPr>
        <w:br w:type="page"/>
      </w:r>
    </w:p>
    <w:p>
      <w:pPr>
        <w:rPr>
          <w:rFonts w:ascii="Times New Roman" w:hAnsi="Times New Roman" w:cs="Times New Roman"/>
          <w:b/>
          <w:bCs/>
        </w:rPr>
      </w:pPr>
      <w:r>
        <w:rPr>
          <w:rFonts w:ascii="Times New Roman" w:hAnsi="Times New Roman" w:cs="Times New Roman"/>
          <w:b/>
          <w:bCs/>
        </w:rPr>
        <w:drawing>
          <wp:anchor distT="0" distB="0" distL="114300" distR="114300" simplePos="0" relativeHeight="251658240" behindDoc="0" locked="0" layoutInCell="1" allowOverlap="1">
            <wp:simplePos x="0" y="0"/>
            <wp:positionH relativeFrom="column">
              <wp:posOffset>5080</wp:posOffset>
            </wp:positionH>
            <wp:positionV relativeFrom="paragraph">
              <wp:posOffset>44450</wp:posOffset>
            </wp:positionV>
            <wp:extent cx="5274310" cy="6607810"/>
            <wp:effectExtent l="0" t="0" r="0" b="0"/>
            <wp:wrapNone/>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6607810"/>
                    </a:xfrm>
                    <a:prstGeom prst="rect">
                      <a:avLst/>
                    </a:prstGeom>
                  </pic:spPr>
                </pic:pic>
              </a:graphicData>
            </a:graphic>
          </wp:anchor>
        </w:drawing>
      </w: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ascii="Times New Roman" w:hAnsi="Times New Roman" w:cs="Times New Roman"/>
          <w:b/>
          <w:bCs/>
        </w:rPr>
      </w:pPr>
    </w:p>
    <w:p>
      <w:pPr>
        <w:rPr>
          <w:rFonts w:hint="eastAsia" w:ascii="Times New Roman" w:hAnsi="Times New Roman" w:cs="Times New Roman"/>
          <w:b/>
          <w:bCs/>
        </w:rPr>
      </w:pPr>
    </w:p>
    <w:p>
      <w:pPr>
        <w:rPr>
          <w:rFonts w:hint="eastAsia" w:ascii="Times New Roman" w:hAnsi="Times New Roman" w:cs="Times New Roman"/>
          <w:b/>
          <w:bCs/>
        </w:rPr>
      </w:pPr>
      <w:r>
        <w:rPr>
          <w:rFonts w:ascii="Times New Roman" w:hAnsi="Times New Roman" w:cs="Times New Roman"/>
          <w:b/>
          <w:bCs/>
        </w:rPr>
        <w:t>Fig</w:t>
      </w:r>
      <w:r>
        <w:rPr>
          <w:rFonts w:hint="eastAsia" w:ascii="Times New Roman" w:hAnsi="Times New Roman" w:cs="Times New Roman"/>
          <w:b/>
          <w:bCs/>
        </w:rPr>
        <w:t xml:space="preserve">ure </w:t>
      </w:r>
      <w:r>
        <w:rPr>
          <w:rFonts w:ascii="Times New Roman" w:hAnsi="Times New Roman" w:cs="Times New Roman"/>
          <w:b/>
          <w:bCs/>
        </w:rPr>
        <w:t>S</w:t>
      </w:r>
      <w:r>
        <w:rPr>
          <w:rFonts w:hint="eastAsia" w:ascii="Times New Roman" w:hAnsi="Times New Roman" w:cs="Times New Roman"/>
          <w:b/>
          <w:bCs/>
        </w:rPr>
        <w:t>2</w:t>
      </w:r>
    </w:p>
    <w:p>
      <w:pPr>
        <w:rPr>
          <w:rFonts w:ascii="Times New Roman" w:hAnsi="Times New Roman" w:cs="Times New Roman"/>
          <w:b/>
          <w:bCs/>
        </w:rPr>
        <w:sectPr>
          <w:pgSz w:w="11906" w:h="16838"/>
          <w:pgMar w:top="1440" w:right="1800" w:bottom="1440" w:left="1800" w:header="851" w:footer="992" w:gutter="0"/>
          <w:cols w:space="425" w:num="1"/>
          <w:docGrid w:type="lines" w:linePitch="312" w:charSpace="0"/>
        </w:sectPr>
      </w:pPr>
    </w:p>
    <w:p>
      <w:pPr>
        <w:rPr>
          <w:rFonts w:ascii="Times New Roman" w:hAnsi="Times New Roman" w:cs="Times New Roman"/>
          <w:b/>
          <w:bCs/>
        </w:rPr>
      </w:pPr>
      <w:r>
        <w:rPr>
          <w:rFonts w:ascii="Times New Roman" w:hAnsi="Times New Roman" w:cs="Times New Roman"/>
          <w:b/>
          <w:bCs/>
        </w:rPr>
        <w:drawing>
          <wp:inline distT="0" distB="0" distL="114300" distR="114300">
            <wp:extent cx="5271135" cy="3787775"/>
            <wp:effectExtent l="0" t="0" r="1905" b="6985"/>
            <wp:docPr id="2" name="图片 2" descr="Supplementary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 2"/>
                    <pic:cNvPicPr>
                      <a:picLocks noChangeAspect="1"/>
                    </pic:cNvPicPr>
                  </pic:nvPicPr>
                  <pic:blipFill>
                    <a:blip r:embed="rId6"/>
                    <a:stretch>
                      <a:fillRect/>
                    </a:stretch>
                  </pic:blipFill>
                  <pic:spPr>
                    <a:xfrm>
                      <a:off x="0" y="0"/>
                      <a:ext cx="5271135" cy="3787775"/>
                    </a:xfrm>
                    <a:prstGeom prst="rect">
                      <a:avLst/>
                    </a:prstGeom>
                  </pic:spPr>
                </pic:pic>
              </a:graphicData>
            </a:graphic>
          </wp:inline>
        </w:drawing>
      </w:r>
    </w:p>
    <w:p>
      <w:pPr>
        <w:rPr>
          <w:rFonts w:ascii="Times New Roman" w:hAnsi="Times New Roman" w:cs="Times New Roman"/>
          <w:b/>
          <w:bCs/>
        </w:rPr>
      </w:pPr>
      <w:r>
        <w:rPr>
          <w:rFonts w:ascii="Times New Roman" w:hAnsi="Times New Roman" w:cs="Times New Roman"/>
          <w:b/>
          <w:bCs/>
        </w:rPr>
        <w:t>Fig</w:t>
      </w:r>
      <w:r>
        <w:rPr>
          <w:rFonts w:hint="eastAsia" w:ascii="Times New Roman" w:hAnsi="Times New Roman" w:cs="Times New Roman"/>
          <w:b/>
          <w:bCs/>
        </w:rPr>
        <w:t xml:space="preserve">ure </w:t>
      </w:r>
      <w:r>
        <w:rPr>
          <w:rFonts w:ascii="Times New Roman" w:hAnsi="Times New Roman" w:cs="Times New Roman"/>
          <w:b/>
          <w:bCs/>
        </w:rPr>
        <w:t>S3</w:t>
      </w:r>
    </w:p>
    <w:p>
      <w:pPr>
        <w:rPr>
          <w:rFonts w:ascii="Times New Roman" w:hAnsi="Times New Roman" w:cs="Times New Roman"/>
          <w:b/>
          <w:bCs/>
        </w:rPr>
        <w:sectPr>
          <w:pgSz w:w="11906" w:h="16838"/>
          <w:pgMar w:top="1440" w:right="1800" w:bottom="1440" w:left="1800" w:header="851" w:footer="992" w:gutter="0"/>
          <w:cols w:space="425" w:num="1"/>
          <w:docGrid w:type="lines" w:linePitch="312" w:charSpace="0"/>
        </w:sectPr>
      </w:pPr>
    </w:p>
    <w:p>
      <w:pPr>
        <w:rPr>
          <w:rFonts w:ascii="Times New Roman" w:hAnsi="Times New Roman" w:cs="Times New Roman"/>
          <w:b/>
          <w:bCs/>
        </w:rPr>
      </w:pPr>
      <w:r>
        <w:rPr>
          <w:rFonts w:ascii="Times New Roman" w:hAnsi="Times New Roman" w:cs="Times New Roman"/>
          <w:b/>
          <w:bCs/>
        </w:rPr>
        <w:drawing>
          <wp:inline distT="0" distB="0" distL="114300" distR="114300">
            <wp:extent cx="5273675" cy="3171825"/>
            <wp:effectExtent l="0" t="0" r="14605" b="13335"/>
            <wp:docPr id="3" name="图片 3" descr="Supplementary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 Fig. 3"/>
                    <pic:cNvPicPr>
                      <a:picLocks noChangeAspect="1"/>
                    </pic:cNvPicPr>
                  </pic:nvPicPr>
                  <pic:blipFill>
                    <a:blip r:embed="rId7"/>
                    <a:stretch>
                      <a:fillRect/>
                    </a:stretch>
                  </pic:blipFill>
                  <pic:spPr>
                    <a:xfrm>
                      <a:off x="0" y="0"/>
                      <a:ext cx="5273675" cy="3171825"/>
                    </a:xfrm>
                    <a:prstGeom prst="rect">
                      <a:avLst/>
                    </a:prstGeom>
                  </pic:spPr>
                </pic:pic>
              </a:graphicData>
            </a:graphic>
          </wp:inline>
        </w:drawing>
      </w:r>
    </w:p>
    <w:p>
      <w:pPr>
        <w:rPr>
          <w:rFonts w:ascii="Times New Roman" w:hAnsi="Times New Roman" w:cs="Times New Roman"/>
          <w:b/>
          <w:bCs/>
        </w:rPr>
      </w:pPr>
      <w:r>
        <w:rPr>
          <w:rFonts w:ascii="Times New Roman" w:hAnsi="Times New Roman" w:cs="Times New Roman"/>
          <w:b/>
          <w:bCs/>
        </w:rPr>
        <w:t>Fig</w:t>
      </w:r>
      <w:r>
        <w:rPr>
          <w:rFonts w:hint="eastAsia" w:ascii="Times New Roman" w:hAnsi="Times New Roman" w:cs="Times New Roman"/>
          <w:b/>
          <w:bCs/>
        </w:rPr>
        <w:t xml:space="preserve">ure </w:t>
      </w:r>
      <w:r>
        <w:rPr>
          <w:rFonts w:ascii="Times New Roman" w:hAnsi="Times New Roman" w:cs="Times New Roman"/>
          <w:b/>
          <w:bCs/>
        </w:rPr>
        <w:t>S4</w:t>
      </w:r>
    </w:p>
    <w:p>
      <w:pPr>
        <w:rPr>
          <w:rFonts w:ascii="Times New Roman" w:hAnsi="Times New Roman" w:cs="Times New Roman"/>
          <w:b/>
          <w:bCs/>
        </w:rPr>
        <w:sectPr>
          <w:pgSz w:w="11906" w:h="16838"/>
          <w:pgMar w:top="1440" w:right="1800" w:bottom="1440" w:left="1800" w:header="851" w:footer="992" w:gutter="0"/>
          <w:cols w:space="425" w:num="1"/>
          <w:docGrid w:type="lines" w:linePitch="312" w:charSpace="0"/>
        </w:sectPr>
      </w:pPr>
    </w:p>
    <w:p>
      <w:pPr>
        <w:rPr>
          <w:rFonts w:ascii="Times New Roman" w:hAnsi="Times New Roman" w:cs="Times New Roman"/>
          <w:b/>
          <w:bCs/>
        </w:rPr>
      </w:pPr>
      <w:r>
        <w:rPr>
          <w:rFonts w:ascii="Times New Roman" w:hAnsi="Times New Roman" w:cs="Times New Roman"/>
          <w:b/>
          <w:bCs/>
        </w:rPr>
        <w:drawing>
          <wp:inline distT="0" distB="0" distL="114300" distR="114300">
            <wp:extent cx="5266690" cy="2059940"/>
            <wp:effectExtent l="0" t="0" r="6350" b="12700"/>
            <wp:docPr id="4" name="图片 4" descr="Supplementary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plementary Fig. 4"/>
                    <pic:cNvPicPr>
                      <a:picLocks noChangeAspect="1"/>
                    </pic:cNvPicPr>
                  </pic:nvPicPr>
                  <pic:blipFill>
                    <a:blip r:embed="rId8"/>
                    <a:stretch>
                      <a:fillRect/>
                    </a:stretch>
                  </pic:blipFill>
                  <pic:spPr>
                    <a:xfrm>
                      <a:off x="0" y="0"/>
                      <a:ext cx="5266690" cy="2059940"/>
                    </a:xfrm>
                    <a:prstGeom prst="rect">
                      <a:avLst/>
                    </a:prstGeom>
                  </pic:spPr>
                </pic:pic>
              </a:graphicData>
            </a:graphic>
          </wp:inline>
        </w:drawing>
      </w:r>
    </w:p>
    <w:p>
      <w:pPr>
        <w:rPr>
          <w:rFonts w:ascii="Times New Roman" w:hAnsi="Times New Roman" w:cs="Times New Roman"/>
          <w:b/>
          <w:bCs/>
        </w:rPr>
      </w:pPr>
      <w:r>
        <w:rPr>
          <w:rFonts w:ascii="Times New Roman" w:hAnsi="Times New Roman" w:cs="Times New Roman"/>
          <w:b/>
          <w:bCs/>
        </w:rPr>
        <w:t>Fig</w:t>
      </w:r>
      <w:r>
        <w:rPr>
          <w:rFonts w:hint="eastAsia" w:ascii="Times New Roman" w:hAnsi="Times New Roman" w:cs="Times New Roman"/>
          <w:b/>
          <w:bCs/>
        </w:rPr>
        <w:t xml:space="preserve">ure </w:t>
      </w:r>
      <w:r>
        <w:rPr>
          <w:rFonts w:ascii="Times New Roman" w:hAnsi="Times New Roman" w:cs="Times New Roman"/>
          <w:b/>
          <w:bCs/>
        </w:rPr>
        <w:t>S5</w:t>
      </w:r>
    </w:p>
    <w:p>
      <w:pPr>
        <w:rPr>
          <w:rFonts w:ascii="Times New Roman" w:hAnsi="Times New Roman" w:cs="Times New Roman"/>
          <w:b/>
          <w:bCs/>
        </w:rPr>
        <w:sectPr>
          <w:pgSz w:w="11906" w:h="16838"/>
          <w:pgMar w:top="1440" w:right="1800" w:bottom="1440" w:left="1800" w:header="851" w:footer="992" w:gutter="0"/>
          <w:cols w:space="425" w:num="1"/>
          <w:docGrid w:type="lines" w:linePitch="312" w:charSpace="0"/>
        </w:sectPr>
      </w:pPr>
    </w:p>
    <w:p>
      <w:pPr>
        <w:rPr>
          <w:rFonts w:ascii="Times New Roman" w:hAnsi="Times New Roman" w:cs="Times New Roman"/>
          <w:b/>
          <w:bCs/>
        </w:rPr>
      </w:pPr>
      <w:r>
        <w:rPr>
          <w:rFonts w:hint="eastAsia" w:ascii="Times New Roman" w:hAnsi="Times New Roman" w:cs="Times New Roman"/>
          <w:b/>
          <w:bCs/>
        </w:rPr>
        <w:drawing>
          <wp:inline distT="0" distB="0" distL="114300" distR="114300">
            <wp:extent cx="5260975" cy="1710055"/>
            <wp:effectExtent l="0" t="0" r="12065" b="12065"/>
            <wp:docPr id="5" name="图片 5" descr="Supplementary 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plementary Fig. 5"/>
                    <pic:cNvPicPr>
                      <a:picLocks noChangeAspect="1"/>
                    </pic:cNvPicPr>
                  </pic:nvPicPr>
                  <pic:blipFill>
                    <a:blip r:embed="rId9"/>
                    <a:stretch>
                      <a:fillRect/>
                    </a:stretch>
                  </pic:blipFill>
                  <pic:spPr>
                    <a:xfrm>
                      <a:off x="0" y="0"/>
                      <a:ext cx="5260975" cy="1710055"/>
                    </a:xfrm>
                    <a:prstGeom prst="rect">
                      <a:avLst/>
                    </a:prstGeom>
                  </pic:spPr>
                </pic:pic>
              </a:graphicData>
            </a:graphic>
          </wp:inline>
        </w:drawing>
      </w:r>
    </w:p>
    <w:p>
      <w:pPr>
        <w:rPr>
          <w:rFonts w:ascii="Times New Roman" w:hAnsi="Times New Roman" w:cs="Times New Roman"/>
          <w:b/>
          <w:bCs/>
        </w:rPr>
      </w:pPr>
      <w:r>
        <w:rPr>
          <w:rFonts w:ascii="Times New Roman" w:hAnsi="Times New Roman" w:cs="Times New Roman"/>
          <w:b/>
          <w:bCs/>
        </w:rPr>
        <w:t>Fig</w:t>
      </w:r>
      <w:r>
        <w:rPr>
          <w:rFonts w:hint="eastAsia" w:ascii="Times New Roman" w:hAnsi="Times New Roman" w:cs="Times New Roman"/>
          <w:b/>
          <w:bCs/>
        </w:rPr>
        <w:t xml:space="preserve">ure </w:t>
      </w:r>
      <w:r>
        <w:rPr>
          <w:rFonts w:ascii="Times New Roman" w:hAnsi="Times New Roman" w:cs="Times New Roman"/>
          <w:b/>
          <w:bCs/>
        </w:rPr>
        <w:t>S6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1D07E0"/>
    <w:rsid w:val="002C6251"/>
    <w:rsid w:val="00F65BEF"/>
    <w:rsid w:val="02E852F0"/>
    <w:rsid w:val="1E1D07E0"/>
    <w:rsid w:val="29BB3E3C"/>
    <w:rsid w:val="60934C81"/>
    <w:rsid w:val="7C0A4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basedOn w:val="3"/>
    <w:unhideWhenUsed/>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433</Words>
  <Characters>2471</Characters>
  <Lines>20</Lines>
  <Paragraphs>5</Paragraphs>
  <TotalTime>0</TotalTime>
  <ScaleCrop>false</ScaleCrop>
  <LinksUpToDate>false</LinksUpToDate>
  <CharactersWithSpaces>2899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2020-08-09T09:40:00Z</dcterms:created>
  <dc:creator>DELL</dc:creator>
  <cp:lastModifiedBy>DELL</cp:lastModifiedBy>
  <dcterms:modified xsi:type="dcterms:W3CDTF">2020-12-14T06:07:30Z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