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Table S1. The association of COPD mortality and risk factors from multivariate logistical regressions by selection of control and season.</w:t>
      </w:r>
    </w:p>
    <w:tbl>
      <w:tblPr>
        <w:tblStyle w:val="2"/>
        <w:tblpPr w:leftFromText="180" w:rightFromText="180" w:vertAnchor="text" w:horzAnchor="page" w:tblpX="1088" w:tblpY="717"/>
        <w:tblOverlap w:val="never"/>
        <w:tblW w:w="14474" w:type="dxa"/>
        <w:jc w:val="center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5"/>
        <w:gridCol w:w="1820"/>
        <w:gridCol w:w="1050"/>
        <w:gridCol w:w="240"/>
        <w:gridCol w:w="1720"/>
        <w:gridCol w:w="910"/>
        <w:gridCol w:w="300"/>
        <w:gridCol w:w="1660"/>
        <w:gridCol w:w="950"/>
        <w:gridCol w:w="290"/>
        <w:gridCol w:w="1750"/>
        <w:gridCol w:w="969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op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Variables</w:t>
            </w:r>
          </w:p>
        </w:tc>
        <w:tc>
          <w:tcPr>
            <w:tcW w:w="2870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Multivariate analysis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1</w:t>
            </w:r>
          </w:p>
        </w:tc>
        <w:tc>
          <w:tcPr>
            <w:tcW w:w="240" w:type="dxa"/>
            <w:tcBorders>
              <w:top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630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Multivariate analysis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30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Multivariate analysis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29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Multivariate analysis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OR(95%CI)</w:t>
            </w:r>
          </w:p>
        </w:tc>
        <w:tc>
          <w:tcPr>
            <w:tcW w:w="105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P</w:t>
            </w:r>
          </w:p>
        </w:tc>
        <w:tc>
          <w:tcPr>
            <w:tcW w:w="240" w:type="dxa"/>
            <w:tcBorders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OR(95%CI)</w:t>
            </w:r>
          </w:p>
        </w:tc>
        <w:tc>
          <w:tcPr>
            <w:tcW w:w="91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P</w:t>
            </w:r>
          </w:p>
        </w:tc>
        <w:tc>
          <w:tcPr>
            <w:tcW w:w="30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6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OR(95%CI)</w:t>
            </w:r>
          </w:p>
        </w:tc>
        <w:tc>
          <w:tcPr>
            <w:tcW w:w="95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P</w:t>
            </w:r>
          </w:p>
        </w:tc>
        <w:tc>
          <w:tcPr>
            <w:tcW w:w="29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5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OR(95%CI)</w:t>
            </w:r>
          </w:p>
        </w:tc>
        <w:tc>
          <w:tcPr>
            <w:tcW w:w="969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P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E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ducation</w:t>
            </w:r>
            <w:bookmarkEnd w:id="0"/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 w:bidi="ar"/>
              </w:rPr>
              <w:t>S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lang w:bidi="ar"/>
              </w:rPr>
              <w:t>enior high school or above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lang w:bidi="ar"/>
              </w:rPr>
              <w:t>junior middle school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lang w:bidi="ar"/>
              </w:rPr>
              <w:t>Primary School or below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lang w:bidi="ar"/>
              </w:rPr>
              <w:t>Marriage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 w:bidi="ar"/>
              </w:rPr>
              <w:t>Others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lang w:bidi="ar"/>
              </w:rPr>
              <w:t>Married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0.587(0.443-0.777)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 w:bidi="ar"/>
              </w:rPr>
              <w:t>Occupation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 w:bidi="ar"/>
              </w:rPr>
              <w:t>Others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bidi="ar"/>
              </w:rPr>
              <w:t>Industry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bidi="ar"/>
              </w:rPr>
              <w:t xml:space="preserve"> related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lang w:bidi="ar"/>
              </w:rPr>
              <w:t>Agriculture-related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Extremely low temperature (℃)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&gt;20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15-20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1.429(0.900-2.271)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0.131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1.066(0.699-1.624)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0.768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0.868(0.529-1.424)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0.575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1.036(0.637-1.687)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0.886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5-15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1.149(0.780-1.693)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0.483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1.946(1.321-2.867)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1.191(0.846-1.676)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0.317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1.463(1.045-2.050)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0.027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&lt;5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1.557(1.106-2.194)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0.011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2.126(1.535-2.945)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1.509(1.039-2.190)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0.031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2.133(1.456-3.125)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Distance to the closest highway(m)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&gt;650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350-650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1.857(1.248-2.765)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1.402(0.964-2.041)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0.077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1.382(0.906-2.108)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0.133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1.237(0.805-1.903)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0.332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200-350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1.580(1.006-2.479)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0.047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1.756(1.120-2.752)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0.014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2.006(1.275-3.157)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2.604(1.606-4.222)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&lt;200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2.650(1.391-5.048)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1.450(0.803-2.616)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0.218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1.167(0.568-2.400)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0.674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0.757(0.384-1.493)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0.422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Distance to the closest major road(m)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&gt;500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300-500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100-300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&lt;100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Distance to the closest hospital(m)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&gt;2000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1000-2000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1.550(1.082-2.221)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0.017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500-1000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1.275(0.867-1.877)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0.217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200-500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1.418(0.908-2.213)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0.124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&lt;200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0.465(0.196-1.103)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0.082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Distance to the closest factory(m)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&gt;500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200-500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50-200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&lt;50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Factory density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Q4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Q3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Population density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Q4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Q3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0.570(0.382-0.852)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0.006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0.749(0.435-1.289)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0.296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1.316(0.779-2.223)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0.305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GDP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Q4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Q3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0.952(0.638-1.420)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0.808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0.784(0.519-1.183)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0.246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1.204(0.789-1.836)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0.389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1.330(0.877-2.018)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0.180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Q2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1.002(0.618-1.625)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0.994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0.847(0.527-1.362)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0.494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1.267(0.755-2.124)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0.370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1.370(0.914-2.054)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0.128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Q1</w:t>
            </w:r>
          </w:p>
        </w:tc>
        <w:tc>
          <w:tcPr>
            <w:tcW w:w="18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2.015(1.156-3.512)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0.013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*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1.276(1.012-1.423)</w:t>
            </w:r>
          </w:p>
        </w:tc>
        <w:tc>
          <w:tcPr>
            <w:tcW w:w="9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0.038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2.670(1.486-4.799)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*</w:t>
            </w:r>
          </w:p>
        </w:tc>
        <w:tc>
          <w:tcPr>
            <w:tcW w:w="2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2.011(1.314-3.080)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0.001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spacing w:line="240" w:lineRule="auto"/>
        <w:rPr>
          <w:rFonts w:hint="default" w:ascii="Times New Roman" w:hAnsi="Times New Roman" w:cs="Times New Roman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vertAlign w:val="superscript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Multivariate analysis used data in Autumn and winter ( from September to February), and controls were deaths due to cardiovascular disease.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Multivariate analysis used data in Autumn and winter ( from September to February), and controls were deaths due to tumor.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Multivariate analysis used data in Spring and Summer( from March to August), and controls were deaths due to cardiovascular disease.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vertAlign w:val="superscript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vertAlign w:val="baseline"/>
          <w:lang w:val="en-US" w:eastAsia="zh-CN"/>
        </w:rPr>
        <w:t xml:space="preserve">Multivariate analysis used data in Spring and Summer( from March to August), and controls were deaths due to </w:t>
      </w:r>
      <w:r>
        <w:rPr>
          <w:rFonts w:hint="eastAsia" w:ascii="Times New Roman" w:hAnsi="Times New Roman" w:cs="Times New Roman"/>
          <w:color w:val="auto"/>
          <w:vertAlign w:val="baseline"/>
          <w:lang w:val="en-US" w:eastAsia="zh-CN"/>
        </w:rPr>
        <w:t>tumor</w:t>
      </w:r>
      <w:r>
        <w:rPr>
          <w:rFonts w:hint="default" w:ascii="Times New Roman" w:hAnsi="Times New Roman" w:cs="Times New Roman"/>
          <w:color w:val="auto"/>
          <w:vertAlign w:val="baseline"/>
          <w:lang w:val="en-US" w:eastAsia="zh-CN"/>
        </w:rPr>
        <w:t>.</w:t>
      </w:r>
    </w:p>
    <w:p>
      <w:pPr>
        <w:spacing w:line="240" w:lineRule="auto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Temperature represented the 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average extreme low temperature 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in the month prior to death.</w:t>
      </w:r>
    </w:p>
    <w:p>
      <w:pPr>
        <w:spacing w:line="240" w:lineRule="auto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Q1–Q4 represent the interquartile value of risk factors.</w:t>
      </w:r>
    </w:p>
    <w:p>
      <w:pPr>
        <w:spacing w:line="240" w:lineRule="auto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OR, Odds ratio; aOR, adjusted odds ratio; CI, confidence interval.</w:t>
      </w:r>
    </w:p>
    <w:p>
      <w:pPr>
        <w:spacing w:line="240" w:lineRule="auto"/>
        <w:rPr>
          <w:rFonts w:hint="eastAsia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*P &lt; 0.05.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E44B4"/>
    <w:rsid w:val="069E44B4"/>
    <w:rsid w:val="30814EE2"/>
    <w:rsid w:val="54304760"/>
    <w:rsid w:val="6FC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2020-12-18T11:34:00Z</dcterms:created>
  <dc:creator>张娜</dc:creator>
  <cp:lastModifiedBy>张娜</cp:lastModifiedBy>
  <dcterms:modified xsi:type="dcterms:W3CDTF">2021-01-19T14:44:10Z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