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15FA" w14:textId="77777777" w:rsidR="009874EF" w:rsidRPr="00CB1A42" w:rsidRDefault="009874EF" w:rsidP="009874EF">
      <w:pPr>
        <w:pStyle w:val="NoSpacing"/>
        <w:jc w:val="center"/>
        <w:outlineLvl w:val="0"/>
        <w:rPr>
          <w:lang w:val="en-GB"/>
        </w:rPr>
      </w:pPr>
      <w:r w:rsidRPr="00CB1A42">
        <w:rPr>
          <w:lang w:val="en-GB"/>
        </w:rPr>
        <w:t xml:space="preserve">Supplementary Material </w:t>
      </w:r>
    </w:p>
    <w:p w14:paraId="6B72DB1B" w14:textId="77777777" w:rsidR="009874EF" w:rsidRPr="002600D7" w:rsidRDefault="009874EF" w:rsidP="009874EF">
      <w:pPr>
        <w:jc w:val="center"/>
      </w:pPr>
    </w:p>
    <w:p w14:paraId="304C78FF" w14:textId="77777777" w:rsidR="009874EF" w:rsidRDefault="009874EF" w:rsidP="009874EF">
      <w:pPr>
        <w:spacing w:line="240" w:lineRule="auto"/>
        <w:rPr>
          <w:b/>
        </w:rPr>
      </w:pPr>
    </w:p>
    <w:p w14:paraId="00CA8E8E" w14:textId="77777777" w:rsidR="009874EF" w:rsidRDefault="009874EF" w:rsidP="009874EF">
      <w:pPr>
        <w:spacing w:line="240" w:lineRule="auto"/>
        <w:rPr>
          <w:b/>
          <w:iCs/>
          <w:color w:val="000000" w:themeColor="text1"/>
          <w:sz w:val="18"/>
          <w:szCs w:val="18"/>
        </w:rPr>
      </w:pPr>
      <w:r>
        <w:br w:type="page"/>
      </w:r>
    </w:p>
    <w:tbl>
      <w:tblPr>
        <w:tblStyle w:val="TableGrid"/>
        <w:tblW w:w="0" w:type="auto"/>
        <w:jc w:val="center"/>
        <w:tblLook w:val="04A0" w:firstRow="1" w:lastRow="0" w:firstColumn="1" w:lastColumn="0" w:noHBand="0" w:noVBand="1"/>
      </w:tblPr>
      <w:tblGrid>
        <w:gridCol w:w="2527"/>
        <w:gridCol w:w="2237"/>
      </w:tblGrid>
      <w:tr w:rsidR="009874EF" w14:paraId="4D2B7B70" w14:textId="77777777" w:rsidTr="001633BE">
        <w:trPr>
          <w:trHeight w:val="132"/>
          <w:jc w:val="center"/>
        </w:trPr>
        <w:tc>
          <w:tcPr>
            <w:tcW w:w="2527" w:type="dxa"/>
            <w:vAlign w:val="center"/>
          </w:tcPr>
          <w:p w14:paraId="75CB8EBC" w14:textId="77777777" w:rsidR="009874EF" w:rsidRPr="00253419" w:rsidRDefault="009874EF" w:rsidP="001633BE">
            <w:pPr>
              <w:pStyle w:val="NoSpacing"/>
              <w:spacing w:line="240" w:lineRule="auto"/>
              <w:jc w:val="center"/>
              <w:rPr>
                <w:b/>
              </w:rPr>
            </w:pPr>
            <w:r w:rsidRPr="00253419">
              <w:rPr>
                <w:b/>
              </w:rPr>
              <w:lastRenderedPageBreak/>
              <w:t>Off-resonance error</w:t>
            </w:r>
            <w:r>
              <w:rPr>
                <w:b/>
              </w:rPr>
              <w:t xml:space="preserve"> (Hz)</w:t>
            </w:r>
          </w:p>
        </w:tc>
        <w:tc>
          <w:tcPr>
            <w:tcW w:w="2237" w:type="dxa"/>
            <w:vAlign w:val="center"/>
          </w:tcPr>
          <w:p w14:paraId="1D2FC87F" w14:textId="77777777" w:rsidR="009874EF" w:rsidRPr="00253419" w:rsidRDefault="009874EF" w:rsidP="001633BE">
            <w:pPr>
              <w:pStyle w:val="NoSpacing"/>
              <w:spacing w:line="240" w:lineRule="auto"/>
              <w:jc w:val="center"/>
              <w:rPr>
                <w:b/>
              </w:rPr>
            </w:pPr>
            <w:r w:rsidRPr="00253419">
              <w:rPr>
                <w:b/>
              </w:rPr>
              <w:t>Correction in T1</w:t>
            </w:r>
            <w:r>
              <w:rPr>
                <w:b/>
              </w:rPr>
              <w:t xml:space="preserve"> (ms)</w:t>
            </w:r>
          </w:p>
        </w:tc>
      </w:tr>
      <w:tr w:rsidR="009874EF" w14:paraId="4D0B7625" w14:textId="77777777" w:rsidTr="001633BE">
        <w:trPr>
          <w:trHeight w:val="20"/>
          <w:jc w:val="center"/>
        </w:trPr>
        <w:tc>
          <w:tcPr>
            <w:tcW w:w="2527" w:type="dxa"/>
            <w:vAlign w:val="center"/>
          </w:tcPr>
          <w:p w14:paraId="182B6696" w14:textId="77777777" w:rsidR="009874EF" w:rsidRPr="00253419" w:rsidRDefault="009874EF" w:rsidP="001633BE">
            <w:pPr>
              <w:pStyle w:val="NoSpacing"/>
              <w:spacing w:line="240" w:lineRule="auto"/>
              <w:jc w:val="center"/>
            </w:pPr>
            <w:r>
              <w:t>0</w:t>
            </w:r>
          </w:p>
        </w:tc>
        <w:tc>
          <w:tcPr>
            <w:tcW w:w="2237" w:type="dxa"/>
            <w:vAlign w:val="center"/>
          </w:tcPr>
          <w:p w14:paraId="540B3560" w14:textId="77777777" w:rsidR="009874EF" w:rsidRPr="00253419" w:rsidRDefault="009874EF" w:rsidP="001633BE">
            <w:pPr>
              <w:pStyle w:val="NoSpacing"/>
              <w:spacing w:line="240" w:lineRule="auto"/>
              <w:jc w:val="center"/>
            </w:pPr>
            <w:r>
              <w:t>0</w:t>
            </w:r>
          </w:p>
        </w:tc>
      </w:tr>
      <w:tr w:rsidR="009874EF" w14:paraId="365703B2" w14:textId="77777777" w:rsidTr="001633BE">
        <w:trPr>
          <w:trHeight w:val="20"/>
          <w:jc w:val="center"/>
        </w:trPr>
        <w:tc>
          <w:tcPr>
            <w:tcW w:w="2527" w:type="dxa"/>
            <w:vAlign w:val="center"/>
          </w:tcPr>
          <w:p w14:paraId="4BC05437" w14:textId="77777777" w:rsidR="009874EF" w:rsidRPr="00253419" w:rsidRDefault="009874EF" w:rsidP="001633BE">
            <w:pPr>
              <w:pStyle w:val="NoSpacing"/>
              <w:spacing w:line="240" w:lineRule="auto"/>
              <w:jc w:val="center"/>
            </w:pPr>
            <w:r>
              <w:t>20</w:t>
            </w:r>
          </w:p>
        </w:tc>
        <w:tc>
          <w:tcPr>
            <w:tcW w:w="2237" w:type="dxa"/>
            <w:vAlign w:val="center"/>
          </w:tcPr>
          <w:p w14:paraId="2C6B959A" w14:textId="77777777" w:rsidR="009874EF" w:rsidRPr="00253419" w:rsidRDefault="009874EF" w:rsidP="001633BE">
            <w:pPr>
              <w:pStyle w:val="NoSpacing"/>
              <w:spacing w:line="240" w:lineRule="auto"/>
              <w:jc w:val="center"/>
            </w:pPr>
            <w:r>
              <w:t>1</w:t>
            </w:r>
          </w:p>
        </w:tc>
      </w:tr>
      <w:tr w:rsidR="009874EF" w14:paraId="1CFA2F85" w14:textId="77777777" w:rsidTr="001633BE">
        <w:trPr>
          <w:trHeight w:val="20"/>
          <w:jc w:val="center"/>
        </w:trPr>
        <w:tc>
          <w:tcPr>
            <w:tcW w:w="2527" w:type="dxa"/>
            <w:vAlign w:val="center"/>
          </w:tcPr>
          <w:p w14:paraId="433599D5" w14:textId="77777777" w:rsidR="009874EF" w:rsidRPr="00253419" w:rsidRDefault="009874EF" w:rsidP="001633BE">
            <w:pPr>
              <w:pStyle w:val="NoSpacing"/>
              <w:spacing w:line="240" w:lineRule="auto"/>
              <w:jc w:val="center"/>
            </w:pPr>
            <w:r>
              <w:t>40</w:t>
            </w:r>
          </w:p>
        </w:tc>
        <w:tc>
          <w:tcPr>
            <w:tcW w:w="2237" w:type="dxa"/>
            <w:vAlign w:val="center"/>
          </w:tcPr>
          <w:p w14:paraId="7A5B55DE" w14:textId="77777777" w:rsidR="009874EF" w:rsidRPr="00253419" w:rsidRDefault="009874EF" w:rsidP="001633BE">
            <w:pPr>
              <w:pStyle w:val="NoSpacing"/>
              <w:spacing w:line="240" w:lineRule="auto"/>
              <w:jc w:val="center"/>
            </w:pPr>
            <w:r>
              <w:t>5</w:t>
            </w:r>
          </w:p>
        </w:tc>
      </w:tr>
      <w:tr w:rsidR="009874EF" w14:paraId="68C4B303" w14:textId="77777777" w:rsidTr="001633BE">
        <w:trPr>
          <w:trHeight w:val="20"/>
          <w:jc w:val="center"/>
        </w:trPr>
        <w:tc>
          <w:tcPr>
            <w:tcW w:w="2527" w:type="dxa"/>
            <w:vAlign w:val="center"/>
          </w:tcPr>
          <w:p w14:paraId="44FDBD2F" w14:textId="77777777" w:rsidR="009874EF" w:rsidRPr="00253419" w:rsidRDefault="009874EF" w:rsidP="001633BE">
            <w:pPr>
              <w:pStyle w:val="NoSpacing"/>
              <w:spacing w:line="240" w:lineRule="auto"/>
              <w:jc w:val="center"/>
            </w:pPr>
            <w:r>
              <w:t>60</w:t>
            </w:r>
          </w:p>
        </w:tc>
        <w:tc>
          <w:tcPr>
            <w:tcW w:w="2237" w:type="dxa"/>
            <w:vAlign w:val="center"/>
          </w:tcPr>
          <w:p w14:paraId="554F92EF" w14:textId="77777777" w:rsidR="009874EF" w:rsidRPr="00253419" w:rsidRDefault="009874EF" w:rsidP="001633BE">
            <w:pPr>
              <w:pStyle w:val="NoSpacing"/>
              <w:spacing w:line="240" w:lineRule="auto"/>
              <w:jc w:val="center"/>
            </w:pPr>
            <w:r>
              <w:t>12</w:t>
            </w:r>
          </w:p>
        </w:tc>
      </w:tr>
      <w:tr w:rsidR="009874EF" w14:paraId="26B8AE76" w14:textId="77777777" w:rsidTr="001633BE">
        <w:trPr>
          <w:trHeight w:val="20"/>
          <w:jc w:val="center"/>
        </w:trPr>
        <w:tc>
          <w:tcPr>
            <w:tcW w:w="2527" w:type="dxa"/>
            <w:vAlign w:val="center"/>
          </w:tcPr>
          <w:p w14:paraId="5D147246" w14:textId="77777777" w:rsidR="009874EF" w:rsidRPr="00253419" w:rsidRDefault="009874EF" w:rsidP="001633BE">
            <w:pPr>
              <w:pStyle w:val="NoSpacing"/>
              <w:spacing w:line="240" w:lineRule="auto"/>
              <w:jc w:val="center"/>
            </w:pPr>
            <w:r>
              <w:t>80</w:t>
            </w:r>
          </w:p>
        </w:tc>
        <w:tc>
          <w:tcPr>
            <w:tcW w:w="2237" w:type="dxa"/>
            <w:vAlign w:val="center"/>
          </w:tcPr>
          <w:p w14:paraId="7470CEC1" w14:textId="77777777" w:rsidR="009874EF" w:rsidRPr="00253419" w:rsidRDefault="009874EF" w:rsidP="001633BE">
            <w:pPr>
              <w:pStyle w:val="NoSpacing"/>
              <w:spacing w:line="240" w:lineRule="auto"/>
              <w:jc w:val="center"/>
            </w:pPr>
            <w:r>
              <w:t>25</w:t>
            </w:r>
          </w:p>
        </w:tc>
      </w:tr>
      <w:tr w:rsidR="009874EF" w14:paraId="56E91D3B" w14:textId="77777777" w:rsidTr="001633BE">
        <w:trPr>
          <w:trHeight w:val="20"/>
          <w:jc w:val="center"/>
        </w:trPr>
        <w:tc>
          <w:tcPr>
            <w:tcW w:w="2527" w:type="dxa"/>
            <w:vAlign w:val="center"/>
          </w:tcPr>
          <w:p w14:paraId="1609B186" w14:textId="77777777" w:rsidR="009874EF" w:rsidRPr="00253419" w:rsidRDefault="009874EF" w:rsidP="001633BE">
            <w:pPr>
              <w:pStyle w:val="NoSpacing"/>
              <w:spacing w:line="240" w:lineRule="auto"/>
              <w:jc w:val="center"/>
            </w:pPr>
            <w:r>
              <w:t>100</w:t>
            </w:r>
          </w:p>
        </w:tc>
        <w:tc>
          <w:tcPr>
            <w:tcW w:w="2237" w:type="dxa"/>
            <w:vAlign w:val="center"/>
          </w:tcPr>
          <w:p w14:paraId="0CEC0E31" w14:textId="77777777" w:rsidR="009874EF" w:rsidRPr="00253419" w:rsidRDefault="009874EF" w:rsidP="001633BE">
            <w:pPr>
              <w:pStyle w:val="NoSpacing"/>
              <w:spacing w:line="240" w:lineRule="auto"/>
              <w:jc w:val="center"/>
            </w:pPr>
            <w:r>
              <w:t>44</w:t>
            </w:r>
          </w:p>
        </w:tc>
      </w:tr>
      <w:tr w:rsidR="009874EF" w14:paraId="3A266F0A" w14:textId="77777777" w:rsidTr="001633BE">
        <w:trPr>
          <w:trHeight w:val="20"/>
          <w:jc w:val="center"/>
        </w:trPr>
        <w:tc>
          <w:tcPr>
            <w:tcW w:w="2527" w:type="dxa"/>
            <w:vAlign w:val="center"/>
          </w:tcPr>
          <w:p w14:paraId="48133973" w14:textId="77777777" w:rsidR="009874EF" w:rsidRDefault="009874EF" w:rsidP="001633BE">
            <w:pPr>
              <w:pStyle w:val="NoSpacing"/>
              <w:spacing w:line="240" w:lineRule="auto"/>
              <w:jc w:val="center"/>
            </w:pPr>
            <w:r>
              <w:t>120</w:t>
            </w:r>
          </w:p>
        </w:tc>
        <w:tc>
          <w:tcPr>
            <w:tcW w:w="2237" w:type="dxa"/>
            <w:vAlign w:val="center"/>
          </w:tcPr>
          <w:p w14:paraId="248FC287" w14:textId="77777777" w:rsidR="009874EF" w:rsidRPr="00253419" w:rsidRDefault="009874EF" w:rsidP="001633BE">
            <w:pPr>
              <w:pStyle w:val="NoSpacing"/>
              <w:spacing w:line="240" w:lineRule="auto"/>
              <w:jc w:val="center"/>
            </w:pPr>
            <w:r>
              <w:t>74</w:t>
            </w:r>
          </w:p>
        </w:tc>
      </w:tr>
      <w:tr w:rsidR="009874EF" w14:paraId="7B236FD6" w14:textId="77777777" w:rsidTr="001633BE">
        <w:trPr>
          <w:trHeight w:val="20"/>
          <w:jc w:val="center"/>
        </w:trPr>
        <w:tc>
          <w:tcPr>
            <w:tcW w:w="2527" w:type="dxa"/>
            <w:vAlign w:val="center"/>
          </w:tcPr>
          <w:p w14:paraId="6F7E9CBC" w14:textId="77777777" w:rsidR="009874EF" w:rsidRDefault="009874EF" w:rsidP="001633BE">
            <w:pPr>
              <w:pStyle w:val="NoSpacing"/>
              <w:spacing w:line="240" w:lineRule="auto"/>
              <w:jc w:val="center"/>
            </w:pPr>
            <w:r>
              <w:t>140</w:t>
            </w:r>
          </w:p>
        </w:tc>
        <w:tc>
          <w:tcPr>
            <w:tcW w:w="2237" w:type="dxa"/>
            <w:vAlign w:val="center"/>
          </w:tcPr>
          <w:p w14:paraId="674FCAC9" w14:textId="77777777" w:rsidR="009874EF" w:rsidRPr="00253419" w:rsidRDefault="009874EF" w:rsidP="001633BE">
            <w:pPr>
              <w:pStyle w:val="NoSpacing"/>
              <w:spacing w:line="240" w:lineRule="auto"/>
              <w:jc w:val="center"/>
            </w:pPr>
            <w:r>
              <w:t>129</w:t>
            </w:r>
          </w:p>
        </w:tc>
      </w:tr>
      <w:tr w:rsidR="009874EF" w14:paraId="2BAB5A6A" w14:textId="77777777" w:rsidTr="001633BE">
        <w:trPr>
          <w:trHeight w:val="20"/>
          <w:jc w:val="center"/>
        </w:trPr>
        <w:tc>
          <w:tcPr>
            <w:tcW w:w="2527" w:type="dxa"/>
            <w:vAlign w:val="center"/>
          </w:tcPr>
          <w:p w14:paraId="19865763" w14:textId="77777777" w:rsidR="009874EF" w:rsidRDefault="009874EF" w:rsidP="001633BE">
            <w:pPr>
              <w:pStyle w:val="NoSpacing"/>
              <w:spacing w:line="240" w:lineRule="auto"/>
              <w:jc w:val="center"/>
            </w:pPr>
            <w:r>
              <w:t>160</w:t>
            </w:r>
          </w:p>
        </w:tc>
        <w:tc>
          <w:tcPr>
            <w:tcW w:w="2237" w:type="dxa"/>
            <w:vAlign w:val="center"/>
          </w:tcPr>
          <w:p w14:paraId="51D32125" w14:textId="77777777" w:rsidR="009874EF" w:rsidRPr="00253419" w:rsidRDefault="009874EF" w:rsidP="001633BE">
            <w:pPr>
              <w:pStyle w:val="NoSpacing"/>
              <w:spacing w:line="240" w:lineRule="auto"/>
              <w:jc w:val="center"/>
            </w:pPr>
            <w:r>
              <w:t>192</w:t>
            </w:r>
          </w:p>
        </w:tc>
      </w:tr>
    </w:tbl>
    <w:p w14:paraId="67B86368" w14:textId="77777777" w:rsidR="009874EF" w:rsidRDefault="009874EF" w:rsidP="009874EF">
      <w:pPr>
        <w:pStyle w:val="Caption"/>
        <w:ind w:left="-142"/>
      </w:pPr>
    </w:p>
    <w:p w14:paraId="27CA70E3" w14:textId="77777777" w:rsidR="009874EF" w:rsidRDefault="009874EF" w:rsidP="009874EF">
      <w:pPr>
        <w:pStyle w:val="Caption"/>
        <w:ind w:left="-142"/>
        <w:rPr>
          <w:b w:val="0"/>
        </w:rPr>
      </w:pPr>
      <w:r>
        <w:t xml:space="preserve">Supplementary Table 1 Error in T1 for given off-resonance errors estimated from Bloch simulation. </w:t>
      </w:r>
      <w:r>
        <w:rPr>
          <w:b w:val="0"/>
        </w:rPr>
        <w:t>This represents samples from the complete correction curve which is estimated for a true myocardial T1 of 1000ms using a MOLLI 5s(3s)3s sample scheme.</w:t>
      </w:r>
      <w:r>
        <w:rPr>
          <w:b w:val="0"/>
          <w:vertAlign w:val="superscript"/>
        </w:rPr>
        <w:t>1</w:t>
      </w:r>
      <w:r>
        <w:rPr>
          <w:b w:val="0"/>
        </w:rPr>
        <w:t xml:space="preserve"> </w:t>
      </w:r>
    </w:p>
    <w:p w14:paraId="1C5981B8" w14:textId="77777777" w:rsidR="009874EF" w:rsidRDefault="009874EF" w:rsidP="009874EF">
      <w:pPr>
        <w:spacing w:line="240" w:lineRule="auto"/>
        <w:rPr>
          <w:iCs/>
          <w:color w:val="000000" w:themeColor="text1"/>
          <w:sz w:val="18"/>
          <w:szCs w:val="18"/>
        </w:rPr>
      </w:pPr>
      <w:r>
        <w:rPr>
          <w:b/>
        </w:rPr>
        <w:br w:type="page"/>
      </w:r>
    </w:p>
    <w:p w14:paraId="30D22DBC" w14:textId="77777777" w:rsidR="009874EF" w:rsidRDefault="009874EF" w:rsidP="009874EF">
      <w:pPr>
        <w:keepNext/>
        <w:spacing w:line="240" w:lineRule="auto"/>
      </w:pPr>
      <w:r>
        <w:rPr>
          <w:noProof/>
          <w:lang w:val="en-US"/>
        </w:rPr>
        <w:lastRenderedPageBreak/>
        <w:drawing>
          <wp:inline distT="0" distB="0" distL="0" distR="0" wp14:anchorId="58CD595C" wp14:editId="58E9FEEE">
            <wp:extent cx="5720715" cy="4411345"/>
            <wp:effectExtent l="0" t="0" r="0" b="8255"/>
            <wp:docPr id="1" name="Picture 1" descr="C:\Users\zchac05\Dropbox\Audit\Device scans\Frequency maps SCMR\Paper\Figs\Figure offline 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chac05\Dropbox\Audit\Device scans\Frequency maps SCMR\Paper\Figs\Figure offline to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0715" cy="4411345"/>
                    </a:xfrm>
                    <a:prstGeom prst="rect">
                      <a:avLst/>
                    </a:prstGeom>
                    <a:noFill/>
                    <a:ln>
                      <a:noFill/>
                    </a:ln>
                  </pic:spPr>
                </pic:pic>
              </a:graphicData>
            </a:graphic>
          </wp:inline>
        </w:drawing>
      </w:r>
    </w:p>
    <w:p w14:paraId="0A31607D" w14:textId="77777777" w:rsidR="009874EF" w:rsidRPr="00A764BE" w:rsidRDefault="009874EF" w:rsidP="009874EF">
      <w:pPr>
        <w:pStyle w:val="Caption"/>
        <w:rPr>
          <w:b w:val="0"/>
        </w:rPr>
      </w:pPr>
      <w:r>
        <w:t xml:space="preserve">Supplementary Figure 1 Schematic for generation of T1 maps corrected for off-resonance error after co-registration using fat water and MOLLI imaging.  </w:t>
      </w:r>
      <w:r w:rsidRPr="00194F81">
        <w:rPr>
          <w:b w:val="0"/>
        </w:rPr>
        <w:t>Note the device lead in the RV, the off resonance at the top of the image on the field map and the increased T1 in the anterior segment of the corrected image</w:t>
      </w:r>
      <w:r>
        <w:rPr>
          <w:b w:val="0"/>
        </w:rPr>
        <w:t>.</w:t>
      </w:r>
    </w:p>
    <w:p w14:paraId="234F5110" w14:textId="77777777" w:rsidR="009874EF" w:rsidRDefault="009874EF" w:rsidP="009874EF">
      <w:pPr>
        <w:pStyle w:val="Caption"/>
        <w:ind w:left="-142"/>
        <w:rPr>
          <w:b w:val="0"/>
        </w:rPr>
      </w:pPr>
    </w:p>
    <w:p w14:paraId="34E58863" w14:textId="77777777" w:rsidR="009874EF" w:rsidRPr="00B856EC" w:rsidRDefault="009874EF" w:rsidP="009874EF">
      <w:pPr>
        <w:spacing w:line="240" w:lineRule="auto"/>
        <w:rPr>
          <w:iCs/>
          <w:color w:val="000000" w:themeColor="text1"/>
          <w:sz w:val="18"/>
          <w:szCs w:val="18"/>
        </w:rPr>
      </w:pPr>
      <w:r>
        <w:rPr>
          <w:b/>
          <w:iCs/>
          <w:color w:val="000000" w:themeColor="text1"/>
          <w:sz w:val="18"/>
          <w:szCs w:val="18"/>
        </w:rPr>
        <w:br w:type="page"/>
      </w:r>
    </w:p>
    <w:p w14:paraId="64AE12EE" w14:textId="77777777" w:rsidR="009874EF" w:rsidRDefault="009874EF" w:rsidP="009874EF">
      <w:r>
        <w:rPr>
          <w:noProof/>
        </w:rPr>
        <w:lastRenderedPageBreak/>
        <w:drawing>
          <wp:inline distT="0" distB="0" distL="0" distR="0" wp14:anchorId="23E5C881" wp14:editId="4149C0C0">
            <wp:extent cx="5790172" cy="3088640"/>
            <wp:effectExtent l="0" t="0" r="1270" b="1016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2573" cy="3089921"/>
                    </a:xfrm>
                    <a:prstGeom prst="rect">
                      <a:avLst/>
                    </a:prstGeom>
                    <a:noFill/>
                  </pic:spPr>
                </pic:pic>
              </a:graphicData>
            </a:graphic>
          </wp:inline>
        </w:drawing>
      </w:r>
    </w:p>
    <w:p w14:paraId="051933EB" w14:textId="77777777" w:rsidR="009874EF" w:rsidRDefault="009874EF" w:rsidP="009874EF">
      <w:pPr>
        <w:pStyle w:val="Caption"/>
        <w:rPr>
          <w:b w:val="0"/>
        </w:rPr>
      </w:pPr>
      <w:r>
        <w:t xml:space="preserve">Supplementary Figure 2 </w:t>
      </w:r>
      <w:r w:rsidRPr="00FA5E17">
        <w:t xml:space="preserve">Off-resonance error in patients with CIEDs </w:t>
      </w:r>
      <w:r>
        <w:t>is similar to</w:t>
      </w:r>
      <w:r w:rsidRPr="00FA5E17">
        <w:t xml:space="preserve"> Bloch simulation data</w:t>
      </w:r>
      <w:r>
        <w:t xml:space="preserve"> (black line). </w:t>
      </w:r>
      <w:r>
        <w:rPr>
          <w:b w:val="0"/>
        </w:rPr>
        <w:t>The estimated off-resonance effect is for a true T1 of 1000ms, but as some patients may have higher or lower true T1, the apparent T1 may be appropriately lower or higher than predicted. Here, the outlier points are in patients with cardiac amyloidosis (high T1) or hemochromatosis (low T1).</w:t>
      </w:r>
    </w:p>
    <w:p w14:paraId="32E970B9" w14:textId="77777777" w:rsidR="009874EF" w:rsidRDefault="009874EF" w:rsidP="009874EF">
      <w:pPr>
        <w:spacing w:line="240" w:lineRule="auto"/>
        <w:rPr>
          <w:iCs/>
          <w:color w:val="000000" w:themeColor="text1"/>
          <w:sz w:val="18"/>
          <w:szCs w:val="18"/>
        </w:rPr>
      </w:pPr>
      <w:r>
        <w:rPr>
          <w:b/>
        </w:rPr>
        <w:br w:type="page"/>
      </w:r>
      <w:bookmarkStart w:id="0" w:name="_GoBack"/>
      <w:bookmarkEnd w:id="0"/>
    </w:p>
    <w:p w14:paraId="40964572" w14:textId="77777777" w:rsidR="009874EF" w:rsidRPr="0028017C" w:rsidRDefault="009874EF" w:rsidP="009874EF">
      <w:pPr>
        <w:rPr>
          <w:b/>
        </w:rPr>
      </w:pPr>
      <w:r w:rsidRPr="0028017C">
        <w:rPr>
          <w:b/>
        </w:rPr>
        <w:lastRenderedPageBreak/>
        <w:t>Supplementary References</w:t>
      </w:r>
    </w:p>
    <w:p w14:paraId="5FF2F0E4" w14:textId="77777777" w:rsidR="009874EF" w:rsidRDefault="009874EF" w:rsidP="009874EF"/>
    <w:p w14:paraId="061049CD" w14:textId="77777777" w:rsidR="009874EF" w:rsidRDefault="009874EF" w:rsidP="009874EF">
      <w:pPr>
        <w:pStyle w:val="ListParagraph"/>
        <w:numPr>
          <w:ilvl w:val="0"/>
          <w:numId w:val="1"/>
        </w:numPr>
      </w:pPr>
      <w:r>
        <w:t>Kellman P, Herzka D, Arai AE, Hansen M. Influence of Off-resonance in myocardial T1-mapping using SSFP based MOLLI method. J Cardiovasc Magn Reson. 2013;15(1):63.</w:t>
      </w:r>
    </w:p>
    <w:p w14:paraId="39EBF153" w14:textId="77777777" w:rsidR="009874EF" w:rsidRPr="0028017C" w:rsidRDefault="009874EF" w:rsidP="009874EF"/>
    <w:p w14:paraId="2B95CB4E" w14:textId="77777777" w:rsidR="009874EF" w:rsidRDefault="009874EF" w:rsidP="009874EF"/>
    <w:p w14:paraId="2CA5341F" w14:textId="77777777" w:rsidR="009874EF" w:rsidRPr="00805622" w:rsidRDefault="009874EF" w:rsidP="009874EF">
      <w:pPr>
        <w:spacing w:line="240" w:lineRule="auto"/>
      </w:pPr>
    </w:p>
    <w:p w14:paraId="515A7430" w14:textId="77777777" w:rsidR="00AA245D" w:rsidRPr="009874EF" w:rsidRDefault="009874EF" w:rsidP="009874EF"/>
    <w:sectPr w:rsidR="00AA245D" w:rsidRPr="009874EF" w:rsidSect="001E5A00">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45EC8"/>
    <w:multiLevelType w:val="hybridMultilevel"/>
    <w:tmpl w:val="0C3A7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1E"/>
    <w:rsid w:val="003F202E"/>
    <w:rsid w:val="003F517B"/>
    <w:rsid w:val="005F751E"/>
    <w:rsid w:val="00864A12"/>
    <w:rsid w:val="009874EF"/>
    <w:rsid w:val="00B04B47"/>
    <w:rsid w:val="00F5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E3BD"/>
  <w15:chartTrackingRefBased/>
  <w15:docId w15:val="{AFA30226-5506-2F48-9A1C-D791394C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51E"/>
    <w:pPr>
      <w:spacing w:line="48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51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F751E"/>
    <w:pPr>
      <w:spacing w:after="200"/>
    </w:pPr>
    <w:rPr>
      <w:b/>
      <w:iCs/>
      <w:color w:val="000000" w:themeColor="text1"/>
      <w:sz w:val="18"/>
      <w:szCs w:val="18"/>
    </w:rPr>
  </w:style>
  <w:style w:type="paragraph" w:styleId="NoSpacing">
    <w:name w:val="No Spacing"/>
    <w:uiPriority w:val="1"/>
    <w:qFormat/>
    <w:rsid w:val="005F751E"/>
    <w:pPr>
      <w:spacing w:line="480" w:lineRule="auto"/>
    </w:pPr>
    <w:rPr>
      <w:rFonts w:ascii="Times New Roman" w:hAnsi="Times New Roman" w:cs="Times New Roman"/>
      <w:lang w:val="en-US"/>
    </w:rPr>
  </w:style>
  <w:style w:type="paragraph" w:styleId="ListParagraph">
    <w:name w:val="List Paragraph"/>
    <w:basedOn w:val="Normal"/>
    <w:uiPriority w:val="34"/>
    <w:qFormat/>
    <w:rsid w:val="0098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 Bhuva</dc:creator>
  <cp:keywords/>
  <dc:description/>
  <cp:lastModifiedBy>Anish Bhuva</cp:lastModifiedBy>
  <cp:revision>5</cp:revision>
  <dcterms:created xsi:type="dcterms:W3CDTF">2019-05-21T13:39:00Z</dcterms:created>
  <dcterms:modified xsi:type="dcterms:W3CDTF">2020-09-18T11:02:00Z</dcterms:modified>
</cp:coreProperties>
</file>