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48B32B4A" w:rsidR="00654E8F" w:rsidRPr="001549D3" w:rsidRDefault="00654E8F" w:rsidP="0001436A">
      <w:pPr>
        <w:pStyle w:val="SupplementaryMaterial"/>
        <w:rPr>
          <w:b w:val="0"/>
        </w:rPr>
      </w:pPr>
      <w:r w:rsidRPr="001549D3">
        <w:t xml:space="preserve">Supplementary </w:t>
      </w:r>
      <w:r w:rsidR="00CE7EBF">
        <w:t>Figures</w:t>
      </w:r>
    </w:p>
    <w:p w14:paraId="155B736C" w14:textId="6D8DB265" w:rsidR="002D77AE" w:rsidRDefault="002D77AE" w:rsidP="002B4A57">
      <w:pPr>
        <w:keepNext/>
        <w:rPr>
          <w:rFonts w:cs="Times New Roman"/>
          <w:szCs w:val="24"/>
        </w:rPr>
      </w:pPr>
      <w:r>
        <w:rPr>
          <w:rFonts w:cs="Times New Roman"/>
          <w:noProof/>
          <w:szCs w:val="24"/>
          <w:lang w:val="cs-CZ" w:eastAsia="cs-CZ"/>
        </w:rPr>
        <w:drawing>
          <wp:inline distT="0" distB="0" distL="0" distR="0" wp14:anchorId="3E74062F" wp14:editId="1FFAAD8F">
            <wp:extent cx="6208395" cy="3063240"/>
            <wp:effectExtent l="0" t="0" r="1905"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SecretomeI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063240"/>
                    </a:xfrm>
                    <a:prstGeom prst="rect">
                      <a:avLst/>
                    </a:prstGeom>
                  </pic:spPr>
                </pic:pic>
              </a:graphicData>
            </a:graphic>
          </wp:inline>
        </w:drawing>
      </w:r>
    </w:p>
    <w:p w14:paraId="7001B836" w14:textId="17C3A959" w:rsidR="008D3CDF" w:rsidRDefault="008D3CDF" w:rsidP="00CE7EBF">
      <w:pPr>
        <w:rPr>
          <w:rFonts w:cs="Times New Roman"/>
          <w:szCs w:val="24"/>
        </w:rPr>
      </w:pPr>
      <w:r w:rsidRPr="00CE7EBF">
        <w:rPr>
          <w:rFonts w:cs="Times New Roman"/>
          <w:b/>
          <w:szCs w:val="24"/>
        </w:rPr>
        <w:t xml:space="preserve">Supplementary Figure </w:t>
      </w:r>
      <w:r w:rsidRPr="00CE7EBF">
        <w:rPr>
          <w:rFonts w:cs="Times New Roman"/>
          <w:b/>
          <w:szCs w:val="24"/>
        </w:rPr>
        <w:fldChar w:fldCharType="begin"/>
      </w:r>
      <w:r w:rsidRPr="00CE7EBF">
        <w:rPr>
          <w:rFonts w:cs="Times New Roman"/>
          <w:b/>
          <w:szCs w:val="24"/>
        </w:rPr>
        <w:instrText xml:space="preserve"> SEQ Figure \* ARABIC </w:instrText>
      </w:r>
      <w:r w:rsidRPr="00CE7EBF">
        <w:rPr>
          <w:rFonts w:cs="Times New Roman"/>
          <w:b/>
          <w:szCs w:val="24"/>
        </w:rPr>
        <w:fldChar w:fldCharType="separate"/>
      </w:r>
      <w:r w:rsidRPr="00CE7EBF">
        <w:rPr>
          <w:rFonts w:cs="Times New Roman"/>
          <w:b/>
          <w:noProof/>
          <w:szCs w:val="24"/>
        </w:rPr>
        <w:t>1</w:t>
      </w:r>
      <w:r w:rsidRPr="00CE7EBF">
        <w:rPr>
          <w:rFonts w:cs="Times New Roman"/>
          <w:b/>
          <w:szCs w:val="24"/>
        </w:rPr>
        <w:fldChar w:fldCharType="end"/>
      </w:r>
      <w:r w:rsidRPr="00CE7EBF">
        <w:rPr>
          <w:rFonts w:cs="Times New Roman"/>
          <w:b/>
          <w:szCs w:val="24"/>
        </w:rPr>
        <w:t>.</w:t>
      </w:r>
      <w:r w:rsidRPr="00CE7EBF">
        <w:rPr>
          <w:rFonts w:cs="Times New Roman"/>
          <w:szCs w:val="24"/>
        </w:rPr>
        <w:t xml:space="preserve"> </w:t>
      </w:r>
      <w:r w:rsidR="00CE7EBF" w:rsidRPr="00CE7EBF">
        <w:rPr>
          <w:rFonts w:cs="Times New Roman"/>
          <w:b/>
          <w:szCs w:val="24"/>
        </w:rPr>
        <w:t xml:space="preserve">NSC secretome. </w:t>
      </w:r>
      <w:r w:rsidR="00CE7EBF" w:rsidRPr="003B5D9C">
        <w:rPr>
          <w:rFonts w:cs="Times New Roman"/>
          <w:szCs w:val="24"/>
        </w:rPr>
        <w:t>Graphs of the normalized log10(MFI) values for 28 secreted growth factors and cytokines</w:t>
      </w:r>
      <w:r w:rsidR="00CE7EBF" w:rsidRPr="00CE7EBF">
        <w:rPr>
          <w:rFonts w:cs="Times New Roman"/>
          <w:szCs w:val="24"/>
        </w:rPr>
        <w:t xml:space="preserve"> in medium conditioned for </w:t>
      </w:r>
      <w:r w:rsidR="00546520">
        <w:rPr>
          <w:rFonts w:cs="Times New Roman"/>
          <w:szCs w:val="24"/>
        </w:rPr>
        <w:t>two days</w:t>
      </w:r>
      <w:r w:rsidR="00CE7EBF" w:rsidRPr="00CE7EBF">
        <w:rPr>
          <w:rFonts w:cs="Times New Roman"/>
          <w:szCs w:val="24"/>
        </w:rPr>
        <w:t xml:space="preserve"> in presence of H9 NSCs during the differentiation time course.</w:t>
      </w:r>
      <w:r w:rsidR="00CE7EBF" w:rsidRPr="00CE7EBF">
        <w:rPr>
          <w:rFonts w:cs="Times New Roman"/>
          <w:b/>
          <w:szCs w:val="24"/>
        </w:rPr>
        <w:t xml:space="preserve"> </w:t>
      </w:r>
      <w:r w:rsidR="00CE7EBF" w:rsidRPr="00CE7EBF">
        <w:rPr>
          <w:rFonts w:cs="Times New Roman"/>
          <w:szCs w:val="24"/>
        </w:rPr>
        <w:t xml:space="preserve">Granulocyte colony-stimulating factor (G-CSF), Granulocyte-macrophage colony-stimulating factor (GM-CSF), </w:t>
      </w:r>
      <w:r w:rsidR="00F20092" w:rsidRPr="0068188A">
        <w:rPr>
          <w:rFonts w:cs="Times New Roman"/>
        </w:rPr>
        <w:t>Interferon α</w:t>
      </w:r>
      <w:r w:rsidR="00F20092">
        <w:rPr>
          <w:rFonts w:cs="Times New Roman"/>
        </w:rPr>
        <w:t xml:space="preserve"> </w:t>
      </w:r>
      <w:r w:rsidR="00F20092" w:rsidRPr="0068188A">
        <w:rPr>
          <w:rFonts w:cs="Times New Roman"/>
        </w:rPr>
        <w:t>(IFN-α)</w:t>
      </w:r>
      <w:r w:rsidR="00F20092">
        <w:rPr>
          <w:rFonts w:cs="Times New Roman"/>
        </w:rPr>
        <w:t xml:space="preserve">, Interferon </w:t>
      </w:r>
      <w:r w:rsidR="00F20092" w:rsidRPr="0068188A">
        <w:rPr>
          <w:rFonts w:cs="Times New Roman"/>
        </w:rPr>
        <w:t>γ (IFN-γ),</w:t>
      </w:r>
      <w:r w:rsidR="00CE7EBF" w:rsidRPr="00CE7EBF">
        <w:rPr>
          <w:rFonts w:cs="Times New Roman"/>
          <w:szCs w:val="24"/>
        </w:rPr>
        <w:t xml:space="preserve"> Interleukins (IL-1β, IL-1RA, IL-2, IL-2R, IL-4, IL-5, IL-6, IL-7, IL-8, IL-10, IL-12 p40/p70, IL-13, IL-15, IL-17) and Tumor necrosis factor α (TNF-α); chemokines: Eotaxin, C-C motif chemokine 2 (MCP-1), C-C motif chemokine 3 (MIP-1α), C-C motif chemokine 4 (MIP-1β), C-C motif chemokine 5 (RANTES), C-X-C motif chemokine 9 (MIG) and C-X-C motif chemokine 10 (IP-10); growth factors: Hepatocyte growth factor (HGF) and </w:t>
      </w:r>
      <w:r w:rsidR="00EB19A1">
        <w:rPr>
          <w:rFonts w:cs="Times New Roman"/>
          <w:szCs w:val="24"/>
          <w:shd w:val="clear" w:color="auto" w:fill="FFFFFF"/>
        </w:rPr>
        <w:t>V</w:t>
      </w:r>
      <w:r w:rsidR="00CE7EBF" w:rsidRPr="00CE7EBF">
        <w:rPr>
          <w:rFonts w:cs="Times New Roman"/>
          <w:szCs w:val="24"/>
          <w:shd w:val="clear" w:color="auto" w:fill="FFFFFF"/>
        </w:rPr>
        <w:t>ascular endothelial growth factor (</w:t>
      </w:r>
      <w:r w:rsidR="00CE7EBF" w:rsidRPr="00CE7EBF">
        <w:rPr>
          <w:rFonts w:cs="Times New Roman"/>
          <w:szCs w:val="24"/>
        </w:rPr>
        <w:t>VEGF).</w:t>
      </w:r>
    </w:p>
    <w:p w14:paraId="484467EA" w14:textId="795AF9B3" w:rsidR="00AF1968" w:rsidRPr="00CE7EBF" w:rsidRDefault="00AF1968" w:rsidP="00CE7EBF">
      <w:pPr>
        <w:rPr>
          <w:rFonts w:cs="Times New Roman"/>
          <w:b/>
          <w:szCs w:val="24"/>
        </w:rPr>
      </w:pPr>
      <w:r>
        <w:rPr>
          <w:rFonts w:cs="Times New Roman"/>
          <w:szCs w:val="24"/>
        </w:rPr>
        <w:t>EGF and FGF2 were excluded from analysis as they were present in the</w:t>
      </w:r>
      <w:r w:rsidRPr="0068188A">
        <w:rPr>
          <w:rFonts w:cs="Times New Roman"/>
        </w:rPr>
        <w:t xml:space="preserve"> medium </w:t>
      </w:r>
      <w:r>
        <w:rPr>
          <w:rFonts w:cs="Times New Roman"/>
        </w:rPr>
        <w:t>used for preparation of standards</w:t>
      </w:r>
      <w:r w:rsidRPr="0068188A">
        <w:rPr>
          <w:rFonts w:cs="Times New Roman"/>
        </w:rPr>
        <w:t>.</w:t>
      </w:r>
    </w:p>
    <w:p w14:paraId="30CEB8A9" w14:textId="3AFBB852" w:rsidR="008D3CDF" w:rsidRDefault="008D3CDF" w:rsidP="002B4A57">
      <w:pPr>
        <w:keepNext/>
        <w:rPr>
          <w:rFonts w:cs="Times New Roman"/>
          <w:szCs w:val="24"/>
        </w:rPr>
      </w:pPr>
      <w:r>
        <w:rPr>
          <w:rFonts w:cs="Times New Roman"/>
          <w:noProof/>
          <w:szCs w:val="24"/>
          <w:lang w:val="cs-CZ" w:eastAsia="cs-CZ"/>
        </w:rPr>
        <w:lastRenderedPageBreak/>
        <w:drawing>
          <wp:inline distT="0" distB="0" distL="0" distR="0" wp14:anchorId="2FF8FCFD" wp14:editId="0F0A31B7">
            <wp:extent cx="6025415" cy="6609653"/>
            <wp:effectExtent l="0" t="0" r="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WGCNAI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1368" cy="6638123"/>
                    </a:xfrm>
                    <a:prstGeom prst="rect">
                      <a:avLst/>
                    </a:prstGeom>
                  </pic:spPr>
                </pic:pic>
              </a:graphicData>
            </a:graphic>
          </wp:inline>
        </w:drawing>
      </w:r>
    </w:p>
    <w:p w14:paraId="370B3054" w14:textId="77777777" w:rsidR="00707542" w:rsidRDefault="008D3CDF" w:rsidP="008D3CDF">
      <w:pPr>
        <w:keepNext/>
        <w:rPr>
          <w:lang w:eastAsia="en-GB"/>
        </w:rPr>
      </w:pPr>
      <w:r w:rsidRPr="0001436A">
        <w:rPr>
          <w:rFonts w:cs="Times New Roman"/>
          <w:b/>
          <w:szCs w:val="24"/>
        </w:rPr>
        <w:t xml:space="preserve">Supplementary Figure </w:t>
      </w:r>
      <w:r w:rsidR="00CE7EBF">
        <w:rPr>
          <w:rFonts w:cs="Times New Roman"/>
          <w:b/>
          <w:szCs w:val="24"/>
        </w:rPr>
        <w:t>2</w:t>
      </w:r>
      <w:r w:rsidRPr="0001436A">
        <w:rPr>
          <w:rFonts w:cs="Times New Roman"/>
          <w:b/>
          <w:szCs w:val="24"/>
        </w:rPr>
        <w:t>.</w:t>
      </w:r>
      <w:r w:rsidRPr="001549D3">
        <w:rPr>
          <w:rFonts w:cs="Times New Roman"/>
          <w:szCs w:val="24"/>
        </w:rPr>
        <w:t xml:space="preserve"> </w:t>
      </w:r>
      <w:r w:rsidR="002A1B2C" w:rsidRPr="009E07C9">
        <w:rPr>
          <w:b/>
          <w:bCs/>
          <w:lang w:eastAsia="en-GB"/>
        </w:rPr>
        <w:t>Protein co-expression network.</w:t>
      </w:r>
      <w:r w:rsidR="002A1B2C">
        <w:rPr>
          <w:b/>
          <w:bCs/>
          <w:lang w:eastAsia="en-GB"/>
        </w:rPr>
        <w:t xml:space="preserve"> </w:t>
      </w:r>
      <w:r w:rsidR="002A1B2C" w:rsidRPr="002A1B2C">
        <w:rPr>
          <w:lang w:eastAsia="en-GB"/>
        </w:rPr>
        <w:t>Heatmap of blue module protein abundance, together with module eigengene expression in individual samples and secreted IL-6 levels. B</w:t>
      </w:r>
      <w:r w:rsidR="00477DCB" w:rsidRPr="002A1B2C">
        <w:rPr>
          <w:lang w:eastAsia="en-GB"/>
        </w:rPr>
        <w:t xml:space="preserve">lue module </w:t>
      </w:r>
      <w:r w:rsidR="002A1B2C" w:rsidRPr="002A1B2C">
        <w:rPr>
          <w:lang w:eastAsia="en-GB"/>
        </w:rPr>
        <w:t xml:space="preserve">consists mainly of </w:t>
      </w:r>
      <w:r w:rsidR="00477DCB" w:rsidRPr="002A1B2C">
        <w:rPr>
          <w:lang w:eastAsia="en-GB"/>
        </w:rPr>
        <w:t>protein</w:t>
      </w:r>
      <w:r w:rsidR="002A1B2C" w:rsidRPr="002A1B2C">
        <w:rPr>
          <w:lang w:eastAsia="en-GB"/>
        </w:rPr>
        <w:t>s with low</w:t>
      </w:r>
      <w:r w:rsidR="00477DCB" w:rsidRPr="002A1B2C">
        <w:rPr>
          <w:lang w:eastAsia="en-GB"/>
        </w:rPr>
        <w:t xml:space="preserve"> </w:t>
      </w:r>
      <w:r w:rsidR="002A1B2C" w:rsidRPr="002A1B2C">
        <w:rPr>
          <w:lang w:eastAsia="en-GB"/>
        </w:rPr>
        <w:t>abundance</w:t>
      </w:r>
      <w:r w:rsidR="00477DCB" w:rsidRPr="002A1B2C">
        <w:rPr>
          <w:lang w:eastAsia="en-GB"/>
        </w:rPr>
        <w:t xml:space="preserve"> at NSCs stage and increasing over time course of differentiation</w:t>
      </w:r>
      <w:r w:rsidR="002A1B2C" w:rsidRPr="002A1B2C">
        <w:rPr>
          <w:lang w:eastAsia="en-GB"/>
        </w:rPr>
        <w:t>.</w:t>
      </w:r>
    </w:p>
    <w:p w14:paraId="01CF7027" w14:textId="77777777" w:rsidR="00707542" w:rsidRDefault="00707542">
      <w:pPr>
        <w:spacing w:before="0" w:after="200" w:line="276" w:lineRule="auto"/>
        <w:rPr>
          <w:lang w:eastAsia="en-GB"/>
        </w:rPr>
      </w:pPr>
      <w:r>
        <w:rPr>
          <w:lang w:eastAsia="en-GB"/>
        </w:rPr>
        <w:br w:type="page"/>
      </w:r>
    </w:p>
    <w:p w14:paraId="65DAF7A8" w14:textId="03561D4B" w:rsidR="008D3CDF" w:rsidRDefault="008D3CDF" w:rsidP="002B4A57">
      <w:pPr>
        <w:keepNext/>
        <w:rPr>
          <w:rFonts w:cs="Times New Roman"/>
          <w:szCs w:val="24"/>
        </w:rPr>
      </w:pPr>
      <w:r>
        <w:rPr>
          <w:rFonts w:cs="Times New Roman"/>
          <w:noProof/>
          <w:szCs w:val="24"/>
          <w:lang w:val="cs-CZ" w:eastAsia="cs-CZ"/>
        </w:rPr>
        <w:lastRenderedPageBreak/>
        <w:drawing>
          <wp:inline distT="0" distB="0" distL="0" distR="0" wp14:anchorId="19AE77C7" wp14:editId="55829B22">
            <wp:extent cx="6208395" cy="4465955"/>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FUZZ_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465955"/>
                    </a:xfrm>
                    <a:prstGeom prst="rect">
                      <a:avLst/>
                    </a:prstGeom>
                  </pic:spPr>
                </pic:pic>
              </a:graphicData>
            </a:graphic>
          </wp:inline>
        </w:drawing>
      </w:r>
    </w:p>
    <w:p w14:paraId="29601E1A" w14:textId="19848A24" w:rsidR="002D77AE" w:rsidRPr="002B4A57" w:rsidRDefault="000144E7" w:rsidP="002B4A57">
      <w:pPr>
        <w:keepNext/>
        <w:rPr>
          <w:rFonts w:cs="Times New Roman"/>
          <w:b/>
          <w:szCs w:val="24"/>
        </w:rPr>
      </w:pPr>
      <w:r>
        <w:rPr>
          <w:rFonts w:cs="Times New Roman"/>
          <w:b/>
          <w:noProof/>
          <w:szCs w:val="24"/>
          <w:lang w:val="cs-CZ" w:eastAsia="cs-CZ"/>
        </w:rPr>
        <w:lastRenderedPageBreak/>
        <w:drawing>
          <wp:inline distT="0" distB="0" distL="0" distR="0" wp14:anchorId="0CB44067" wp14:editId="7D540014">
            <wp:extent cx="6208395" cy="4475480"/>
            <wp:effectExtent l="0" t="0" r="1905"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FUZZ_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475480"/>
                    </a:xfrm>
                    <a:prstGeom prst="rect">
                      <a:avLst/>
                    </a:prstGeom>
                  </pic:spPr>
                </pic:pic>
              </a:graphicData>
            </a:graphic>
          </wp:inline>
        </w:drawing>
      </w:r>
    </w:p>
    <w:p w14:paraId="4563E9E5" w14:textId="1D89C073" w:rsidR="000144E7" w:rsidRDefault="000144E7" w:rsidP="00352096">
      <w:pPr>
        <w:keepNext/>
        <w:rPr>
          <w:rFonts w:cs="Times New Roman"/>
          <w:szCs w:val="24"/>
        </w:rPr>
      </w:pPr>
      <w:r w:rsidRPr="0001436A">
        <w:rPr>
          <w:rFonts w:cs="Times New Roman"/>
          <w:b/>
          <w:szCs w:val="24"/>
        </w:rPr>
        <w:t xml:space="preserve">Supplementary Figure </w:t>
      </w:r>
      <w:r w:rsidR="00477DCB">
        <w:rPr>
          <w:rFonts w:cs="Times New Roman"/>
          <w:b/>
          <w:szCs w:val="24"/>
        </w:rPr>
        <w:t>3</w:t>
      </w:r>
      <w:r w:rsidRPr="0001436A">
        <w:rPr>
          <w:rFonts w:cs="Times New Roman"/>
          <w:b/>
          <w:szCs w:val="24"/>
        </w:rPr>
        <w:t>.</w:t>
      </w:r>
      <w:r w:rsidRPr="001549D3">
        <w:rPr>
          <w:rFonts w:cs="Times New Roman"/>
          <w:szCs w:val="24"/>
        </w:rPr>
        <w:t xml:space="preserve"> </w:t>
      </w:r>
      <w:r w:rsidR="00352096" w:rsidRPr="003B5D9C">
        <w:rPr>
          <w:b/>
          <w:lang w:eastAsia="en-GB"/>
        </w:rPr>
        <w:t>Mfuzz soft clustering of proteins into groups with similar temporal expression profile.</w:t>
      </w:r>
      <w:r w:rsidR="00352096">
        <w:rPr>
          <w:rFonts w:cs="Times New Roman"/>
          <w:lang w:eastAsia="en-GB"/>
        </w:rPr>
        <w:t xml:space="preserve"> P</w:t>
      </w:r>
      <w:r w:rsidR="00352096" w:rsidRPr="009E07C9">
        <w:rPr>
          <w:rFonts w:cs="Times New Roman"/>
          <w:lang w:eastAsia="en-GB"/>
        </w:rPr>
        <w:t xml:space="preserve">roteins quantified in spontaneous </w:t>
      </w:r>
      <w:r w:rsidR="00352096">
        <w:rPr>
          <w:rFonts w:cs="Times New Roman"/>
          <w:lang w:eastAsia="en-GB"/>
        </w:rPr>
        <w:t xml:space="preserve">(A) </w:t>
      </w:r>
      <w:r w:rsidR="00352096" w:rsidRPr="009E07C9">
        <w:rPr>
          <w:rFonts w:cs="Times New Roman"/>
          <w:lang w:eastAsia="en-GB"/>
        </w:rPr>
        <w:t>or BDNF/GDNF supported differentiation</w:t>
      </w:r>
      <w:r w:rsidR="00352096">
        <w:rPr>
          <w:rFonts w:cs="Times New Roman"/>
          <w:lang w:eastAsia="en-GB"/>
        </w:rPr>
        <w:t xml:space="preserve"> (B) were clustered separately</w:t>
      </w:r>
      <w:r w:rsidR="00352096" w:rsidRPr="009E07C9">
        <w:rPr>
          <w:rFonts w:cs="Times New Roman"/>
          <w:lang w:eastAsia="en-GB"/>
        </w:rPr>
        <w:t xml:space="preserve">, 28 clusters </w:t>
      </w:r>
      <w:r w:rsidR="003B5D9C">
        <w:rPr>
          <w:rFonts w:cs="Times New Roman"/>
          <w:lang w:eastAsia="en-GB"/>
        </w:rPr>
        <w:t xml:space="preserve">were obtained </w:t>
      </w:r>
      <w:r w:rsidR="00352096" w:rsidRPr="009E07C9">
        <w:rPr>
          <w:rFonts w:cs="Times New Roman"/>
          <w:lang w:eastAsia="en-GB"/>
        </w:rPr>
        <w:t>for each condition</w:t>
      </w:r>
      <w:r w:rsidR="003B5D9C">
        <w:rPr>
          <w:rFonts w:cs="Times New Roman"/>
          <w:lang w:eastAsia="en-GB"/>
        </w:rPr>
        <w:t xml:space="preserve">. </w:t>
      </w:r>
    </w:p>
    <w:p w14:paraId="7B65BC41" w14:textId="77777777" w:rsidR="00DE23E8" w:rsidRDefault="00DE23E8" w:rsidP="00654E8F">
      <w:pPr>
        <w:spacing w:before="240"/>
      </w:pPr>
    </w:p>
    <w:p w14:paraId="5EA0FB3D" w14:textId="77777777" w:rsidR="00DB2AE7" w:rsidRDefault="00DB2AE7" w:rsidP="00654E8F">
      <w:pPr>
        <w:spacing w:before="240"/>
      </w:pPr>
    </w:p>
    <w:p w14:paraId="60D3310B" w14:textId="77777777" w:rsidR="00DB2AE7" w:rsidRDefault="00DB2AE7" w:rsidP="00654E8F">
      <w:pPr>
        <w:spacing w:before="240"/>
      </w:pPr>
    </w:p>
    <w:p w14:paraId="210D63B1" w14:textId="77777777" w:rsidR="00DB2AE7" w:rsidRDefault="00DB2AE7" w:rsidP="00654E8F">
      <w:pPr>
        <w:spacing w:before="240"/>
      </w:pPr>
    </w:p>
    <w:p w14:paraId="19B637F9" w14:textId="77777777" w:rsidR="00DB2AE7" w:rsidRDefault="00DB2AE7" w:rsidP="00654E8F">
      <w:pPr>
        <w:spacing w:before="240"/>
      </w:pPr>
    </w:p>
    <w:p w14:paraId="7E8E078C" w14:textId="77777777" w:rsidR="00DB2AE7" w:rsidRDefault="00DB2AE7" w:rsidP="00654E8F">
      <w:pPr>
        <w:spacing w:before="240"/>
      </w:pPr>
    </w:p>
    <w:p w14:paraId="29C479A0" w14:textId="77777777" w:rsidR="00DB2AE7" w:rsidRDefault="00DB2AE7" w:rsidP="00654E8F">
      <w:pPr>
        <w:spacing w:before="240"/>
      </w:pPr>
    </w:p>
    <w:p w14:paraId="717ABB06" w14:textId="77777777" w:rsidR="00DB2AE7" w:rsidRDefault="00DB2AE7" w:rsidP="00654E8F">
      <w:pPr>
        <w:spacing w:before="240"/>
      </w:pPr>
    </w:p>
    <w:p w14:paraId="0C65D576" w14:textId="77777777" w:rsidR="00DB2AE7" w:rsidRDefault="00DB2AE7" w:rsidP="00654E8F">
      <w:pPr>
        <w:spacing w:before="240"/>
      </w:pPr>
    </w:p>
    <w:p w14:paraId="39BAC225" w14:textId="0E233EF9" w:rsidR="00DB2AE7" w:rsidRDefault="00DB2AE7" w:rsidP="00654E8F">
      <w:pPr>
        <w:spacing w:before="240"/>
      </w:pPr>
      <w:r>
        <w:rPr>
          <w:noProof/>
          <w:lang w:val="cs-CZ" w:eastAsia="cs-CZ"/>
        </w:rPr>
        <w:lastRenderedPageBreak/>
        <w:drawing>
          <wp:inline distT="0" distB="0" distL="0" distR="0" wp14:anchorId="7933995D" wp14:editId="03572F0B">
            <wp:extent cx="3291840" cy="984504"/>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FAP_supplement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840" cy="984504"/>
                    </a:xfrm>
                    <a:prstGeom prst="rect">
                      <a:avLst/>
                    </a:prstGeom>
                  </pic:spPr>
                </pic:pic>
              </a:graphicData>
            </a:graphic>
          </wp:inline>
        </w:drawing>
      </w:r>
    </w:p>
    <w:p w14:paraId="551BB3B5" w14:textId="46613709" w:rsidR="009F19BD" w:rsidRPr="009F19BD" w:rsidRDefault="009F19BD" w:rsidP="009F19BD">
      <w:pPr>
        <w:spacing w:before="240"/>
        <w:rPr>
          <w:rFonts w:cs="Times New Roman"/>
          <w:b/>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Pr>
          <w:rFonts w:cs="Times New Roman"/>
          <w:b/>
          <w:szCs w:val="24"/>
        </w:rPr>
        <w:t xml:space="preserve"> </w:t>
      </w:r>
      <w:r w:rsidRPr="009F19BD">
        <w:rPr>
          <w:rFonts w:cs="Times New Roman"/>
          <w:b/>
          <w:szCs w:val="24"/>
        </w:rPr>
        <w:t>Detection of Glial fibrillary acidic protein (GFAP) by immunoblotting</w:t>
      </w:r>
      <w:r w:rsidR="0042041A">
        <w:rPr>
          <w:rFonts w:cs="Times New Roman"/>
          <w:b/>
          <w:szCs w:val="24"/>
        </w:rPr>
        <w:t xml:space="preserve">. </w:t>
      </w:r>
      <w:r w:rsidR="0042041A" w:rsidRPr="0042041A">
        <w:rPr>
          <w:rFonts w:cs="Times New Roman"/>
          <w:szCs w:val="24"/>
        </w:rPr>
        <w:t>Positive controls (+) correspond to pig brain homogenate. Representative image</w:t>
      </w:r>
      <w:r w:rsidR="0042041A">
        <w:rPr>
          <w:rFonts w:cs="Times New Roman"/>
          <w:szCs w:val="24"/>
        </w:rPr>
        <w:t xml:space="preserve"> from 2 biological replicates is</w:t>
      </w:r>
      <w:r w:rsidR="0042041A" w:rsidRPr="0042041A">
        <w:rPr>
          <w:rFonts w:cs="Times New Roman"/>
          <w:szCs w:val="24"/>
        </w:rPr>
        <w:t xml:space="preserve"> shown.</w:t>
      </w:r>
    </w:p>
    <w:p w14:paraId="048B1508" w14:textId="1A892139" w:rsidR="0042041A" w:rsidRDefault="0042041A" w:rsidP="009F19BD">
      <w:pPr>
        <w:spacing w:before="240"/>
        <w:rPr>
          <w:rFonts w:cs="Times New Roman"/>
          <w:szCs w:val="24"/>
        </w:rPr>
      </w:pPr>
      <w:r>
        <w:rPr>
          <w:rFonts w:cs="Times New Roman"/>
          <w:szCs w:val="24"/>
        </w:rPr>
        <w:t>Sample preparation:</w:t>
      </w:r>
    </w:p>
    <w:p w14:paraId="22CA03D1" w14:textId="50E7E14A" w:rsidR="009F19BD" w:rsidRPr="009F19BD" w:rsidRDefault="009F19BD" w:rsidP="009F19BD">
      <w:pPr>
        <w:spacing w:before="240"/>
        <w:rPr>
          <w:rFonts w:cs="Times New Roman"/>
          <w:szCs w:val="24"/>
        </w:rPr>
      </w:pPr>
      <w:r w:rsidRPr="009F19BD">
        <w:rPr>
          <w:rFonts w:cs="Times New Roman"/>
          <w:szCs w:val="24"/>
        </w:rPr>
        <w:t xml:space="preserve">Cells were lysed in ice-cold RIPA buffer (150 mM NaCl; 5 mM EDTA, pH 8; 50 mM Tris HCl, pH 7.4; 0.5% NP-40; 1% sodium deoxycholate; 1% Triton X-100 and 0.1% SDS) with 1x Halt protease and phosphatase inhibitor cocktail (Thermo Fisher Scientific). Porcine brain was obtained from control pig sacrificed in other experiments carried out at the institute, approved by the Resort Committee of the Czech Academy of Sciences, approval No. 53/2015. The brain tissue was homogenized in PBS on ice and proteins were extracted in RIPA buffer. Lysates were sonicated in an ice bath, and </w:t>
      </w:r>
      <w:proofErr w:type="spellStart"/>
      <w:r w:rsidRPr="009F19BD">
        <w:rPr>
          <w:rFonts w:cs="Times New Roman"/>
          <w:szCs w:val="24"/>
        </w:rPr>
        <w:t>unlysed</w:t>
      </w:r>
      <w:proofErr w:type="spellEnd"/>
      <w:r w:rsidRPr="009F19BD">
        <w:rPr>
          <w:rFonts w:cs="Times New Roman"/>
          <w:szCs w:val="24"/>
        </w:rPr>
        <w:t xml:space="preserve"> debris was pelleted by centrifugation for 10 min at 16,000 g at 4°C. Protein concentration in supernatants was determined by BCA ass</w:t>
      </w:r>
      <w:r>
        <w:rPr>
          <w:rFonts w:cs="Times New Roman"/>
          <w:szCs w:val="24"/>
        </w:rPr>
        <w:t>ay (Thermo Fisher Scientific).</w:t>
      </w:r>
    </w:p>
    <w:p w14:paraId="4CB6DAB6" w14:textId="3B013355" w:rsidR="00DB2AE7" w:rsidRPr="009F19BD" w:rsidRDefault="009F19BD" w:rsidP="009F19BD">
      <w:pPr>
        <w:spacing w:before="240"/>
      </w:pPr>
      <w:r w:rsidRPr="009F19BD">
        <w:rPr>
          <w:rFonts w:cs="Times New Roman"/>
          <w:szCs w:val="24"/>
        </w:rPr>
        <w:t>Three μg of proteins were separated in 3-8% Tris-Acetate gradient NuPAGE gels (Invitrogen) under reducing conditions according to the manufacturer’s instructions. Proteins were transferred by Trans-Blot Turbo transfer system (Bio-Rad) to the nitrocellulose membrane. Membrane was blocked 1 hour at room temperature and incubated overnight at 4°C with primary antibody (see Supplementary table 1B for details). Membrane was washed three times 10 min in Tris-buffered saline with 0.05% Tween 20 (TTBS) and incubated 60 min at room temperature with appropriate secondary antibody diluted 1:10,000 in 5% dry skim milk in TTBS. Membrane was washed in TTBS and incubated in ECL Prime reagent (</w:t>
      </w:r>
      <w:proofErr w:type="spellStart"/>
      <w:r w:rsidRPr="009F19BD">
        <w:rPr>
          <w:rFonts w:cs="Times New Roman"/>
          <w:szCs w:val="24"/>
        </w:rPr>
        <w:t>Amersham</w:t>
      </w:r>
      <w:proofErr w:type="spellEnd"/>
      <w:r w:rsidRPr="009F19BD">
        <w:rPr>
          <w:rFonts w:cs="Times New Roman"/>
          <w:szCs w:val="24"/>
        </w:rPr>
        <w:t xml:space="preserve">). The </w:t>
      </w:r>
      <w:proofErr w:type="spellStart"/>
      <w:r w:rsidRPr="009F19BD">
        <w:rPr>
          <w:rFonts w:cs="Times New Roman"/>
          <w:szCs w:val="24"/>
        </w:rPr>
        <w:t>Chemidoc</w:t>
      </w:r>
      <w:proofErr w:type="spellEnd"/>
      <w:r w:rsidRPr="009F19BD">
        <w:rPr>
          <w:rFonts w:cs="Times New Roman"/>
          <w:szCs w:val="24"/>
        </w:rPr>
        <w:t xml:space="preserve"> XRS + detection system with Image Lab (version 5.2.1 build 11) software (Bio-Rad) were used to detect the chemiluminescent signal.</w:t>
      </w:r>
    </w:p>
    <w:sectPr w:rsidR="00DB2AE7" w:rsidRPr="009F19BD"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6A0F6" w14:textId="77777777" w:rsidR="00BD0EA0" w:rsidRDefault="00BD0EA0" w:rsidP="00117666">
      <w:pPr>
        <w:spacing w:after="0"/>
      </w:pPr>
      <w:r>
        <w:separator/>
      </w:r>
    </w:p>
  </w:endnote>
  <w:endnote w:type="continuationSeparator" w:id="0">
    <w:p w14:paraId="4E5E2494" w14:textId="77777777" w:rsidR="00BD0EA0" w:rsidRDefault="00BD0EA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cs-CZ" w:eastAsia="cs-CZ"/>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AE42C3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1D69">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AE42C3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1D69">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cs-CZ" w:eastAsia="cs-CZ"/>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C5B23F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1D69">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C5B23F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1D69">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1E287" w14:textId="77777777" w:rsidR="00BD0EA0" w:rsidRDefault="00BD0EA0" w:rsidP="00117666">
      <w:pPr>
        <w:spacing w:after="0"/>
      </w:pPr>
      <w:r>
        <w:separator/>
      </w:r>
    </w:p>
  </w:footnote>
  <w:footnote w:type="continuationSeparator" w:id="0">
    <w:p w14:paraId="7C8E47A7" w14:textId="77777777" w:rsidR="00BD0EA0" w:rsidRDefault="00BD0EA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cs-CZ" w:eastAsia="cs-CZ"/>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1"/>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144E7"/>
    <w:rsid w:val="00034304"/>
    <w:rsid w:val="00035434"/>
    <w:rsid w:val="00052A14"/>
    <w:rsid w:val="00077D53"/>
    <w:rsid w:val="00105FD9"/>
    <w:rsid w:val="00112343"/>
    <w:rsid w:val="00117666"/>
    <w:rsid w:val="001549D3"/>
    <w:rsid w:val="00160065"/>
    <w:rsid w:val="00177D84"/>
    <w:rsid w:val="00267D18"/>
    <w:rsid w:val="00274347"/>
    <w:rsid w:val="002868E2"/>
    <w:rsid w:val="002869C3"/>
    <w:rsid w:val="002936E4"/>
    <w:rsid w:val="002A1B2C"/>
    <w:rsid w:val="002B345C"/>
    <w:rsid w:val="002B4A57"/>
    <w:rsid w:val="002C74CA"/>
    <w:rsid w:val="002D77AE"/>
    <w:rsid w:val="003123F4"/>
    <w:rsid w:val="00352096"/>
    <w:rsid w:val="003544FB"/>
    <w:rsid w:val="003B478A"/>
    <w:rsid w:val="003B5D9C"/>
    <w:rsid w:val="003D2F2D"/>
    <w:rsid w:val="00401590"/>
    <w:rsid w:val="0042041A"/>
    <w:rsid w:val="00447801"/>
    <w:rsid w:val="00452E9C"/>
    <w:rsid w:val="004735C8"/>
    <w:rsid w:val="00477DCB"/>
    <w:rsid w:val="004947A6"/>
    <w:rsid w:val="004961FF"/>
    <w:rsid w:val="004D3788"/>
    <w:rsid w:val="00517A89"/>
    <w:rsid w:val="005250F2"/>
    <w:rsid w:val="00546520"/>
    <w:rsid w:val="00593EEA"/>
    <w:rsid w:val="005A5EEE"/>
    <w:rsid w:val="006375C7"/>
    <w:rsid w:val="00654E8F"/>
    <w:rsid w:val="00660D05"/>
    <w:rsid w:val="006820B1"/>
    <w:rsid w:val="006A0EBD"/>
    <w:rsid w:val="006B7D14"/>
    <w:rsid w:val="00701727"/>
    <w:rsid w:val="0070566C"/>
    <w:rsid w:val="00707542"/>
    <w:rsid w:val="00714C50"/>
    <w:rsid w:val="00725A7D"/>
    <w:rsid w:val="007501BE"/>
    <w:rsid w:val="00790BB3"/>
    <w:rsid w:val="007C206C"/>
    <w:rsid w:val="00817DD6"/>
    <w:rsid w:val="0083759F"/>
    <w:rsid w:val="00885156"/>
    <w:rsid w:val="008D3CDF"/>
    <w:rsid w:val="009151AA"/>
    <w:rsid w:val="0093429D"/>
    <w:rsid w:val="00943573"/>
    <w:rsid w:val="00964134"/>
    <w:rsid w:val="00970F7D"/>
    <w:rsid w:val="00994A3D"/>
    <w:rsid w:val="009C2B12"/>
    <w:rsid w:val="009F19BD"/>
    <w:rsid w:val="00A174D9"/>
    <w:rsid w:val="00A532C6"/>
    <w:rsid w:val="00AA4D24"/>
    <w:rsid w:val="00AB6715"/>
    <w:rsid w:val="00AF1968"/>
    <w:rsid w:val="00B1671E"/>
    <w:rsid w:val="00B25EB8"/>
    <w:rsid w:val="00B37F4D"/>
    <w:rsid w:val="00BD0EA0"/>
    <w:rsid w:val="00C52A7B"/>
    <w:rsid w:val="00C56BAF"/>
    <w:rsid w:val="00C679AA"/>
    <w:rsid w:val="00C75972"/>
    <w:rsid w:val="00C94423"/>
    <w:rsid w:val="00CD066B"/>
    <w:rsid w:val="00CE1D69"/>
    <w:rsid w:val="00CE4FEE"/>
    <w:rsid w:val="00CE7EBF"/>
    <w:rsid w:val="00D060CF"/>
    <w:rsid w:val="00D434F9"/>
    <w:rsid w:val="00DB2AE7"/>
    <w:rsid w:val="00DB59C3"/>
    <w:rsid w:val="00DC259A"/>
    <w:rsid w:val="00DE23E8"/>
    <w:rsid w:val="00E52377"/>
    <w:rsid w:val="00E537AD"/>
    <w:rsid w:val="00E64E17"/>
    <w:rsid w:val="00E866C9"/>
    <w:rsid w:val="00EA3D3C"/>
    <w:rsid w:val="00EB19A1"/>
    <w:rsid w:val="00EC090A"/>
    <w:rsid w:val="00ED20B5"/>
    <w:rsid w:val="00F048CA"/>
    <w:rsid w:val="00F20092"/>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2581311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F526572-2D52-4320-86DA-F1767239E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187</TotalTime>
  <Pages>5</Pages>
  <Words>510</Words>
  <Characters>2908</Characters>
  <Application>Microsoft Office Word</Application>
  <DocSecurity>0</DocSecurity>
  <Lines>24</Lines>
  <Paragraphs>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Petr Vodicka</cp:lastModifiedBy>
  <cp:revision>19</cp:revision>
  <cp:lastPrinted>2013-10-03T12:51:00Z</cp:lastPrinted>
  <dcterms:created xsi:type="dcterms:W3CDTF">2020-09-27T14:17:00Z</dcterms:created>
  <dcterms:modified xsi:type="dcterms:W3CDTF">2020-09-30T14:31:00Z</dcterms:modified>
</cp:coreProperties>
</file>