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59786" w14:textId="77777777" w:rsidR="00EC03DB" w:rsidRPr="00EC03DB" w:rsidRDefault="00EC03DB" w:rsidP="00EC03DB">
      <w:pPr>
        <w:jc w:val="center"/>
        <w:rPr>
          <w:b/>
          <w:sz w:val="40"/>
          <w:szCs w:val="40"/>
          <w:lang w:val="en-US"/>
        </w:rPr>
      </w:pPr>
      <w:r w:rsidRPr="00EC03DB">
        <w:rPr>
          <w:b/>
          <w:sz w:val="40"/>
          <w:szCs w:val="40"/>
          <w:lang w:val="en-US"/>
        </w:rPr>
        <w:t>Supplementary Materials for</w:t>
      </w:r>
    </w:p>
    <w:p w14:paraId="7AE0B0F4" w14:textId="2BAA47C7" w:rsidR="00B8569F" w:rsidRPr="00D23B6B" w:rsidRDefault="00B8569F" w:rsidP="00B8569F">
      <w:pPr>
        <w:pStyle w:val="Default"/>
        <w:jc w:val="center"/>
        <w:rPr>
          <w:rFonts w:eastAsia="Times New Roman"/>
          <w:b/>
          <w:sz w:val="32"/>
          <w:szCs w:val="28"/>
          <w:lang w:val="en-US" w:eastAsia="it-IT"/>
        </w:rPr>
      </w:pPr>
      <w:r w:rsidRPr="00D23B6B">
        <w:rPr>
          <w:rFonts w:eastAsia="Times New Roman"/>
          <w:b/>
          <w:sz w:val="32"/>
          <w:szCs w:val="28"/>
          <w:lang w:val="en-US" w:eastAsia="it-IT"/>
        </w:rPr>
        <w:t xml:space="preserve">Identification of the best plant-soil-microbiota combination for the removal of </w:t>
      </w:r>
      <w:r w:rsidRPr="00D23B6B">
        <w:rPr>
          <w:b/>
          <w:sz w:val="28"/>
          <w:lang w:val="en-GB"/>
        </w:rPr>
        <w:t xml:space="preserve"> </w:t>
      </w:r>
      <w:r w:rsidRPr="00D23B6B">
        <w:rPr>
          <w:rFonts w:eastAsia="Times New Roman"/>
          <w:b/>
          <w:sz w:val="32"/>
          <w:szCs w:val="28"/>
          <w:lang w:val="en-US" w:eastAsia="it-IT"/>
        </w:rPr>
        <w:t>Total Petroleum Hydrocarbons (TPH): an in-field experiment</w:t>
      </w:r>
    </w:p>
    <w:p w14:paraId="18F16E7D" w14:textId="77777777" w:rsidR="00B8569F" w:rsidRPr="00D23B6B" w:rsidRDefault="00B8569F" w:rsidP="00B8569F">
      <w:pPr>
        <w:pStyle w:val="Default"/>
        <w:rPr>
          <w:b/>
          <w:sz w:val="22"/>
          <w:szCs w:val="22"/>
          <w:lang w:val="en-US"/>
        </w:rPr>
      </w:pPr>
    </w:p>
    <w:p w14:paraId="01286FFB" w14:textId="37B0FDAF" w:rsidR="00B8569F" w:rsidRPr="00D23B6B" w:rsidRDefault="00B8569F" w:rsidP="00B8569F">
      <w:pPr>
        <w:pStyle w:val="Default"/>
        <w:rPr>
          <w:szCs w:val="22"/>
        </w:rPr>
      </w:pPr>
      <w:r w:rsidRPr="00D23B6B">
        <w:rPr>
          <w:b/>
        </w:rPr>
        <w:t>Daniela Zuzolo</w:t>
      </w:r>
      <w:r w:rsidRPr="00D23B6B">
        <w:rPr>
          <w:b/>
          <w:vertAlign w:val="superscript"/>
        </w:rPr>
        <w:t>1</w:t>
      </w:r>
      <w:r w:rsidRPr="00D23B6B">
        <w:rPr>
          <w:b/>
        </w:rPr>
        <w:t>, Carmine</w:t>
      </w:r>
      <w:r w:rsidR="002E1A9F">
        <w:rPr>
          <w:b/>
        </w:rPr>
        <w:t xml:space="preserve"> </w:t>
      </w:r>
      <w:r w:rsidR="002E1A9F" w:rsidRPr="00D23B6B">
        <w:rPr>
          <w:b/>
        </w:rPr>
        <w:t>Guarino</w:t>
      </w:r>
      <w:r w:rsidRPr="00D23B6B">
        <w:rPr>
          <w:b/>
          <w:vertAlign w:val="superscript"/>
        </w:rPr>
        <w:t>1*</w:t>
      </w:r>
      <w:r w:rsidRPr="00D23B6B">
        <w:rPr>
          <w:b/>
        </w:rPr>
        <w:t xml:space="preserve">, </w:t>
      </w:r>
      <w:r w:rsidR="00B323E5">
        <w:rPr>
          <w:b/>
        </w:rPr>
        <w:t>Maria Tartaglia</w:t>
      </w:r>
      <w:r w:rsidR="00B323E5" w:rsidRPr="00356087">
        <w:rPr>
          <w:b/>
          <w:vertAlign w:val="superscript"/>
        </w:rPr>
        <w:t>1</w:t>
      </w:r>
      <w:r w:rsidR="00B323E5">
        <w:rPr>
          <w:b/>
        </w:rPr>
        <w:t xml:space="preserve">, </w:t>
      </w:r>
      <w:r w:rsidRPr="00D23B6B">
        <w:rPr>
          <w:b/>
        </w:rPr>
        <w:t>Rosaria</w:t>
      </w:r>
      <w:r w:rsidR="002E1A9F">
        <w:rPr>
          <w:b/>
        </w:rPr>
        <w:t xml:space="preserve"> </w:t>
      </w:r>
      <w:r w:rsidR="002E1A9F" w:rsidRPr="00D23B6B">
        <w:rPr>
          <w:b/>
        </w:rPr>
        <w:t>Sciarrillo</w:t>
      </w:r>
      <w:r w:rsidRPr="00D23B6B">
        <w:rPr>
          <w:b/>
          <w:vertAlign w:val="superscript"/>
        </w:rPr>
        <w:t>1</w:t>
      </w:r>
      <w:r w:rsidRPr="00D23B6B">
        <w:rPr>
          <w:vertAlign w:val="superscript"/>
        </w:rPr>
        <w:t>.</w:t>
      </w:r>
    </w:p>
    <w:p w14:paraId="075C9700" w14:textId="77777777" w:rsidR="00B8569F" w:rsidRPr="003D3DCD" w:rsidRDefault="00B8569F" w:rsidP="00B8569F">
      <w:pPr>
        <w:pStyle w:val="Default"/>
        <w:rPr>
          <w:sz w:val="20"/>
          <w:szCs w:val="20"/>
        </w:rPr>
      </w:pPr>
      <w:r w:rsidRPr="003D3DCD">
        <w:rPr>
          <w:sz w:val="20"/>
          <w:szCs w:val="20"/>
        </w:rPr>
        <w:t xml:space="preserve">                                                                                             </w:t>
      </w:r>
    </w:p>
    <w:p w14:paraId="061991ED" w14:textId="77777777" w:rsidR="00B8569F" w:rsidRPr="00191E87" w:rsidRDefault="00B8569F" w:rsidP="00B8569F">
      <w:pPr>
        <w:pStyle w:val="Default"/>
        <w:rPr>
          <w:sz w:val="20"/>
          <w:szCs w:val="20"/>
          <w:lang w:val="en-US"/>
        </w:rPr>
      </w:pPr>
      <w:r w:rsidRPr="00191E87">
        <w:rPr>
          <w:sz w:val="20"/>
          <w:szCs w:val="20"/>
          <w:lang w:val="en-US"/>
        </w:rPr>
        <w:t>University of Sannio</w:t>
      </w:r>
      <w:r>
        <w:rPr>
          <w:sz w:val="20"/>
          <w:szCs w:val="20"/>
          <w:lang w:val="en-US"/>
        </w:rPr>
        <w:t>-</w:t>
      </w:r>
      <w:r w:rsidRPr="00191E87">
        <w:rPr>
          <w:sz w:val="20"/>
          <w:szCs w:val="20"/>
          <w:lang w:val="en-US"/>
        </w:rPr>
        <w:t>Department of Science and Technology,</w:t>
      </w:r>
      <w:r>
        <w:rPr>
          <w:sz w:val="20"/>
          <w:szCs w:val="20"/>
          <w:lang w:val="en-US"/>
        </w:rPr>
        <w:t xml:space="preserve"> via De Sanctis snc, 82100</w:t>
      </w:r>
      <w:r w:rsidRPr="00191E87">
        <w:rPr>
          <w:sz w:val="20"/>
          <w:szCs w:val="20"/>
          <w:lang w:val="en-US"/>
        </w:rPr>
        <w:t xml:space="preserve"> Benevento, Italy </w:t>
      </w:r>
    </w:p>
    <w:p w14:paraId="1DFFF58C" w14:textId="77777777" w:rsidR="00B8569F" w:rsidRDefault="00B8569F" w:rsidP="00B8569F">
      <w:pPr>
        <w:spacing w:after="0" w:line="240" w:lineRule="auto"/>
        <w:rPr>
          <w:szCs w:val="24"/>
          <w:vertAlign w:val="superscript"/>
          <w:lang w:val="en-US"/>
        </w:rPr>
      </w:pPr>
      <w:bookmarkStart w:id="0" w:name="_GoBack"/>
      <w:bookmarkEnd w:id="0"/>
    </w:p>
    <w:p w14:paraId="7F7BBFC7" w14:textId="77777777" w:rsidR="00B8569F" w:rsidRDefault="00B8569F" w:rsidP="00B8569F">
      <w:pPr>
        <w:rPr>
          <w:lang w:val="en-US"/>
        </w:rPr>
      </w:pPr>
      <w:r w:rsidRPr="00D23B6B">
        <w:rPr>
          <w:b/>
          <w:lang w:val="en-US"/>
        </w:rPr>
        <w:t xml:space="preserve">* Correspondence: </w:t>
      </w:r>
      <w:r w:rsidRPr="00D23B6B">
        <w:rPr>
          <w:lang w:val="en-US"/>
        </w:rPr>
        <w:t xml:space="preserve"> </w:t>
      </w:r>
      <w:hyperlink r:id="rId5" w:history="1">
        <w:r w:rsidRPr="00D23B6B">
          <w:rPr>
            <w:rStyle w:val="Hyperlink"/>
            <w:lang w:val="en-US"/>
          </w:rPr>
          <w:t>guarino</w:t>
        </w:r>
        <w:r w:rsidRPr="00D23B6B">
          <w:rPr>
            <w:rStyle w:val="Hyperlink"/>
            <w:rFonts w:cs="Times New Roman"/>
            <w:lang w:val="en-US"/>
          </w:rPr>
          <w:t>@</w:t>
        </w:r>
        <w:r w:rsidRPr="00D23B6B">
          <w:rPr>
            <w:rStyle w:val="Hyperlink"/>
            <w:lang w:val="en-US"/>
          </w:rPr>
          <w:t>unisannio.it</w:t>
        </w:r>
      </w:hyperlink>
    </w:p>
    <w:p w14:paraId="6365667F" w14:textId="77777777" w:rsidR="00EC03DB" w:rsidRDefault="00EC03DB" w:rsidP="00EC03D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441A0BD9" w14:textId="53C26096" w:rsidR="00A41F47" w:rsidRPr="00A41F47" w:rsidRDefault="00A41F47" w:rsidP="00A41F47">
      <w:pPr>
        <w:jc w:val="left"/>
        <w:rPr>
          <w:szCs w:val="24"/>
          <w:lang w:val="en-US"/>
        </w:rPr>
      </w:pPr>
      <w:r w:rsidRPr="00A41F47">
        <w:rPr>
          <w:szCs w:val="24"/>
          <w:lang w:val="en-US"/>
        </w:rPr>
        <w:lastRenderedPageBreak/>
        <w:t xml:space="preserve">Table S1 </w:t>
      </w:r>
      <w:r w:rsidR="00397361">
        <w:rPr>
          <w:szCs w:val="24"/>
          <w:lang w:val="en-US"/>
        </w:rPr>
        <w:t>–</w:t>
      </w:r>
      <w:r w:rsidR="004C4B91">
        <w:rPr>
          <w:szCs w:val="24"/>
          <w:lang w:val="en-US"/>
        </w:rPr>
        <w:t xml:space="preserve"> Average </w:t>
      </w:r>
      <w:proofErr w:type="spellStart"/>
      <w:r w:rsidR="004C4B91">
        <w:rPr>
          <w:szCs w:val="24"/>
          <w:lang w:val="en-US"/>
        </w:rPr>
        <w:t>p</w:t>
      </w:r>
      <w:r w:rsidR="00397361">
        <w:rPr>
          <w:szCs w:val="24"/>
          <w:lang w:val="en-US"/>
        </w:rPr>
        <w:t>hysico</w:t>
      </w:r>
      <w:proofErr w:type="spellEnd"/>
      <w:r w:rsidR="00397361">
        <w:rPr>
          <w:szCs w:val="24"/>
          <w:lang w:val="en-US"/>
        </w:rPr>
        <w:t xml:space="preserve">-chemical properties of polluted soil </w:t>
      </w:r>
      <w:r w:rsidRPr="00A41F47">
        <w:rPr>
          <w:rFonts w:cs="Times New Roman"/>
          <w:szCs w:val="24"/>
          <w:lang w:val="en-US"/>
        </w:rPr>
        <w:t xml:space="preserve">before </w:t>
      </w:r>
      <w:r w:rsidR="00397361">
        <w:rPr>
          <w:rFonts w:cs="Times New Roman"/>
          <w:szCs w:val="24"/>
          <w:lang w:val="en-US"/>
        </w:rPr>
        <w:t xml:space="preserve">treatment (BPH), polluted soil </w:t>
      </w:r>
      <w:r w:rsidRPr="00A41F47">
        <w:rPr>
          <w:rFonts w:cs="Times New Roman"/>
          <w:szCs w:val="24"/>
          <w:lang w:val="en-US"/>
        </w:rPr>
        <w:t>after treatment (APH) and control soil (CPH).</w:t>
      </w:r>
    </w:p>
    <w:tbl>
      <w:tblPr>
        <w:tblStyle w:val="Tabellasemplice51"/>
        <w:tblpPr w:leftFromText="141" w:rightFromText="141" w:vertAnchor="page" w:horzAnchor="margin" w:tblpXSpec="center" w:tblpY="3361"/>
        <w:tblW w:w="9351" w:type="dxa"/>
        <w:tblLook w:val="04A0" w:firstRow="1" w:lastRow="0" w:firstColumn="1" w:lastColumn="0" w:noHBand="0" w:noVBand="1"/>
      </w:tblPr>
      <w:tblGrid>
        <w:gridCol w:w="2972"/>
        <w:gridCol w:w="1985"/>
        <w:gridCol w:w="2357"/>
        <w:gridCol w:w="2037"/>
      </w:tblGrid>
      <w:tr w:rsidR="00A41F47" w:rsidRPr="003D3DCD" w14:paraId="401FF0A5" w14:textId="77777777" w:rsidTr="00A41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  <w:tcBorders>
              <w:top w:val="single" w:sz="4" w:space="0" w:color="auto"/>
            </w:tcBorders>
            <w:vAlign w:val="center"/>
          </w:tcPr>
          <w:p w14:paraId="36456B62" w14:textId="77777777" w:rsidR="00A41F47" w:rsidRPr="00A41F47" w:rsidRDefault="002F450B" w:rsidP="002F450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Parameter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035697E" w14:textId="77777777" w:rsidR="00A41F47" w:rsidRPr="00A41F47" w:rsidRDefault="00A41F47" w:rsidP="00A41F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A41F47">
              <w:rPr>
                <w:b/>
                <w:sz w:val="22"/>
              </w:rPr>
              <w:t>Control soil (CPH)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14:paraId="3C1CC6EA" w14:textId="77777777" w:rsidR="00A41F47" w:rsidRPr="00A41F47" w:rsidRDefault="00A41F47" w:rsidP="00A41F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en-US"/>
              </w:rPr>
            </w:pPr>
            <w:r w:rsidRPr="00A41F47">
              <w:rPr>
                <w:b/>
                <w:sz w:val="22"/>
                <w:lang w:val="en-US"/>
              </w:rPr>
              <w:t>Polluted soil before treatment (BPH)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14:paraId="3707C511" w14:textId="77777777" w:rsidR="00A41F47" w:rsidRPr="00A41F47" w:rsidRDefault="00A41F47" w:rsidP="00A41F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en-US"/>
              </w:rPr>
            </w:pPr>
            <w:r w:rsidRPr="00A41F47">
              <w:rPr>
                <w:b/>
                <w:sz w:val="22"/>
                <w:lang w:val="en-US"/>
              </w:rPr>
              <w:t>Polluted soil after treatment (APH)</w:t>
            </w:r>
          </w:p>
        </w:tc>
      </w:tr>
      <w:tr w:rsidR="00A41F47" w:rsidRPr="00A41F47" w14:paraId="131E5CAA" w14:textId="77777777" w:rsidTr="00A4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45FD11F" w14:textId="77777777" w:rsidR="00A41F47" w:rsidRPr="00A41F47" w:rsidRDefault="00A41F47" w:rsidP="00A41F47">
            <w:pPr>
              <w:spacing w:after="0" w:line="240" w:lineRule="auto"/>
              <w:jc w:val="center"/>
              <w:rPr>
                <w:sz w:val="22"/>
              </w:rPr>
            </w:pPr>
            <w:r w:rsidRPr="00A41F47">
              <w:rPr>
                <w:sz w:val="22"/>
              </w:rPr>
              <w:t>Texture of soil</w:t>
            </w:r>
          </w:p>
        </w:tc>
        <w:tc>
          <w:tcPr>
            <w:tcW w:w="1985" w:type="dxa"/>
            <w:vAlign w:val="center"/>
          </w:tcPr>
          <w:p w14:paraId="0AE64A50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Fine loamy soil</w:t>
            </w:r>
          </w:p>
        </w:tc>
        <w:tc>
          <w:tcPr>
            <w:tcW w:w="2357" w:type="dxa"/>
            <w:vAlign w:val="center"/>
          </w:tcPr>
          <w:p w14:paraId="3FBD8D72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Fine loamy soil</w:t>
            </w:r>
          </w:p>
        </w:tc>
        <w:tc>
          <w:tcPr>
            <w:tcW w:w="2037" w:type="dxa"/>
            <w:vAlign w:val="center"/>
          </w:tcPr>
          <w:p w14:paraId="65E81299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Fine loamy soil</w:t>
            </w:r>
          </w:p>
        </w:tc>
      </w:tr>
      <w:tr w:rsidR="00A41F47" w:rsidRPr="00A41F47" w14:paraId="038BD9F6" w14:textId="77777777" w:rsidTr="00A4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ED59A83" w14:textId="77777777" w:rsidR="00A41F47" w:rsidRPr="00A41F47" w:rsidRDefault="00A41F47" w:rsidP="00A41F47">
            <w:pPr>
              <w:spacing w:after="0" w:line="240" w:lineRule="auto"/>
              <w:jc w:val="center"/>
              <w:rPr>
                <w:sz w:val="22"/>
              </w:rPr>
            </w:pPr>
            <w:r w:rsidRPr="00A41F47">
              <w:rPr>
                <w:sz w:val="22"/>
              </w:rPr>
              <w:t>Temperature (°C)</w:t>
            </w:r>
          </w:p>
        </w:tc>
        <w:tc>
          <w:tcPr>
            <w:tcW w:w="1985" w:type="dxa"/>
            <w:vAlign w:val="center"/>
          </w:tcPr>
          <w:p w14:paraId="33954245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37</w:t>
            </w:r>
          </w:p>
        </w:tc>
        <w:tc>
          <w:tcPr>
            <w:tcW w:w="2357" w:type="dxa"/>
            <w:vAlign w:val="center"/>
          </w:tcPr>
          <w:p w14:paraId="001C3121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37</w:t>
            </w:r>
          </w:p>
        </w:tc>
        <w:tc>
          <w:tcPr>
            <w:tcW w:w="2037" w:type="dxa"/>
            <w:vAlign w:val="center"/>
          </w:tcPr>
          <w:p w14:paraId="54956D38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37</w:t>
            </w:r>
          </w:p>
        </w:tc>
      </w:tr>
      <w:tr w:rsidR="00A41F47" w:rsidRPr="00A41F47" w14:paraId="7833E1E6" w14:textId="77777777" w:rsidTr="00A4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7356159" w14:textId="77777777" w:rsidR="00A41F47" w:rsidRPr="00A41F47" w:rsidRDefault="00A41F47" w:rsidP="00A41F47">
            <w:pPr>
              <w:spacing w:after="0" w:line="240" w:lineRule="auto"/>
              <w:jc w:val="center"/>
              <w:rPr>
                <w:sz w:val="22"/>
              </w:rPr>
            </w:pPr>
            <w:r w:rsidRPr="00A41F47">
              <w:rPr>
                <w:sz w:val="22"/>
              </w:rPr>
              <w:t>pH</w:t>
            </w:r>
          </w:p>
        </w:tc>
        <w:tc>
          <w:tcPr>
            <w:tcW w:w="1985" w:type="dxa"/>
            <w:vAlign w:val="center"/>
          </w:tcPr>
          <w:p w14:paraId="45E468E6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8.26</w:t>
            </w:r>
          </w:p>
        </w:tc>
        <w:tc>
          <w:tcPr>
            <w:tcW w:w="2357" w:type="dxa"/>
            <w:vAlign w:val="center"/>
          </w:tcPr>
          <w:p w14:paraId="66992A07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8.10</w:t>
            </w:r>
          </w:p>
        </w:tc>
        <w:tc>
          <w:tcPr>
            <w:tcW w:w="2037" w:type="dxa"/>
            <w:vAlign w:val="center"/>
          </w:tcPr>
          <w:p w14:paraId="1CEE2CA8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8.12</w:t>
            </w:r>
          </w:p>
        </w:tc>
      </w:tr>
      <w:tr w:rsidR="00A41F47" w:rsidRPr="00A41F47" w14:paraId="6F4C6D10" w14:textId="77777777" w:rsidTr="00A4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96E2F95" w14:textId="77777777" w:rsidR="00A41F47" w:rsidRPr="00A41F47" w:rsidRDefault="00A41F47" w:rsidP="00A41F47">
            <w:pPr>
              <w:spacing w:after="0" w:line="240" w:lineRule="auto"/>
              <w:jc w:val="center"/>
              <w:rPr>
                <w:sz w:val="22"/>
              </w:rPr>
            </w:pPr>
            <w:r w:rsidRPr="00A41F47">
              <w:rPr>
                <w:sz w:val="22"/>
              </w:rPr>
              <w:t>Organic carbon (%)</w:t>
            </w:r>
          </w:p>
        </w:tc>
        <w:tc>
          <w:tcPr>
            <w:tcW w:w="1985" w:type="dxa"/>
            <w:vAlign w:val="center"/>
          </w:tcPr>
          <w:p w14:paraId="1324713A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0.79</w:t>
            </w:r>
          </w:p>
        </w:tc>
        <w:tc>
          <w:tcPr>
            <w:tcW w:w="2357" w:type="dxa"/>
            <w:vAlign w:val="center"/>
          </w:tcPr>
          <w:p w14:paraId="7818688D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1.10</w:t>
            </w:r>
          </w:p>
        </w:tc>
        <w:tc>
          <w:tcPr>
            <w:tcW w:w="2037" w:type="dxa"/>
            <w:vAlign w:val="center"/>
          </w:tcPr>
          <w:p w14:paraId="5B6FE90D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0.98</w:t>
            </w:r>
          </w:p>
        </w:tc>
      </w:tr>
      <w:tr w:rsidR="00A41F47" w:rsidRPr="00A41F47" w14:paraId="5907C956" w14:textId="77777777" w:rsidTr="00A4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200FABE" w14:textId="77777777" w:rsidR="00A41F47" w:rsidRPr="00A41F47" w:rsidRDefault="00A41F47" w:rsidP="00A41F47">
            <w:pPr>
              <w:spacing w:after="0" w:line="240" w:lineRule="auto"/>
              <w:jc w:val="center"/>
              <w:rPr>
                <w:sz w:val="22"/>
              </w:rPr>
            </w:pPr>
            <w:r w:rsidRPr="00A41F47">
              <w:rPr>
                <w:sz w:val="22"/>
              </w:rPr>
              <w:t>Total Nitrogen (Kgha</w:t>
            </w:r>
            <w:r w:rsidRPr="00A41F47">
              <w:rPr>
                <w:sz w:val="22"/>
                <w:vertAlign w:val="superscript"/>
              </w:rPr>
              <w:t>−1</w:t>
            </w:r>
            <w:r w:rsidRPr="00A41F47">
              <w:rPr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5AA035A5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1373</w:t>
            </w:r>
          </w:p>
        </w:tc>
        <w:tc>
          <w:tcPr>
            <w:tcW w:w="2357" w:type="dxa"/>
            <w:vAlign w:val="center"/>
          </w:tcPr>
          <w:p w14:paraId="4F36E6FD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2079</w:t>
            </w:r>
          </w:p>
        </w:tc>
        <w:tc>
          <w:tcPr>
            <w:tcW w:w="2037" w:type="dxa"/>
            <w:vAlign w:val="center"/>
          </w:tcPr>
          <w:p w14:paraId="08484EE8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1456</w:t>
            </w:r>
          </w:p>
        </w:tc>
      </w:tr>
      <w:tr w:rsidR="00A41F47" w:rsidRPr="00A41F47" w14:paraId="70FA7E20" w14:textId="77777777" w:rsidTr="00A4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AC3C4C8" w14:textId="77777777" w:rsidR="00A41F47" w:rsidRPr="00A41F47" w:rsidRDefault="00A41F47" w:rsidP="00A41F47">
            <w:pPr>
              <w:spacing w:after="0" w:line="240" w:lineRule="auto"/>
              <w:jc w:val="center"/>
              <w:rPr>
                <w:sz w:val="22"/>
              </w:rPr>
            </w:pPr>
            <w:r w:rsidRPr="00A41F47">
              <w:rPr>
                <w:sz w:val="22"/>
              </w:rPr>
              <w:t>Available P</w:t>
            </w:r>
            <w:r w:rsidRPr="00A41F47">
              <w:rPr>
                <w:sz w:val="22"/>
                <w:vertAlign w:val="subscript"/>
              </w:rPr>
              <w:t>2</w:t>
            </w:r>
            <w:r w:rsidRPr="00A41F47">
              <w:rPr>
                <w:sz w:val="22"/>
              </w:rPr>
              <w:t>O</w:t>
            </w:r>
            <w:r w:rsidRPr="00A41F47">
              <w:rPr>
                <w:sz w:val="22"/>
                <w:vertAlign w:val="subscript"/>
              </w:rPr>
              <w:t>5</w:t>
            </w:r>
            <w:r w:rsidRPr="00A41F47">
              <w:rPr>
                <w:sz w:val="22"/>
              </w:rPr>
              <w:t xml:space="preserve"> (Kg ha</w:t>
            </w:r>
            <w:r w:rsidRPr="00A41F47">
              <w:rPr>
                <w:sz w:val="22"/>
                <w:vertAlign w:val="superscript"/>
              </w:rPr>
              <w:t>−1</w:t>
            </w:r>
            <w:r w:rsidRPr="00A41F47">
              <w:rPr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6360ECA5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25.63</w:t>
            </w:r>
          </w:p>
        </w:tc>
        <w:tc>
          <w:tcPr>
            <w:tcW w:w="2357" w:type="dxa"/>
            <w:vAlign w:val="center"/>
          </w:tcPr>
          <w:p w14:paraId="1863546E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38.12</w:t>
            </w:r>
          </w:p>
        </w:tc>
        <w:tc>
          <w:tcPr>
            <w:tcW w:w="2037" w:type="dxa"/>
            <w:vAlign w:val="center"/>
          </w:tcPr>
          <w:p w14:paraId="35AAB550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32.11</w:t>
            </w:r>
          </w:p>
        </w:tc>
      </w:tr>
      <w:tr w:rsidR="00A41F47" w:rsidRPr="00A41F47" w14:paraId="2018F274" w14:textId="77777777" w:rsidTr="00A4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4C57714" w14:textId="77777777" w:rsidR="00A41F47" w:rsidRPr="00A41F47" w:rsidRDefault="00A41F47" w:rsidP="00A41F47">
            <w:pPr>
              <w:spacing w:after="0" w:line="240" w:lineRule="auto"/>
              <w:jc w:val="center"/>
              <w:rPr>
                <w:sz w:val="22"/>
              </w:rPr>
            </w:pPr>
            <w:r w:rsidRPr="00A41F47">
              <w:rPr>
                <w:sz w:val="22"/>
              </w:rPr>
              <w:t>Available K</w:t>
            </w:r>
            <w:r w:rsidRPr="00A41F47">
              <w:rPr>
                <w:sz w:val="22"/>
                <w:vertAlign w:val="subscript"/>
              </w:rPr>
              <w:t>2</w:t>
            </w:r>
            <w:r w:rsidRPr="00A41F47">
              <w:rPr>
                <w:sz w:val="22"/>
              </w:rPr>
              <w:t>O (Kg ha</w:t>
            </w:r>
            <w:r w:rsidRPr="00A41F47">
              <w:rPr>
                <w:sz w:val="22"/>
                <w:vertAlign w:val="superscript"/>
              </w:rPr>
              <w:t>−1</w:t>
            </w:r>
            <w:r w:rsidRPr="00A41F47">
              <w:rPr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36761202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123</w:t>
            </w:r>
          </w:p>
        </w:tc>
        <w:tc>
          <w:tcPr>
            <w:tcW w:w="2357" w:type="dxa"/>
            <w:vAlign w:val="center"/>
          </w:tcPr>
          <w:p w14:paraId="6A9DA519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175</w:t>
            </w:r>
          </w:p>
        </w:tc>
        <w:tc>
          <w:tcPr>
            <w:tcW w:w="2037" w:type="dxa"/>
            <w:vAlign w:val="center"/>
          </w:tcPr>
          <w:p w14:paraId="3CD3B023" w14:textId="77777777" w:rsidR="00A41F47" w:rsidRPr="00A41F47" w:rsidRDefault="00A41F47" w:rsidP="00A41F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144</w:t>
            </w:r>
          </w:p>
        </w:tc>
      </w:tr>
      <w:tr w:rsidR="00A41F47" w:rsidRPr="00A41F47" w14:paraId="440AE2FF" w14:textId="77777777" w:rsidTr="00A4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81A0768" w14:textId="77777777" w:rsidR="00A41F47" w:rsidRPr="00A41F47" w:rsidRDefault="00A41F47" w:rsidP="00A41F47">
            <w:pPr>
              <w:spacing w:after="0" w:line="240" w:lineRule="auto"/>
              <w:jc w:val="center"/>
              <w:rPr>
                <w:sz w:val="22"/>
              </w:rPr>
            </w:pPr>
            <w:r w:rsidRPr="00A41F47">
              <w:rPr>
                <w:sz w:val="22"/>
              </w:rPr>
              <w:t>EC (dSm</w:t>
            </w:r>
            <w:r w:rsidRPr="00A41F47">
              <w:rPr>
                <w:sz w:val="22"/>
                <w:vertAlign w:val="superscript"/>
              </w:rPr>
              <w:t>−1</w:t>
            </w:r>
            <w:r w:rsidRPr="00A41F47">
              <w:rPr>
                <w:sz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199B14A0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0.18</w:t>
            </w:r>
          </w:p>
        </w:tc>
        <w:tc>
          <w:tcPr>
            <w:tcW w:w="2357" w:type="dxa"/>
            <w:vAlign w:val="center"/>
          </w:tcPr>
          <w:p w14:paraId="6D72EAB4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0.34</w:t>
            </w:r>
          </w:p>
        </w:tc>
        <w:tc>
          <w:tcPr>
            <w:tcW w:w="2037" w:type="dxa"/>
            <w:vAlign w:val="center"/>
          </w:tcPr>
          <w:p w14:paraId="6CA2FE83" w14:textId="77777777" w:rsidR="00A41F47" w:rsidRPr="00A41F47" w:rsidRDefault="00A41F47" w:rsidP="00A41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</w:rPr>
            </w:pPr>
            <w:r w:rsidRPr="00A41F47">
              <w:rPr>
                <w:rFonts w:eastAsia="Calibri" w:cs="Times New Roman"/>
                <w:sz w:val="22"/>
              </w:rPr>
              <w:t>0.22</w:t>
            </w:r>
          </w:p>
        </w:tc>
      </w:tr>
    </w:tbl>
    <w:p w14:paraId="70B330C4" w14:textId="77777777" w:rsidR="00A41F47" w:rsidRDefault="00A41F47" w:rsidP="00A41F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562D121" w14:textId="1A3FEB99" w:rsidR="00A41F47" w:rsidRPr="00A41F47" w:rsidRDefault="00A41F47" w:rsidP="00A41F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A41F47">
        <w:rPr>
          <w:szCs w:val="24"/>
          <w:lang w:val="en-US"/>
        </w:rPr>
        <w:lastRenderedPageBreak/>
        <w:t xml:space="preserve">Table S2 - </w:t>
      </w:r>
      <w:r w:rsidRPr="00A41F47">
        <w:rPr>
          <w:rFonts w:cs="Times New Roman"/>
          <w:color w:val="161413"/>
          <w:szCs w:val="24"/>
          <w:lang w:val="en-US"/>
        </w:rPr>
        <w:t xml:space="preserve">Primary screening </w:t>
      </w:r>
      <w:r w:rsidRPr="00A41F47">
        <w:rPr>
          <w:rFonts w:cs="Times New Roman"/>
          <w:szCs w:val="24"/>
          <w:lang w:val="en-US"/>
        </w:rPr>
        <w:t xml:space="preserve">of potential PGPR </w:t>
      </w:r>
      <w:r w:rsidR="00EC6A58">
        <w:rPr>
          <w:rFonts w:cs="Times New Roman"/>
          <w:szCs w:val="24"/>
          <w:lang w:val="en-US"/>
        </w:rPr>
        <w:t xml:space="preserve">activities </w:t>
      </w:r>
      <w:r w:rsidRPr="00A41F47">
        <w:rPr>
          <w:rFonts w:cs="Times New Roman"/>
          <w:color w:val="161413"/>
          <w:szCs w:val="24"/>
          <w:lang w:val="en-US"/>
        </w:rPr>
        <w:t xml:space="preserve">by bacteria isolates recovered from </w:t>
      </w:r>
      <w:r w:rsidR="00EC6A58">
        <w:rPr>
          <w:rFonts w:cs="Times New Roman"/>
          <w:color w:val="161413"/>
          <w:szCs w:val="24"/>
          <w:lang w:val="en-US"/>
        </w:rPr>
        <w:t>BPH</w:t>
      </w:r>
      <w:r w:rsidR="00EC6A58" w:rsidRPr="00A41F47">
        <w:rPr>
          <w:rFonts w:cs="Times New Roman"/>
          <w:color w:val="161413"/>
          <w:szCs w:val="24"/>
          <w:lang w:val="en-US"/>
        </w:rPr>
        <w:t xml:space="preserve"> </w:t>
      </w:r>
      <w:r w:rsidRPr="00A41F47">
        <w:rPr>
          <w:rFonts w:cs="Times New Roman"/>
          <w:color w:val="161413"/>
          <w:szCs w:val="24"/>
          <w:lang w:val="en-US"/>
        </w:rPr>
        <w:t>rhizosphere soil. The isolates were categorized into three groups according to the produced amount: + low concentrations (&lt;1 µg/ml), ++ moderate concentrations (1 -2.99 µg/ml) and +++ high concentrations (&gt;3 µg/ml).</w:t>
      </w:r>
    </w:p>
    <w:p w14:paraId="5AFDB7A1" w14:textId="77777777" w:rsidR="00EC03DB" w:rsidRDefault="00EC03DB" w:rsidP="00A41F47">
      <w:pPr>
        <w:rPr>
          <w:sz w:val="28"/>
          <w:szCs w:val="28"/>
          <w:lang w:val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1276"/>
        <w:gridCol w:w="1984"/>
        <w:gridCol w:w="1559"/>
      </w:tblGrid>
      <w:tr w:rsidR="00A41F47" w:rsidRPr="00736D80" w14:paraId="49D4B3C5" w14:textId="77777777" w:rsidTr="00C122E3">
        <w:trPr>
          <w:trHeight w:val="40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27A70C2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Bacterial isolates </w:t>
            </w:r>
          </w:p>
          <w:p w14:paraId="3E449114" w14:textId="77777777" w:rsidR="00A41F47" w:rsidRPr="00D65166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7E747F" w14:textId="77777777" w:rsidR="00A41F47" w:rsidRPr="00D65166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Production IAA</w:t>
            </w:r>
          </w:p>
        </w:tc>
        <w:tc>
          <w:tcPr>
            <w:tcW w:w="1276" w:type="dxa"/>
          </w:tcPr>
          <w:p w14:paraId="794809DE" w14:textId="77777777" w:rsidR="00A41F47" w:rsidRPr="00D65166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Siderophore release</w:t>
            </w:r>
          </w:p>
        </w:tc>
        <w:tc>
          <w:tcPr>
            <w:tcW w:w="1984" w:type="dxa"/>
          </w:tcPr>
          <w:p w14:paraId="5BAF92C4" w14:textId="77777777" w:rsidR="00A41F47" w:rsidRPr="00D65166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Exopolysaccharides (EPSs) production</w:t>
            </w:r>
          </w:p>
        </w:tc>
        <w:tc>
          <w:tcPr>
            <w:tcW w:w="1559" w:type="dxa"/>
          </w:tcPr>
          <w:p w14:paraId="799E52A0" w14:textId="77777777" w:rsidR="00A41F47" w:rsidRPr="00D65166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Production of ammonia</w:t>
            </w:r>
          </w:p>
        </w:tc>
      </w:tr>
      <w:tr w:rsidR="00A41F47" w:rsidRPr="00736D80" w14:paraId="31879DE7" w14:textId="77777777" w:rsidTr="00C122E3">
        <w:trPr>
          <w:trHeight w:val="158"/>
        </w:trPr>
        <w:tc>
          <w:tcPr>
            <w:tcW w:w="3828" w:type="dxa"/>
            <w:shd w:val="clear" w:color="auto" w:fill="auto"/>
            <w:noWrap/>
            <w:vAlign w:val="bottom"/>
          </w:tcPr>
          <w:p w14:paraId="000158EC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Gordonia polyisoprenivorans </w:t>
            </w:r>
            <w:r w:rsidRPr="00D65166">
              <w:rPr>
                <w:rFonts w:eastAsia="Times New Roman" w:cs="Times New Roman"/>
                <w:sz w:val="20"/>
                <w:szCs w:val="20"/>
                <w:lang w:eastAsia="it-IT"/>
              </w:rPr>
              <w:t>VH2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BD0CB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276" w:type="dxa"/>
          </w:tcPr>
          <w:p w14:paraId="459E4836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984" w:type="dxa"/>
          </w:tcPr>
          <w:p w14:paraId="644524FE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559" w:type="dxa"/>
          </w:tcPr>
          <w:p w14:paraId="4BA91B42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</w:tr>
      <w:tr w:rsidR="00A41F47" w:rsidRPr="00736D80" w14:paraId="7789C981" w14:textId="77777777" w:rsidTr="00C122E3">
        <w:trPr>
          <w:trHeight w:val="232"/>
        </w:trPr>
        <w:tc>
          <w:tcPr>
            <w:tcW w:w="3828" w:type="dxa"/>
            <w:shd w:val="clear" w:color="auto" w:fill="auto"/>
            <w:noWrap/>
            <w:vAlign w:val="bottom"/>
          </w:tcPr>
          <w:p w14:paraId="3AC1621D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Achromobacter marplatensis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DDB90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76" w:type="dxa"/>
          </w:tcPr>
          <w:p w14:paraId="0010B1E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84" w:type="dxa"/>
          </w:tcPr>
          <w:p w14:paraId="1B862C76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59" w:type="dxa"/>
          </w:tcPr>
          <w:p w14:paraId="0564652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41F47" w:rsidRPr="00736D80" w14:paraId="482A25AE" w14:textId="77777777" w:rsidTr="00C122E3">
        <w:trPr>
          <w:trHeight w:val="179"/>
        </w:trPr>
        <w:tc>
          <w:tcPr>
            <w:tcW w:w="3828" w:type="dxa"/>
            <w:shd w:val="clear" w:color="auto" w:fill="auto"/>
            <w:noWrap/>
            <w:vAlign w:val="center"/>
          </w:tcPr>
          <w:p w14:paraId="7C04647A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Bacillus thuringiensis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8F9E05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276" w:type="dxa"/>
          </w:tcPr>
          <w:p w14:paraId="53AE0FD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984" w:type="dxa"/>
          </w:tcPr>
          <w:p w14:paraId="57A285C5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559" w:type="dxa"/>
          </w:tcPr>
          <w:p w14:paraId="10F2A82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</w:tr>
      <w:tr w:rsidR="00A41F47" w:rsidRPr="00736D80" w14:paraId="3D8C7079" w14:textId="77777777" w:rsidTr="00C122E3">
        <w:trPr>
          <w:trHeight w:val="178"/>
        </w:trPr>
        <w:tc>
          <w:tcPr>
            <w:tcW w:w="3828" w:type="dxa"/>
            <w:shd w:val="clear" w:color="auto" w:fill="auto"/>
            <w:noWrap/>
            <w:vAlign w:val="center"/>
          </w:tcPr>
          <w:p w14:paraId="13F4568F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Bacillus spp.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FA97754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276" w:type="dxa"/>
          </w:tcPr>
          <w:p w14:paraId="4353A104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984" w:type="dxa"/>
          </w:tcPr>
          <w:p w14:paraId="7A54E593" w14:textId="77777777" w:rsidR="00A41F47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559" w:type="dxa"/>
          </w:tcPr>
          <w:p w14:paraId="25F8316A" w14:textId="77777777" w:rsidR="00A41F47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</w:tr>
      <w:tr w:rsidR="00A41F47" w:rsidRPr="00736D80" w14:paraId="067B6E89" w14:textId="77777777" w:rsidTr="00C122E3">
        <w:trPr>
          <w:trHeight w:val="178"/>
        </w:trPr>
        <w:tc>
          <w:tcPr>
            <w:tcW w:w="3828" w:type="dxa"/>
            <w:shd w:val="clear" w:color="auto" w:fill="auto"/>
            <w:noWrap/>
            <w:vAlign w:val="center"/>
          </w:tcPr>
          <w:p w14:paraId="4FC397F0" w14:textId="77777777" w:rsidR="00A41F47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Bacillus</w:t>
            </w: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l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icheniformis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A8C50E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276" w:type="dxa"/>
          </w:tcPr>
          <w:p w14:paraId="6E9C6F04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984" w:type="dxa"/>
          </w:tcPr>
          <w:p w14:paraId="025BF0DB" w14:textId="77777777" w:rsidR="00A41F47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559" w:type="dxa"/>
          </w:tcPr>
          <w:p w14:paraId="1C33B38A" w14:textId="77777777" w:rsidR="00A41F47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</w:tr>
      <w:tr w:rsidR="00A41F47" w:rsidRPr="00736D80" w14:paraId="09F487F7" w14:textId="77777777" w:rsidTr="00C122E3">
        <w:trPr>
          <w:trHeight w:val="98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484C2721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Achromobacter </w:t>
            </w:r>
            <w:r w:rsidRPr="00D65166"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xylosoxidans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860105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2BE1E31A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84" w:type="dxa"/>
          </w:tcPr>
          <w:p w14:paraId="13D21E76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59" w:type="dxa"/>
          </w:tcPr>
          <w:p w14:paraId="7EE74950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  <w:tr w:rsidR="00A41F47" w:rsidRPr="00736D80" w14:paraId="6CB4B96B" w14:textId="77777777" w:rsidTr="00C122E3">
        <w:trPr>
          <w:trHeight w:val="124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510B2A0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Comamonas spanius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A157D3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276" w:type="dxa"/>
            <w:shd w:val="clear" w:color="auto" w:fill="auto"/>
          </w:tcPr>
          <w:p w14:paraId="04B3203C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984" w:type="dxa"/>
            <w:shd w:val="clear" w:color="auto" w:fill="auto"/>
          </w:tcPr>
          <w:p w14:paraId="66E84488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559" w:type="dxa"/>
            <w:shd w:val="clear" w:color="auto" w:fill="auto"/>
          </w:tcPr>
          <w:p w14:paraId="779A1215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</w:tr>
      <w:tr w:rsidR="00A41F47" w:rsidRPr="00736D80" w14:paraId="0AB1C24C" w14:textId="77777777" w:rsidTr="00C122E3">
        <w:trPr>
          <w:trHeight w:val="13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C3A3F92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bookmarkStart w:id="1" w:name="RANGE!A7"/>
            <w:r w:rsidRPr="00D65166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Comamonas </w:t>
            </w:r>
            <w:r w:rsidRPr="00D65166"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testosteroni</w:t>
            </w:r>
            <w:bookmarkEnd w:id="1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A5AE11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1C13768E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31B7D7CA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559" w:type="dxa"/>
          </w:tcPr>
          <w:p w14:paraId="74DE2EAE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  <w:tr w:rsidR="00A41F47" w:rsidRPr="00736D80" w14:paraId="1A3484ED" w14:textId="77777777" w:rsidTr="00C122E3">
        <w:trPr>
          <w:trHeight w:val="83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077A577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>Ochrobactrum anthropi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13A77C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276" w:type="dxa"/>
          </w:tcPr>
          <w:p w14:paraId="320D3769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984" w:type="dxa"/>
          </w:tcPr>
          <w:p w14:paraId="4013782F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559" w:type="dxa"/>
          </w:tcPr>
          <w:p w14:paraId="45F6700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</w:tr>
      <w:tr w:rsidR="00A41F47" w:rsidRPr="00736D80" w14:paraId="1675BD97" w14:textId="77777777" w:rsidTr="00C122E3">
        <w:trPr>
          <w:trHeight w:val="214"/>
        </w:trPr>
        <w:tc>
          <w:tcPr>
            <w:tcW w:w="3828" w:type="dxa"/>
            <w:shd w:val="clear" w:color="auto" w:fill="auto"/>
            <w:noWrap/>
            <w:vAlign w:val="bottom"/>
          </w:tcPr>
          <w:p w14:paraId="6BDC3D67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Pseudomonas</w:t>
            </w:r>
            <w:r w:rsidRPr="00D65166">
              <w:rPr>
                <w:rFonts w:ascii="Arial" w:hAnsi="Arial" w:cs="Arial"/>
                <w:b/>
                <w:bCs/>
                <w:i/>
                <w:iCs/>
                <w:color w:val="6A6A6A"/>
                <w:sz w:val="20"/>
                <w:szCs w:val="20"/>
              </w:rPr>
              <w:t xml:space="preserve"> </w:t>
            </w:r>
            <w:r w:rsidRPr="00D65166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migulae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2C994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7901BC44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52A07DCE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559" w:type="dxa"/>
          </w:tcPr>
          <w:p w14:paraId="72072079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</w:tr>
      <w:tr w:rsidR="00A41F47" w:rsidRPr="00736D80" w14:paraId="533C0AB7" w14:textId="77777777" w:rsidTr="00C122E3">
        <w:trPr>
          <w:trHeight w:val="242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DF7189B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Pseudomonas aeruginosa B136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77C87A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4D52C5D0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7B7BA010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559" w:type="dxa"/>
          </w:tcPr>
          <w:p w14:paraId="50B88E68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</w:tr>
      <w:tr w:rsidR="00A41F47" w:rsidRPr="00736D80" w14:paraId="625ECF46" w14:textId="77777777" w:rsidTr="00C122E3">
        <w:trPr>
          <w:trHeight w:val="132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173EDA4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Pseudomonas</w:t>
            </w:r>
            <w:r w:rsidRPr="00D65166">
              <w:rPr>
                <w:rFonts w:ascii="Arial" w:hAnsi="Arial" w:cs="Arial"/>
                <w:b/>
                <w:bCs/>
                <w:i/>
                <w:iCs/>
                <w:color w:val="6A6A6A"/>
                <w:sz w:val="20"/>
                <w:szCs w:val="20"/>
              </w:rPr>
              <w:t xml:space="preserve"> </w:t>
            </w: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chlororaphis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707A48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510FDD7E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68B11399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559" w:type="dxa"/>
          </w:tcPr>
          <w:p w14:paraId="6C49B2D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</w:tr>
      <w:tr w:rsidR="00A41F47" w:rsidRPr="00736D80" w14:paraId="0FD1EDA3" w14:textId="77777777" w:rsidTr="00C122E3">
        <w:trPr>
          <w:trHeight w:val="21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A42A34B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Pseudomonas </w:t>
            </w:r>
            <w:r w:rsidRPr="00D65166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mandelii</w:t>
            </w:r>
            <w:r w:rsidRPr="00D65166">
              <w:rPr>
                <w:rFonts w:eastAsia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7F5F8C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276" w:type="dxa"/>
          </w:tcPr>
          <w:p w14:paraId="46813588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84" w:type="dxa"/>
          </w:tcPr>
          <w:p w14:paraId="65EF7AA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559" w:type="dxa"/>
          </w:tcPr>
          <w:p w14:paraId="2F41F14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41F47" w:rsidRPr="00736D80" w14:paraId="6DC5364A" w14:textId="77777777" w:rsidTr="00C122E3">
        <w:trPr>
          <w:trHeight w:val="183"/>
        </w:trPr>
        <w:tc>
          <w:tcPr>
            <w:tcW w:w="3828" w:type="dxa"/>
            <w:shd w:val="clear" w:color="auto" w:fill="auto"/>
            <w:noWrap/>
            <w:vAlign w:val="bottom"/>
          </w:tcPr>
          <w:p w14:paraId="03964C94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Pseudomonas resinovorans NBRC 106553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8046C62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1CBEC24C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5D30972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559" w:type="dxa"/>
          </w:tcPr>
          <w:p w14:paraId="2C23A031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</w:tr>
      <w:tr w:rsidR="00A41F47" w:rsidRPr="00736D80" w14:paraId="5AAC2041" w14:textId="77777777" w:rsidTr="00C122E3">
        <w:trPr>
          <w:trHeight w:val="246"/>
        </w:trPr>
        <w:tc>
          <w:tcPr>
            <w:tcW w:w="3828" w:type="dxa"/>
            <w:shd w:val="clear" w:color="auto" w:fill="auto"/>
            <w:vAlign w:val="bottom"/>
            <w:hideMark/>
          </w:tcPr>
          <w:p w14:paraId="41C0A174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Pseudomonas fluorescens F113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5FEC0A0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693079A9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03B849CD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559" w:type="dxa"/>
          </w:tcPr>
          <w:p w14:paraId="4FF3E52F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++</w:t>
            </w:r>
          </w:p>
        </w:tc>
      </w:tr>
      <w:tr w:rsidR="00A41F47" w:rsidRPr="00736D80" w14:paraId="68BDB531" w14:textId="77777777" w:rsidTr="00C122E3">
        <w:trPr>
          <w:trHeight w:val="146"/>
        </w:trPr>
        <w:tc>
          <w:tcPr>
            <w:tcW w:w="3828" w:type="dxa"/>
            <w:shd w:val="clear" w:color="auto" w:fill="auto"/>
            <w:noWrap/>
            <w:vAlign w:val="bottom"/>
          </w:tcPr>
          <w:p w14:paraId="185E31D6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Pseudomonas putida H8234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AA9882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276" w:type="dxa"/>
            <w:shd w:val="clear" w:color="auto" w:fill="auto"/>
          </w:tcPr>
          <w:p w14:paraId="5BA9B52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984" w:type="dxa"/>
            <w:shd w:val="clear" w:color="auto" w:fill="auto"/>
          </w:tcPr>
          <w:p w14:paraId="189771D0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559" w:type="dxa"/>
            <w:shd w:val="clear" w:color="auto" w:fill="auto"/>
          </w:tcPr>
          <w:p w14:paraId="04F5E779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  <w:tr w:rsidR="00A41F47" w:rsidRPr="00736D80" w14:paraId="62377761" w14:textId="77777777" w:rsidTr="00C122E3">
        <w:trPr>
          <w:trHeight w:val="150"/>
        </w:trPr>
        <w:tc>
          <w:tcPr>
            <w:tcW w:w="3828" w:type="dxa"/>
            <w:shd w:val="clear" w:color="auto" w:fill="auto"/>
            <w:noWrap/>
            <w:vAlign w:val="bottom"/>
          </w:tcPr>
          <w:p w14:paraId="50DD0765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Pseudomonas stuzeri JBC1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718B6D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276" w:type="dxa"/>
          </w:tcPr>
          <w:p w14:paraId="00FEB75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984" w:type="dxa"/>
          </w:tcPr>
          <w:p w14:paraId="46CCE0F8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559" w:type="dxa"/>
          </w:tcPr>
          <w:p w14:paraId="3CDF6BCD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  <w:tr w:rsidR="00A41F47" w:rsidRPr="00736D80" w14:paraId="5F6EE591" w14:textId="77777777" w:rsidTr="00C122E3">
        <w:trPr>
          <w:trHeight w:val="232"/>
        </w:trPr>
        <w:tc>
          <w:tcPr>
            <w:tcW w:w="3828" w:type="dxa"/>
            <w:shd w:val="clear" w:color="auto" w:fill="auto"/>
            <w:noWrap/>
            <w:vAlign w:val="bottom"/>
          </w:tcPr>
          <w:p w14:paraId="04EBB143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Pseudomonas brassicacearum NFM421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FC15D4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41DE5296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984" w:type="dxa"/>
          </w:tcPr>
          <w:p w14:paraId="091325E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559" w:type="dxa"/>
          </w:tcPr>
          <w:p w14:paraId="3EA1C77D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  <w:tr w:rsidR="00A41F47" w:rsidRPr="00736D80" w14:paraId="37DC3976" w14:textId="77777777" w:rsidTr="00C122E3">
        <w:trPr>
          <w:trHeight w:val="214"/>
        </w:trPr>
        <w:tc>
          <w:tcPr>
            <w:tcW w:w="3828" w:type="dxa"/>
            <w:shd w:val="clear" w:color="auto" w:fill="auto"/>
            <w:noWrap/>
            <w:vAlign w:val="bottom"/>
          </w:tcPr>
          <w:p w14:paraId="3C69DFBE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Pseudomonas corrugata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B93D5C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1173DB40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984" w:type="dxa"/>
          </w:tcPr>
          <w:p w14:paraId="24AEDE26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559" w:type="dxa"/>
          </w:tcPr>
          <w:p w14:paraId="638D1E9C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</w:tr>
      <w:tr w:rsidR="00A41F47" w:rsidRPr="00736D80" w14:paraId="4B10025D" w14:textId="77777777" w:rsidTr="00C122E3">
        <w:trPr>
          <w:trHeight w:val="15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6954833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Pseudomonas koreensis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FF8851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76" w:type="dxa"/>
          </w:tcPr>
          <w:p w14:paraId="211D89AF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0537B49A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59" w:type="dxa"/>
          </w:tcPr>
          <w:p w14:paraId="451829FF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41F47" w:rsidRPr="00736D80" w14:paraId="6A283BB9" w14:textId="77777777" w:rsidTr="00C122E3">
        <w:trPr>
          <w:trHeight w:val="226"/>
        </w:trPr>
        <w:tc>
          <w:tcPr>
            <w:tcW w:w="3828" w:type="dxa"/>
            <w:shd w:val="clear" w:color="auto" w:fill="auto"/>
            <w:noWrap/>
            <w:vAlign w:val="bottom"/>
          </w:tcPr>
          <w:p w14:paraId="403784C0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Pseudomonas plecoglossicida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EC80DC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276" w:type="dxa"/>
          </w:tcPr>
          <w:p w14:paraId="081839DD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84" w:type="dxa"/>
          </w:tcPr>
          <w:p w14:paraId="247080C5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559" w:type="dxa"/>
          </w:tcPr>
          <w:p w14:paraId="0B08C2DC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</w:tr>
      <w:tr w:rsidR="00A41F47" w:rsidRPr="00736D80" w14:paraId="24473D3D" w14:textId="77777777" w:rsidTr="00C122E3">
        <w:trPr>
          <w:trHeight w:val="91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4882530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Pseudomonas alcaliphila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077B61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76" w:type="dxa"/>
          </w:tcPr>
          <w:p w14:paraId="38150304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192194EF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59" w:type="dxa"/>
          </w:tcPr>
          <w:p w14:paraId="385B5E8E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41F47" w:rsidRPr="00736D80" w14:paraId="356F5CC1" w14:textId="77777777" w:rsidTr="00C122E3">
        <w:trPr>
          <w:trHeight w:val="15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C0503DB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Sphingomonas sanxanigenens NXO2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71D953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76" w:type="dxa"/>
          </w:tcPr>
          <w:p w14:paraId="75AB2D26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84" w:type="dxa"/>
          </w:tcPr>
          <w:p w14:paraId="42F00F81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59" w:type="dxa"/>
          </w:tcPr>
          <w:p w14:paraId="0E8F95B8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41F47" w:rsidRPr="00736D80" w14:paraId="1119535E" w14:textId="77777777" w:rsidTr="00C122E3">
        <w:trPr>
          <w:trHeight w:val="172"/>
        </w:trPr>
        <w:tc>
          <w:tcPr>
            <w:tcW w:w="3828" w:type="dxa"/>
            <w:shd w:val="clear" w:color="auto" w:fill="auto"/>
            <w:noWrap/>
            <w:vAlign w:val="bottom"/>
          </w:tcPr>
          <w:p w14:paraId="0C4638B3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Sphingobium chlorophenolicum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F9E3A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19A0239D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2F8307B1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59" w:type="dxa"/>
          </w:tcPr>
          <w:p w14:paraId="50CAD9F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41F47" w:rsidRPr="00736D80" w14:paraId="26ACB7C0" w14:textId="77777777" w:rsidTr="00C122E3">
        <w:trPr>
          <w:trHeight w:val="142"/>
        </w:trPr>
        <w:tc>
          <w:tcPr>
            <w:tcW w:w="3828" w:type="dxa"/>
            <w:shd w:val="clear" w:color="auto" w:fill="auto"/>
            <w:noWrap/>
            <w:vAlign w:val="bottom"/>
          </w:tcPr>
          <w:p w14:paraId="13A0072E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 xml:space="preserve">Burkholdera </w:t>
            </w:r>
            <w:r w:rsidRPr="00D65166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c</w:t>
            </w: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epacia GG4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4034DE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276" w:type="dxa"/>
          </w:tcPr>
          <w:p w14:paraId="23391B9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60E43BE8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559" w:type="dxa"/>
          </w:tcPr>
          <w:p w14:paraId="2EDB1B22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  <w:tr w:rsidR="00A41F47" w:rsidRPr="00736D80" w14:paraId="25EB0271" w14:textId="77777777" w:rsidTr="00C122E3">
        <w:trPr>
          <w:trHeight w:val="221"/>
        </w:trPr>
        <w:tc>
          <w:tcPr>
            <w:tcW w:w="3828" w:type="dxa"/>
            <w:shd w:val="clear" w:color="auto" w:fill="auto"/>
            <w:noWrap/>
            <w:vAlign w:val="bottom"/>
          </w:tcPr>
          <w:p w14:paraId="4B1216C4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Burkholderia pseudomallei NTC 13179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0004B20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764ED001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984" w:type="dxa"/>
          </w:tcPr>
          <w:p w14:paraId="488EBE35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559" w:type="dxa"/>
          </w:tcPr>
          <w:p w14:paraId="2723DD3C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</w:tr>
      <w:tr w:rsidR="00A41F47" w:rsidRPr="00736D80" w14:paraId="015229FF" w14:textId="77777777" w:rsidTr="00C122E3">
        <w:trPr>
          <w:trHeight w:val="14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3C97301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Rhodococcus pyridinivorans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4DD1E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76" w:type="dxa"/>
          </w:tcPr>
          <w:p w14:paraId="1E7AF512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6E187F10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59" w:type="dxa"/>
          </w:tcPr>
          <w:p w14:paraId="3CCF8C9D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41F47" w:rsidRPr="00736D80" w14:paraId="0EDFC239" w14:textId="77777777" w:rsidTr="00C122E3">
        <w:trPr>
          <w:trHeight w:val="10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821CFA3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Rhodococcus sphaeroides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277C4D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76" w:type="dxa"/>
          </w:tcPr>
          <w:p w14:paraId="09D88458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984" w:type="dxa"/>
          </w:tcPr>
          <w:p w14:paraId="5259ECCC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59" w:type="dxa"/>
          </w:tcPr>
          <w:p w14:paraId="5EDE3D3A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41F47" w:rsidRPr="00736D80" w14:paraId="5A614780" w14:textId="77777777" w:rsidTr="00C122E3">
        <w:trPr>
          <w:trHeight w:val="134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92ACA9E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Paenibacillus mucilaginosus 3016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ABD4EF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10149DE2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01F99E6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59" w:type="dxa"/>
          </w:tcPr>
          <w:p w14:paraId="603E8AD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41F47" w:rsidRPr="00736D80" w14:paraId="1D09DF79" w14:textId="77777777" w:rsidTr="00C122E3">
        <w:trPr>
          <w:trHeight w:val="107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100F1D5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Paenibacillus polymyxa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4A6DA3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+++</w:t>
            </w:r>
          </w:p>
        </w:tc>
        <w:tc>
          <w:tcPr>
            <w:tcW w:w="1276" w:type="dxa"/>
          </w:tcPr>
          <w:p w14:paraId="4E5D10AF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984" w:type="dxa"/>
          </w:tcPr>
          <w:p w14:paraId="6355D6D3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559" w:type="dxa"/>
          </w:tcPr>
          <w:p w14:paraId="6F1F40E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41F47" w:rsidRPr="00736D80" w14:paraId="11F17B2D" w14:textId="77777777" w:rsidTr="00C122E3">
        <w:trPr>
          <w:trHeight w:val="198"/>
        </w:trPr>
        <w:tc>
          <w:tcPr>
            <w:tcW w:w="3828" w:type="dxa"/>
            <w:shd w:val="clear" w:color="auto" w:fill="auto"/>
            <w:noWrap/>
            <w:vAlign w:val="bottom"/>
          </w:tcPr>
          <w:p w14:paraId="1ECEDAAF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Sphingobium abikonense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A8281F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276" w:type="dxa"/>
          </w:tcPr>
          <w:p w14:paraId="4E17D7BF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984" w:type="dxa"/>
          </w:tcPr>
          <w:p w14:paraId="03BC93D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559" w:type="dxa"/>
          </w:tcPr>
          <w:p w14:paraId="7480F2DA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</w:tr>
      <w:tr w:rsidR="00A41F47" w:rsidRPr="00736D80" w14:paraId="0C1975F2" w14:textId="77777777" w:rsidTr="00C122E3">
        <w:trPr>
          <w:trHeight w:val="164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80F2910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Bradyrhizobium japonicum USDA6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A74218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76" w:type="dxa"/>
          </w:tcPr>
          <w:p w14:paraId="439F9984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984" w:type="dxa"/>
          </w:tcPr>
          <w:p w14:paraId="5CD12E19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++</w:t>
            </w:r>
          </w:p>
        </w:tc>
        <w:tc>
          <w:tcPr>
            <w:tcW w:w="1559" w:type="dxa"/>
          </w:tcPr>
          <w:p w14:paraId="5FE26A6B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A41F47" w:rsidRPr="00601848" w14:paraId="6B54618B" w14:textId="77777777" w:rsidTr="00C122E3">
        <w:trPr>
          <w:trHeight w:val="128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7CE8E0B" w14:textId="77777777" w:rsidR="00A41F47" w:rsidRPr="00D65166" w:rsidRDefault="00A41F47" w:rsidP="00C122E3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</w:pPr>
            <w:r w:rsidRPr="00D65166">
              <w:rPr>
                <w:rFonts w:eastAsia="Times New Roman" w:cs="Times New Roman"/>
                <w:i/>
                <w:color w:val="000000"/>
                <w:sz w:val="20"/>
                <w:szCs w:val="20"/>
                <w:lang w:eastAsia="it-IT"/>
              </w:rPr>
              <w:t>Bradyrhizobium diazoefficiens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2C20A0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  <w:tc>
          <w:tcPr>
            <w:tcW w:w="1276" w:type="dxa"/>
          </w:tcPr>
          <w:p w14:paraId="69EC71CA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984" w:type="dxa"/>
          </w:tcPr>
          <w:p w14:paraId="2ED64027" w14:textId="77777777" w:rsidR="00A41F47" w:rsidRPr="00736D80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+</w:t>
            </w:r>
          </w:p>
        </w:tc>
        <w:tc>
          <w:tcPr>
            <w:tcW w:w="1559" w:type="dxa"/>
          </w:tcPr>
          <w:p w14:paraId="6C67F5FA" w14:textId="77777777" w:rsidR="00A41F47" w:rsidRPr="00601848" w:rsidRDefault="00A41F47" w:rsidP="00C122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736D80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</w:tbl>
    <w:p w14:paraId="1F2EF6BA" w14:textId="77777777" w:rsidR="00A41F47" w:rsidRDefault="00A41F47" w:rsidP="00A41F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67BC0054" w14:textId="460CFCAD" w:rsidR="00A41F47" w:rsidRDefault="00A41F47" w:rsidP="00280B91">
      <w:pPr>
        <w:rPr>
          <w:szCs w:val="28"/>
          <w:lang w:val="en-US"/>
        </w:rPr>
      </w:pPr>
      <w:r w:rsidRPr="00280B91">
        <w:rPr>
          <w:szCs w:val="28"/>
          <w:lang w:val="en-US"/>
        </w:rPr>
        <w:lastRenderedPageBreak/>
        <w:t xml:space="preserve">Figure S1 </w:t>
      </w:r>
      <w:r w:rsidR="00BF3891">
        <w:rPr>
          <w:szCs w:val="28"/>
          <w:lang w:val="en-US"/>
        </w:rPr>
        <w:t>–</w:t>
      </w:r>
      <w:r w:rsidRPr="00280B91">
        <w:rPr>
          <w:szCs w:val="28"/>
          <w:lang w:val="en-US"/>
        </w:rPr>
        <w:t xml:space="preserve"> </w:t>
      </w:r>
      <w:r w:rsidR="00BF3891">
        <w:rPr>
          <w:szCs w:val="28"/>
          <w:lang w:val="en-US"/>
        </w:rPr>
        <w:t xml:space="preserve">Study area. </w:t>
      </w:r>
      <w:r w:rsidR="00273C09">
        <w:rPr>
          <w:szCs w:val="28"/>
          <w:lang w:val="en-US"/>
        </w:rPr>
        <w:t>T</w:t>
      </w:r>
      <w:r w:rsidR="00280B91" w:rsidRPr="00280B91">
        <w:rPr>
          <w:szCs w:val="28"/>
          <w:lang w:val="en-US"/>
        </w:rPr>
        <w:t>he perimeter of refinery</w:t>
      </w:r>
      <w:r w:rsidR="00BF3891">
        <w:rPr>
          <w:szCs w:val="28"/>
          <w:lang w:val="en-US"/>
        </w:rPr>
        <w:t xml:space="preserve"> is shown</w:t>
      </w:r>
      <w:r w:rsidR="00273C09">
        <w:rPr>
          <w:szCs w:val="28"/>
          <w:lang w:val="en-US"/>
        </w:rPr>
        <w:t xml:space="preserve"> in green;</w:t>
      </w:r>
      <w:r w:rsidR="00280B91" w:rsidRPr="00280B91">
        <w:rPr>
          <w:szCs w:val="28"/>
          <w:lang w:val="en-US"/>
        </w:rPr>
        <w:t xml:space="preserve"> yellow </w:t>
      </w:r>
      <w:r w:rsidR="00BF3891">
        <w:rPr>
          <w:szCs w:val="28"/>
          <w:lang w:val="en-US"/>
        </w:rPr>
        <w:t>polyline depict</w:t>
      </w:r>
      <w:r w:rsidR="00273C09">
        <w:rPr>
          <w:szCs w:val="28"/>
          <w:lang w:val="en-US"/>
        </w:rPr>
        <w:t xml:space="preserve"> </w:t>
      </w:r>
      <w:r w:rsidR="00280B91" w:rsidRPr="00280B91">
        <w:rPr>
          <w:szCs w:val="28"/>
          <w:lang w:val="en-US"/>
        </w:rPr>
        <w:t xml:space="preserve">the </w:t>
      </w:r>
      <w:r w:rsidR="00273C09">
        <w:rPr>
          <w:szCs w:val="28"/>
          <w:lang w:val="en-US"/>
        </w:rPr>
        <w:t xml:space="preserve">experimental </w:t>
      </w:r>
      <w:r w:rsidR="00280B91" w:rsidRPr="00280B91">
        <w:rPr>
          <w:szCs w:val="28"/>
          <w:lang w:val="en-US"/>
        </w:rPr>
        <w:t>area (2000</w:t>
      </w:r>
      <w:r w:rsidR="00273C09">
        <w:rPr>
          <w:szCs w:val="28"/>
          <w:lang w:val="en-US"/>
        </w:rPr>
        <w:t xml:space="preserve"> </w:t>
      </w:r>
      <w:r w:rsidR="00280B91" w:rsidRPr="00280B91">
        <w:rPr>
          <w:szCs w:val="28"/>
          <w:lang w:val="en-US"/>
        </w:rPr>
        <w:t>m</w:t>
      </w:r>
      <w:r w:rsidR="00280B91" w:rsidRPr="00273C09">
        <w:rPr>
          <w:szCs w:val="28"/>
          <w:vertAlign w:val="superscript"/>
          <w:lang w:val="en-US"/>
        </w:rPr>
        <w:t>2</w:t>
      </w:r>
      <w:r w:rsidR="00273C09">
        <w:rPr>
          <w:szCs w:val="28"/>
          <w:lang w:val="en-US"/>
        </w:rPr>
        <w:t xml:space="preserve">); </w:t>
      </w:r>
      <w:r w:rsidR="00280B91" w:rsidRPr="00280B91">
        <w:rPr>
          <w:szCs w:val="28"/>
          <w:lang w:val="en-US"/>
        </w:rPr>
        <w:t>the four red point</w:t>
      </w:r>
      <w:r w:rsidR="00273C09">
        <w:rPr>
          <w:szCs w:val="28"/>
          <w:lang w:val="en-US"/>
        </w:rPr>
        <w:t>s</w:t>
      </w:r>
      <w:r w:rsidR="00280B91" w:rsidRPr="00280B91">
        <w:rPr>
          <w:szCs w:val="28"/>
          <w:lang w:val="en-US"/>
        </w:rPr>
        <w:t xml:space="preserve"> represent the center of the four subzones (A, B, C, D). </w:t>
      </w:r>
      <w:r w:rsidR="00BF3891">
        <w:rPr>
          <w:szCs w:val="28"/>
          <w:lang w:val="en-US"/>
        </w:rPr>
        <w:t xml:space="preserve">The black dots indicate soil sampling locations </w:t>
      </w:r>
      <w:r w:rsidR="00BF3891" w:rsidRPr="00280B91">
        <w:rPr>
          <w:szCs w:val="28"/>
          <w:lang w:val="en-US"/>
        </w:rPr>
        <w:t>(n=5</w:t>
      </w:r>
      <w:r w:rsidR="00BF3891">
        <w:rPr>
          <w:szCs w:val="28"/>
          <w:lang w:val="en-US"/>
        </w:rPr>
        <w:t>) for each subzone</w:t>
      </w:r>
      <w:r w:rsidR="00280B91" w:rsidRPr="00280B91">
        <w:rPr>
          <w:szCs w:val="28"/>
          <w:lang w:val="en-US"/>
        </w:rPr>
        <w:t>.</w:t>
      </w:r>
    </w:p>
    <w:p w14:paraId="34313AFD" w14:textId="77777777" w:rsidR="009824D8" w:rsidRDefault="00280B91" w:rsidP="00280B91">
      <w:pPr>
        <w:rPr>
          <w:szCs w:val="28"/>
          <w:lang w:val="en-US"/>
        </w:rPr>
      </w:pPr>
      <w:r>
        <w:rPr>
          <w:noProof/>
          <w:szCs w:val="28"/>
          <w:lang w:val="en-IN" w:eastAsia="en-IN"/>
        </w:rPr>
        <w:drawing>
          <wp:inline distT="0" distB="0" distL="0" distR="0" wp14:anchorId="1E413386" wp14:editId="46624F61">
            <wp:extent cx="6120130" cy="3442573"/>
            <wp:effectExtent l="0" t="0" r="0" b="5715"/>
            <wp:docPr id="1" name="Immagine 1" descr="D:\lavori\RAVENNA_TPH\Environmental Pollution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vori\RAVENNA_TPH\Environmental Pollution\FIGUR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90A6" w14:textId="5FB0DC91" w:rsidR="00EA3CF2" w:rsidRDefault="00EA3CF2" w:rsidP="00280B91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14:paraId="7D6B0CFD" w14:textId="6384E0A9" w:rsidR="00280B91" w:rsidRDefault="00EA3CF2" w:rsidP="00280B91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Figure S2 - </w:t>
      </w:r>
      <w:r w:rsidRPr="00EA3CF2">
        <w:rPr>
          <w:szCs w:val="28"/>
          <w:lang w:val="en-US"/>
        </w:rPr>
        <w:t xml:space="preserve">The polyphenol oxidase (PPO) activity, the dehydrogenase (DHO) activity, the urease (URE) activity and the alkaline phosphatase (ALP) activity, the catalase (CAT) activity in soil of four subzones (A, B, C and D) at different times: days 0 (T0), 90 (T1), 150 (T2) 210 (T3) and 270 (Tf). </w:t>
      </w:r>
      <w:r w:rsidR="003D3DCD" w:rsidRPr="003D3DCD">
        <w:rPr>
          <w:szCs w:val="28"/>
          <w:lang w:val="en-US"/>
        </w:rPr>
        <w:t>Means ± SE with differ</w:t>
      </w:r>
      <w:r w:rsidR="003D3DCD">
        <w:rPr>
          <w:szCs w:val="28"/>
          <w:lang w:val="en-US"/>
        </w:rPr>
        <w:t>ent letter indicate significant</w:t>
      </w:r>
      <w:r w:rsidR="003D3DCD" w:rsidRPr="003D3DCD">
        <w:rPr>
          <w:szCs w:val="28"/>
          <w:lang w:val="en-US"/>
        </w:rPr>
        <w:t xml:space="preserve"> difference according to</w:t>
      </w:r>
      <w:r w:rsidR="003D3DCD">
        <w:rPr>
          <w:szCs w:val="28"/>
          <w:lang w:val="en-US"/>
        </w:rPr>
        <w:t xml:space="preserve"> </w:t>
      </w:r>
      <w:r w:rsidRPr="00EA3CF2">
        <w:rPr>
          <w:szCs w:val="28"/>
          <w:lang w:val="en-US"/>
        </w:rPr>
        <w:t>Du</w:t>
      </w:r>
      <w:r w:rsidR="003D3DCD">
        <w:rPr>
          <w:szCs w:val="28"/>
          <w:lang w:val="en-US"/>
        </w:rPr>
        <w:t>n</w:t>
      </w:r>
      <w:r w:rsidRPr="00EA3CF2">
        <w:rPr>
          <w:szCs w:val="28"/>
          <w:lang w:val="en-US"/>
        </w:rPr>
        <w:t>can's test (p &lt;0.05).</w:t>
      </w:r>
    </w:p>
    <w:p w14:paraId="0EDE3A34" w14:textId="7BAB9EB0" w:rsidR="00EA3CF2" w:rsidRDefault="00EA3CF2" w:rsidP="00280B91">
      <w:pPr>
        <w:rPr>
          <w:szCs w:val="28"/>
          <w:lang w:val="en-US"/>
        </w:rPr>
      </w:pPr>
    </w:p>
    <w:p w14:paraId="267204D5" w14:textId="21DCA176" w:rsidR="003D3DCD" w:rsidRPr="003D3DCD" w:rsidRDefault="003D3DCD" w:rsidP="00280B91">
      <w:pPr>
        <w:rPr>
          <w:szCs w:val="28"/>
          <w:lang w:val="en-US"/>
        </w:rPr>
      </w:pPr>
      <w:r w:rsidRPr="00BC3BE7">
        <w:rPr>
          <w:noProof/>
          <w:szCs w:val="28"/>
          <w:lang w:val="en-IN" w:eastAsia="en-IN"/>
        </w:rPr>
        <w:drawing>
          <wp:inline distT="0" distB="0" distL="0" distR="0" wp14:anchorId="7C746EB7" wp14:editId="08E292B8">
            <wp:extent cx="6120130" cy="5705791"/>
            <wp:effectExtent l="0" t="0" r="0" b="9525"/>
            <wp:docPr id="5" name="Immagine 5" descr="C:\Users\Utente\Desktop\EX VOLUME 2\lavori\RAVENNA_TPH\Frontiers in microbiology\R1\Figu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EX VOLUME 2\lavori\RAVENNA_TPH\Frontiers in microbiology\R1\Figure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0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8CC4" w14:textId="77777777" w:rsidR="00C568F3" w:rsidRDefault="00C568F3" w:rsidP="00280B91">
      <w:pPr>
        <w:rPr>
          <w:szCs w:val="28"/>
          <w:lang w:val="en-US"/>
        </w:rPr>
      </w:pPr>
      <w:r>
        <w:rPr>
          <w:szCs w:val="28"/>
          <w:lang w:val="en-US"/>
        </w:rPr>
        <w:br w:type="page"/>
      </w:r>
    </w:p>
    <w:p w14:paraId="7F043E06" w14:textId="245F3C63" w:rsidR="00C568F3" w:rsidRDefault="00C568F3" w:rsidP="00280B91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Figure S3 - </w:t>
      </w:r>
      <w:r w:rsidRPr="00C568F3">
        <w:rPr>
          <w:szCs w:val="28"/>
          <w:lang w:val="en-US"/>
        </w:rPr>
        <w:t xml:space="preserve">Activity of SOD, CAT, GPX and APX, GST, PAL, Proline content and MDA in leaves of </w:t>
      </w:r>
      <w:proofErr w:type="spellStart"/>
      <w:r w:rsidRPr="00C568F3">
        <w:rPr>
          <w:szCs w:val="28"/>
          <w:lang w:val="en-US"/>
        </w:rPr>
        <w:t>Festuca</w:t>
      </w:r>
      <w:proofErr w:type="spellEnd"/>
      <w:r w:rsidRPr="00C568F3">
        <w:rPr>
          <w:szCs w:val="28"/>
          <w:lang w:val="en-US"/>
        </w:rPr>
        <w:t xml:space="preserve"> </w:t>
      </w:r>
      <w:proofErr w:type="spellStart"/>
      <w:r w:rsidRPr="00C568F3">
        <w:rPr>
          <w:szCs w:val="28"/>
          <w:lang w:val="en-US"/>
        </w:rPr>
        <w:t>arundinacea</w:t>
      </w:r>
      <w:proofErr w:type="spellEnd"/>
      <w:r w:rsidRPr="00C568F3">
        <w:rPr>
          <w:szCs w:val="28"/>
          <w:lang w:val="en-US"/>
        </w:rPr>
        <w:t xml:space="preserve"> (Fes), </w:t>
      </w:r>
      <w:proofErr w:type="spellStart"/>
      <w:r w:rsidRPr="00C568F3">
        <w:rPr>
          <w:szCs w:val="28"/>
          <w:lang w:val="en-US"/>
        </w:rPr>
        <w:t>Dactylis</w:t>
      </w:r>
      <w:proofErr w:type="spellEnd"/>
      <w:r w:rsidRPr="00C568F3">
        <w:rPr>
          <w:szCs w:val="28"/>
          <w:lang w:val="en-US"/>
        </w:rPr>
        <w:t xml:space="preserve"> </w:t>
      </w:r>
      <w:proofErr w:type="spellStart"/>
      <w:r w:rsidRPr="00C568F3">
        <w:rPr>
          <w:szCs w:val="28"/>
          <w:lang w:val="en-US"/>
        </w:rPr>
        <w:t>glomerata</w:t>
      </w:r>
      <w:proofErr w:type="spellEnd"/>
      <w:r w:rsidRPr="00C568F3">
        <w:rPr>
          <w:szCs w:val="28"/>
          <w:lang w:val="en-US"/>
        </w:rPr>
        <w:t xml:space="preserve"> (</w:t>
      </w:r>
      <w:proofErr w:type="spellStart"/>
      <w:r w:rsidRPr="00C568F3">
        <w:rPr>
          <w:szCs w:val="28"/>
          <w:lang w:val="en-US"/>
        </w:rPr>
        <w:t>Dac</w:t>
      </w:r>
      <w:proofErr w:type="spellEnd"/>
      <w:r w:rsidRPr="00C568F3">
        <w:rPr>
          <w:szCs w:val="28"/>
          <w:lang w:val="en-US"/>
        </w:rPr>
        <w:t xml:space="preserve">), </w:t>
      </w:r>
      <w:proofErr w:type="spellStart"/>
      <w:r w:rsidRPr="00C568F3">
        <w:rPr>
          <w:szCs w:val="28"/>
          <w:lang w:val="en-US"/>
        </w:rPr>
        <w:t>Medicago</w:t>
      </w:r>
      <w:proofErr w:type="spellEnd"/>
      <w:r w:rsidRPr="00C568F3">
        <w:rPr>
          <w:szCs w:val="28"/>
          <w:lang w:val="en-US"/>
        </w:rPr>
        <w:t xml:space="preserve"> sativa (Med) and Lotus corniculatus (Lot) after 90 ( T1), 150 (T2) 210 (T3) and 270 (Tf). </w:t>
      </w:r>
      <w:r w:rsidR="0085053D" w:rsidRPr="0085053D">
        <w:rPr>
          <w:szCs w:val="28"/>
          <w:lang w:val="en-US"/>
        </w:rPr>
        <w:t>Means ± SE with different letter indicate significant difference according to Duncan's test (p &lt;0.05).</w:t>
      </w:r>
    </w:p>
    <w:p w14:paraId="60CC7213" w14:textId="749C7967" w:rsidR="00C568F3" w:rsidRPr="00280B91" w:rsidRDefault="0085053D" w:rsidP="00280B91">
      <w:pPr>
        <w:rPr>
          <w:szCs w:val="28"/>
          <w:lang w:val="en-US"/>
        </w:rPr>
      </w:pPr>
      <w:r w:rsidRPr="0085053D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C3BE7">
        <w:rPr>
          <w:noProof/>
          <w:szCs w:val="28"/>
          <w:lang w:val="en-IN" w:eastAsia="en-IN"/>
        </w:rPr>
        <w:drawing>
          <wp:inline distT="0" distB="0" distL="0" distR="0" wp14:anchorId="66894C2C" wp14:editId="4CAB965B">
            <wp:extent cx="6120130" cy="7227928"/>
            <wp:effectExtent l="0" t="0" r="0" b="0"/>
            <wp:docPr id="6" name="Immagine 6" descr="C:\Users\Utente\Desktop\EX VOLUME 2\lavori\RAVENNA_TPH\Frontiers in microbiology\R1\Figur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EX VOLUME 2\lavori\RAVENNA_TPH\Frontiers in microbiology\R1\FigureS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2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8F3" w:rsidRPr="00280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26"/>
    <w:rsid w:val="000977B9"/>
    <w:rsid w:val="00097DC1"/>
    <w:rsid w:val="00273C09"/>
    <w:rsid w:val="00280B91"/>
    <w:rsid w:val="002C7826"/>
    <w:rsid w:val="002E1A9F"/>
    <w:rsid w:val="002F450B"/>
    <w:rsid w:val="00397361"/>
    <w:rsid w:val="003D3DCD"/>
    <w:rsid w:val="00412659"/>
    <w:rsid w:val="004C4B91"/>
    <w:rsid w:val="00505681"/>
    <w:rsid w:val="00624E39"/>
    <w:rsid w:val="00826310"/>
    <w:rsid w:val="0085053D"/>
    <w:rsid w:val="00857097"/>
    <w:rsid w:val="00964AAF"/>
    <w:rsid w:val="009824D8"/>
    <w:rsid w:val="00A41F47"/>
    <w:rsid w:val="00A50F68"/>
    <w:rsid w:val="00A60336"/>
    <w:rsid w:val="00B323E5"/>
    <w:rsid w:val="00B8569F"/>
    <w:rsid w:val="00BA6BB1"/>
    <w:rsid w:val="00BC3BE7"/>
    <w:rsid w:val="00BF3891"/>
    <w:rsid w:val="00C122E3"/>
    <w:rsid w:val="00C568F3"/>
    <w:rsid w:val="00D9438F"/>
    <w:rsid w:val="00EA3CF2"/>
    <w:rsid w:val="00EC03DB"/>
    <w:rsid w:val="00EC6A58"/>
    <w:rsid w:val="00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76F0"/>
  <w15:docId w15:val="{3B8CCD31-8F83-45F9-BD26-65573350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DB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asemplice51">
    <w:name w:val="Tabella semplice 51"/>
    <w:basedOn w:val="TableNormal"/>
    <w:uiPriority w:val="45"/>
    <w:rsid w:val="00A41F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6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63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63D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22E3"/>
    <w:rPr>
      <w:i/>
      <w:iCs/>
    </w:rPr>
  </w:style>
  <w:style w:type="character" w:styleId="Hyperlink">
    <w:name w:val="Hyperlink"/>
    <w:basedOn w:val="DefaultParagraphFont"/>
    <w:uiPriority w:val="99"/>
    <w:unhideWhenUsed/>
    <w:rsid w:val="00B85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guarino@unisann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7F19DF-F835-4C1C-9CCA-1012F134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Jayanthi</cp:lastModifiedBy>
  <cp:revision>4</cp:revision>
  <dcterms:created xsi:type="dcterms:W3CDTF">2020-12-18T16:38:00Z</dcterms:created>
  <dcterms:modified xsi:type="dcterms:W3CDTF">2021-01-20T07:54:00Z</dcterms:modified>
</cp:coreProperties>
</file>