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98E" w:rsidRPr="00D51AB0" w:rsidRDefault="0015287B" w:rsidP="00B20BCA">
      <w:pPr>
        <w:spacing w:line="480" w:lineRule="auto"/>
        <w:rPr>
          <w:rFonts w:eastAsia="+mn-ea" w:cs="Times New Roman"/>
          <w:b/>
          <w:bCs/>
          <w:color w:val="990000"/>
          <w:kern w:val="24"/>
          <w:sz w:val="28"/>
          <w:szCs w:val="40"/>
        </w:rPr>
      </w:pPr>
      <w:r w:rsidRPr="00D51AB0">
        <w:rPr>
          <w:rFonts w:eastAsia="+mn-ea" w:cs="Times New Roman"/>
          <w:b/>
          <w:bCs/>
          <w:color w:val="000000" w:themeColor="text1"/>
          <w:kern w:val="24"/>
          <w:sz w:val="22"/>
          <w:szCs w:val="22"/>
        </w:rPr>
        <w:t xml:space="preserve">Supplement </w:t>
      </w:r>
      <w:r w:rsidR="00703A6A">
        <w:rPr>
          <w:rFonts w:eastAsia="+mn-ea" w:cs="Times New Roman" w:hint="eastAsia"/>
          <w:b/>
          <w:bCs/>
          <w:color w:val="000000" w:themeColor="text1"/>
          <w:kern w:val="24"/>
          <w:sz w:val="22"/>
          <w:szCs w:val="22"/>
        </w:rPr>
        <w:t>materials</w:t>
      </w:r>
    </w:p>
    <w:p w:rsidR="00D31208" w:rsidRDefault="00D31208" w:rsidP="00D31208">
      <w:pPr>
        <w:spacing w:line="480" w:lineRule="auto"/>
        <w:rPr>
          <w:rFonts w:cs="Times New Roman"/>
          <w:color w:val="000000" w:themeColor="text1"/>
          <w:sz w:val="22"/>
          <w:szCs w:val="22"/>
        </w:rPr>
      </w:pPr>
      <w:bookmarkStart w:id="0" w:name="OLE_LINK78"/>
      <w:bookmarkStart w:id="1" w:name="OLE_LINK81"/>
      <w:r w:rsidRPr="00DC0B5B">
        <w:rPr>
          <w:rFonts w:cs="Times New Roman"/>
          <w:color w:val="000000" w:themeColor="text1"/>
          <w:sz w:val="22"/>
          <w:szCs w:val="22"/>
        </w:rPr>
        <w:t>Supplemental Methods</w:t>
      </w:r>
      <w:r>
        <w:rPr>
          <w:rFonts w:cs="Times New Roman"/>
          <w:color w:val="000000" w:themeColor="text1"/>
          <w:sz w:val="22"/>
          <w:szCs w:val="22"/>
        </w:rPr>
        <w:t xml:space="preserve">: </w:t>
      </w:r>
      <w:r w:rsidRPr="007F23EB">
        <w:rPr>
          <w:rFonts w:cs="Times New Roman"/>
          <w:color w:val="000000" w:themeColor="text1"/>
          <w:sz w:val="22"/>
          <w:szCs w:val="22"/>
        </w:rPr>
        <w:t xml:space="preserve">Statistical </w:t>
      </w:r>
      <w:r>
        <w:rPr>
          <w:rFonts w:cs="Times New Roman"/>
          <w:color w:val="000000" w:themeColor="text1"/>
          <w:sz w:val="22"/>
          <w:szCs w:val="22"/>
        </w:rPr>
        <w:t>a</w:t>
      </w:r>
      <w:r w:rsidRPr="007F23EB">
        <w:rPr>
          <w:rFonts w:cs="Times New Roman"/>
          <w:color w:val="000000" w:themeColor="text1"/>
          <w:sz w:val="22"/>
          <w:szCs w:val="22"/>
        </w:rPr>
        <w:t>nalyses</w:t>
      </w:r>
      <w:r>
        <w:rPr>
          <w:rFonts w:cs="Times New Roman"/>
          <w:color w:val="000000" w:themeColor="text1"/>
          <w:sz w:val="22"/>
          <w:szCs w:val="22"/>
        </w:rPr>
        <w:t>;</w:t>
      </w:r>
      <w:r w:rsidRPr="00A47BA1">
        <w:t xml:space="preserve"> </w:t>
      </w:r>
      <w:r w:rsidRPr="00A47BA1">
        <w:rPr>
          <w:rFonts w:cs="Times New Roman"/>
          <w:color w:val="000000" w:themeColor="text1"/>
          <w:sz w:val="22"/>
          <w:szCs w:val="22"/>
        </w:rPr>
        <w:t xml:space="preserve">Publication </w:t>
      </w:r>
      <w:r>
        <w:rPr>
          <w:rFonts w:cs="Times New Roman"/>
          <w:color w:val="000000" w:themeColor="text1"/>
          <w:sz w:val="22"/>
          <w:szCs w:val="22"/>
        </w:rPr>
        <w:t>b</w:t>
      </w:r>
      <w:r w:rsidRPr="00A47BA1">
        <w:rPr>
          <w:rFonts w:cs="Times New Roman"/>
          <w:color w:val="000000" w:themeColor="text1"/>
          <w:sz w:val="22"/>
          <w:szCs w:val="22"/>
        </w:rPr>
        <w:t xml:space="preserve">ias and </w:t>
      </w:r>
      <w:r>
        <w:rPr>
          <w:rFonts w:cs="Times New Roman"/>
          <w:color w:val="000000" w:themeColor="text1"/>
          <w:sz w:val="22"/>
          <w:szCs w:val="22"/>
        </w:rPr>
        <w:t>s</w:t>
      </w:r>
      <w:r w:rsidRPr="00A47BA1">
        <w:rPr>
          <w:rFonts w:cs="Times New Roman"/>
          <w:color w:val="000000" w:themeColor="text1"/>
          <w:sz w:val="22"/>
          <w:szCs w:val="22"/>
        </w:rPr>
        <w:t xml:space="preserve">ensitivity </w:t>
      </w:r>
      <w:r>
        <w:rPr>
          <w:rFonts w:cs="Times New Roman"/>
          <w:color w:val="000000" w:themeColor="text1"/>
          <w:sz w:val="22"/>
          <w:szCs w:val="22"/>
        </w:rPr>
        <w:t>a</w:t>
      </w:r>
      <w:r w:rsidRPr="00A47BA1">
        <w:rPr>
          <w:rFonts w:cs="Times New Roman"/>
          <w:color w:val="000000" w:themeColor="text1"/>
          <w:sz w:val="22"/>
          <w:szCs w:val="22"/>
        </w:rPr>
        <w:t>nalyses</w:t>
      </w:r>
      <w:r>
        <w:rPr>
          <w:rFonts w:cs="Times New Roman"/>
          <w:color w:val="000000" w:themeColor="text1"/>
          <w:sz w:val="22"/>
          <w:szCs w:val="22"/>
        </w:rPr>
        <w:t>.</w:t>
      </w:r>
    </w:p>
    <w:p w:rsidR="00D31208" w:rsidRPr="00D50F60" w:rsidRDefault="00D31208" w:rsidP="00D31208">
      <w:pPr>
        <w:spacing w:line="480" w:lineRule="auto"/>
        <w:rPr>
          <w:rFonts w:cs="Times New Roman"/>
          <w:color w:val="000000" w:themeColor="text1"/>
          <w:sz w:val="22"/>
          <w:szCs w:val="22"/>
        </w:rPr>
      </w:pPr>
      <w:r w:rsidRPr="00D50F60">
        <w:rPr>
          <w:rFonts w:cs="Times New Roman"/>
          <w:color w:val="000000" w:themeColor="text1"/>
          <w:sz w:val="22"/>
          <w:szCs w:val="22"/>
        </w:rPr>
        <w:t xml:space="preserve">Supplemental </w:t>
      </w:r>
      <w:r w:rsidRPr="00D50F60">
        <w:rPr>
          <w:rFonts w:cs="Times New Roman" w:hint="eastAsia"/>
          <w:color w:val="000000" w:themeColor="text1"/>
          <w:sz w:val="22"/>
          <w:szCs w:val="22"/>
        </w:rPr>
        <w:t>T</w:t>
      </w:r>
      <w:r w:rsidRPr="00D50F60">
        <w:rPr>
          <w:rFonts w:cs="Times New Roman"/>
          <w:color w:val="000000" w:themeColor="text1"/>
          <w:sz w:val="22"/>
          <w:szCs w:val="22"/>
        </w:rPr>
        <w:t xml:space="preserve">able </w:t>
      </w:r>
      <w:r>
        <w:rPr>
          <w:rFonts w:cs="Times New Roman"/>
          <w:color w:val="000000" w:themeColor="text1"/>
          <w:sz w:val="22"/>
          <w:szCs w:val="22"/>
        </w:rPr>
        <w:t>S</w:t>
      </w:r>
      <w:r w:rsidRPr="00D50F60">
        <w:rPr>
          <w:rFonts w:cs="Times New Roman"/>
          <w:color w:val="000000" w:themeColor="text1"/>
          <w:sz w:val="22"/>
          <w:szCs w:val="22"/>
        </w:rPr>
        <w:t>1. Quality assessment of included studies.</w:t>
      </w:r>
    </w:p>
    <w:p w:rsidR="00D31208" w:rsidRPr="00D50F60" w:rsidRDefault="00D31208" w:rsidP="00D31208">
      <w:pPr>
        <w:spacing w:line="480" w:lineRule="auto"/>
        <w:rPr>
          <w:rFonts w:cs="Times New Roman"/>
          <w:color w:val="000000" w:themeColor="text1"/>
          <w:sz w:val="22"/>
          <w:szCs w:val="22"/>
        </w:rPr>
      </w:pPr>
      <w:r w:rsidRPr="00D50F60">
        <w:rPr>
          <w:rFonts w:cs="Times New Roman"/>
          <w:color w:val="000000" w:themeColor="text1"/>
          <w:sz w:val="22"/>
          <w:szCs w:val="22"/>
        </w:rPr>
        <w:t xml:space="preserve">Supplemental </w:t>
      </w:r>
      <w:r w:rsidRPr="00D50F60">
        <w:rPr>
          <w:rFonts w:cs="Times New Roman" w:hint="eastAsia"/>
          <w:color w:val="000000" w:themeColor="text1"/>
          <w:sz w:val="22"/>
          <w:szCs w:val="22"/>
        </w:rPr>
        <w:t>T</w:t>
      </w:r>
      <w:r w:rsidRPr="00D50F60">
        <w:rPr>
          <w:rFonts w:cs="Times New Roman"/>
          <w:color w:val="000000" w:themeColor="text1"/>
          <w:sz w:val="22"/>
          <w:szCs w:val="22"/>
        </w:rPr>
        <w:t xml:space="preserve">able </w:t>
      </w:r>
      <w:r>
        <w:rPr>
          <w:rFonts w:cs="Times New Roman"/>
          <w:color w:val="000000" w:themeColor="text1"/>
          <w:sz w:val="22"/>
          <w:szCs w:val="22"/>
        </w:rPr>
        <w:t>S</w:t>
      </w:r>
      <w:r w:rsidRPr="00D50F60">
        <w:rPr>
          <w:rFonts w:cs="Times New Roman"/>
          <w:color w:val="000000" w:themeColor="text1"/>
          <w:sz w:val="22"/>
          <w:szCs w:val="22"/>
        </w:rPr>
        <w:t>2. Summary of serum total bilirubin levels in the meta-analysis.</w:t>
      </w:r>
    </w:p>
    <w:p w:rsidR="00D31208" w:rsidRPr="00D50F60" w:rsidRDefault="00D31208" w:rsidP="00D31208">
      <w:pPr>
        <w:spacing w:line="480" w:lineRule="auto"/>
        <w:rPr>
          <w:rFonts w:cs="Times New Roman"/>
          <w:color w:val="000000" w:themeColor="text1"/>
          <w:sz w:val="22"/>
          <w:szCs w:val="22"/>
        </w:rPr>
      </w:pPr>
      <w:r w:rsidRPr="00D50F60">
        <w:rPr>
          <w:rFonts w:cs="Times New Roman"/>
          <w:color w:val="000000" w:themeColor="text1"/>
          <w:sz w:val="22"/>
          <w:szCs w:val="22"/>
        </w:rPr>
        <w:t xml:space="preserve">Supplemental Figure </w:t>
      </w:r>
      <w:r>
        <w:rPr>
          <w:rFonts w:cs="Times New Roman"/>
          <w:color w:val="000000" w:themeColor="text1"/>
          <w:sz w:val="22"/>
          <w:szCs w:val="22"/>
        </w:rPr>
        <w:t>S</w:t>
      </w:r>
      <w:r w:rsidRPr="00D50F60">
        <w:rPr>
          <w:rFonts w:cs="Times New Roman"/>
          <w:color w:val="000000" w:themeColor="text1"/>
          <w:sz w:val="22"/>
          <w:szCs w:val="22"/>
        </w:rPr>
        <w:t>1. Association of serum bilirubin with the risk of mortality.</w:t>
      </w:r>
    </w:p>
    <w:p w:rsidR="00D31208" w:rsidRPr="00D50F60" w:rsidRDefault="00D31208" w:rsidP="00D31208">
      <w:pPr>
        <w:spacing w:line="480" w:lineRule="auto"/>
        <w:rPr>
          <w:rFonts w:cs="Times New Roman"/>
          <w:color w:val="000000" w:themeColor="text1"/>
          <w:sz w:val="22"/>
          <w:szCs w:val="22"/>
        </w:rPr>
      </w:pPr>
      <w:r w:rsidRPr="00D50F60">
        <w:rPr>
          <w:rFonts w:cs="Times New Roman"/>
          <w:color w:val="000000" w:themeColor="text1"/>
          <w:sz w:val="22"/>
          <w:szCs w:val="22"/>
        </w:rPr>
        <w:t xml:space="preserve">Supplemental Figure </w:t>
      </w:r>
      <w:r>
        <w:rPr>
          <w:rFonts w:cs="Times New Roman"/>
          <w:color w:val="000000" w:themeColor="text1"/>
          <w:sz w:val="22"/>
          <w:szCs w:val="22"/>
        </w:rPr>
        <w:t>S</w:t>
      </w:r>
      <w:r w:rsidRPr="00D50F60">
        <w:rPr>
          <w:rFonts w:cs="Times New Roman"/>
          <w:color w:val="000000" w:themeColor="text1"/>
          <w:sz w:val="22"/>
          <w:szCs w:val="22"/>
        </w:rPr>
        <w:t>2. Publication bias for 11 studies about the association of STB levels with the highest compared to the lowest group.</w:t>
      </w:r>
    </w:p>
    <w:p w:rsidR="00D31208" w:rsidRPr="00D50F60" w:rsidRDefault="00D31208" w:rsidP="00D31208">
      <w:pPr>
        <w:spacing w:line="480" w:lineRule="auto"/>
        <w:rPr>
          <w:rFonts w:cs="Times New Roman"/>
          <w:color w:val="000000" w:themeColor="text1"/>
          <w:sz w:val="22"/>
          <w:szCs w:val="22"/>
        </w:rPr>
      </w:pPr>
      <w:r w:rsidRPr="00D50F60">
        <w:rPr>
          <w:rFonts w:cs="Times New Roman"/>
          <w:color w:val="000000" w:themeColor="text1"/>
          <w:sz w:val="22"/>
          <w:szCs w:val="22"/>
        </w:rPr>
        <w:t xml:space="preserve">Supplemental Figure </w:t>
      </w:r>
      <w:r>
        <w:rPr>
          <w:rFonts w:cs="Times New Roman"/>
          <w:color w:val="000000" w:themeColor="text1"/>
          <w:sz w:val="22"/>
          <w:szCs w:val="22"/>
        </w:rPr>
        <w:t>S</w:t>
      </w:r>
      <w:r w:rsidRPr="00D50F60">
        <w:rPr>
          <w:rFonts w:cs="Times New Roman"/>
          <w:color w:val="000000" w:themeColor="text1"/>
          <w:sz w:val="22"/>
          <w:szCs w:val="22"/>
        </w:rPr>
        <w:t>3. Publication bias for 7 studies about the effect of per 0.2mg/dl serum total bilirubin levels.</w:t>
      </w:r>
    </w:p>
    <w:p w:rsidR="00D31208" w:rsidRPr="00D50F60" w:rsidRDefault="00D31208" w:rsidP="00D31208">
      <w:pPr>
        <w:spacing w:line="480" w:lineRule="auto"/>
        <w:rPr>
          <w:rFonts w:cs="Times New Roman"/>
          <w:color w:val="000000" w:themeColor="text1"/>
          <w:sz w:val="22"/>
          <w:szCs w:val="22"/>
        </w:rPr>
      </w:pPr>
      <w:r w:rsidRPr="00D50F60">
        <w:rPr>
          <w:rFonts w:cs="Times New Roman"/>
          <w:color w:val="000000" w:themeColor="text1"/>
          <w:sz w:val="22"/>
          <w:szCs w:val="22"/>
        </w:rPr>
        <w:t xml:space="preserve">Supplemental Figure </w:t>
      </w:r>
      <w:r>
        <w:rPr>
          <w:rFonts w:cs="Times New Roman"/>
          <w:color w:val="000000" w:themeColor="text1"/>
          <w:sz w:val="22"/>
          <w:szCs w:val="22"/>
        </w:rPr>
        <w:t>S</w:t>
      </w:r>
      <w:r w:rsidRPr="00D50F60">
        <w:rPr>
          <w:rFonts w:cs="Times New Roman"/>
          <w:color w:val="000000" w:themeColor="text1"/>
          <w:sz w:val="22"/>
          <w:szCs w:val="22"/>
        </w:rPr>
        <w:t>4. Sensitivity analyses about the influence of single studies on the pooled RR.</w:t>
      </w:r>
    </w:p>
    <w:p w:rsidR="00DC0B5B" w:rsidRDefault="00D31208" w:rsidP="00D31208">
      <w:pPr>
        <w:spacing w:line="480" w:lineRule="auto"/>
        <w:rPr>
          <w:rFonts w:cs="Times New Roman"/>
          <w:color w:val="000000" w:themeColor="text1"/>
          <w:sz w:val="22"/>
          <w:szCs w:val="22"/>
        </w:rPr>
        <w:sectPr w:rsidR="00DC0B5B" w:rsidSect="005B6691">
          <w:footerReference w:type="even" r:id="rId7"/>
          <w:footerReference w:type="default" r:id="rId8"/>
          <w:pgSz w:w="11900" w:h="16840"/>
          <w:pgMar w:top="1440" w:right="1800" w:bottom="1440" w:left="1800" w:header="851" w:footer="992" w:gutter="0"/>
          <w:cols w:space="425"/>
          <w:docGrid w:type="lines" w:linePitch="312"/>
        </w:sectPr>
      </w:pPr>
      <w:r w:rsidRPr="00D50F60">
        <w:rPr>
          <w:rFonts w:cs="Times New Roman"/>
          <w:color w:val="000000" w:themeColor="text1"/>
          <w:sz w:val="22"/>
          <w:szCs w:val="22"/>
        </w:rPr>
        <w:t xml:space="preserve">Supplemental Figure </w:t>
      </w:r>
      <w:r>
        <w:rPr>
          <w:rFonts w:cs="Times New Roman"/>
          <w:color w:val="000000" w:themeColor="text1"/>
          <w:sz w:val="22"/>
          <w:szCs w:val="22"/>
        </w:rPr>
        <w:t>S</w:t>
      </w:r>
      <w:r w:rsidRPr="00D50F60">
        <w:rPr>
          <w:rFonts w:cs="Times New Roman"/>
          <w:color w:val="000000" w:themeColor="text1"/>
          <w:sz w:val="22"/>
          <w:szCs w:val="22"/>
        </w:rPr>
        <w:t>5. Subgroup and regression analyses of the serum total bilirubin levels and the mortality.</w:t>
      </w:r>
      <w:bookmarkEnd w:id="0"/>
      <w:bookmarkEnd w:id="1"/>
    </w:p>
    <w:p w:rsidR="00514F68" w:rsidRPr="00514F68" w:rsidRDefault="00514F68" w:rsidP="00DC0B5B">
      <w:pPr>
        <w:spacing w:line="480" w:lineRule="auto"/>
        <w:rPr>
          <w:rFonts w:cs="Times New Roman"/>
          <w:b/>
          <w:color w:val="000000" w:themeColor="text1"/>
          <w:sz w:val="22"/>
          <w:szCs w:val="22"/>
        </w:rPr>
      </w:pPr>
      <w:r w:rsidRPr="00514F68">
        <w:rPr>
          <w:rFonts w:cs="Times New Roman"/>
          <w:b/>
          <w:color w:val="000000" w:themeColor="text1"/>
          <w:sz w:val="22"/>
          <w:szCs w:val="22"/>
        </w:rPr>
        <w:lastRenderedPageBreak/>
        <w:t xml:space="preserve">Supplemental </w:t>
      </w:r>
      <w:r w:rsidR="00C201C8">
        <w:rPr>
          <w:rFonts w:cs="Times New Roman"/>
          <w:b/>
          <w:color w:val="000000" w:themeColor="text1"/>
          <w:sz w:val="22"/>
          <w:szCs w:val="22"/>
        </w:rPr>
        <w:t>m</w:t>
      </w:r>
      <w:r w:rsidRPr="00514F68">
        <w:rPr>
          <w:rFonts w:cs="Times New Roman"/>
          <w:b/>
          <w:color w:val="000000" w:themeColor="text1"/>
          <w:sz w:val="22"/>
          <w:szCs w:val="22"/>
        </w:rPr>
        <w:t>ethods</w:t>
      </w:r>
    </w:p>
    <w:p w:rsidR="00C64905" w:rsidRDefault="007F23EB" w:rsidP="00DC0B5B">
      <w:pPr>
        <w:spacing w:line="480" w:lineRule="auto"/>
        <w:rPr>
          <w:rFonts w:cs="Times New Roman"/>
          <w:color w:val="000000" w:themeColor="text1"/>
          <w:sz w:val="22"/>
          <w:szCs w:val="22"/>
        </w:rPr>
      </w:pPr>
      <w:r w:rsidRPr="001C2209">
        <w:rPr>
          <w:rFonts w:cs="Times New Roman"/>
          <w:b/>
          <w:color w:val="000000" w:themeColor="text1"/>
          <w:sz w:val="22"/>
          <w:szCs w:val="22"/>
        </w:rPr>
        <w:t xml:space="preserve">Statistical </w:t>
      </w:r>
      <w:r w:rsidR="00D31208">
        <w:rPr>
          <w:rFonts w:cs="Times New Roman"/>
          <w:b/>
          <w:color w:val="000000" w:themeColor="text1"/>
          <w:sz w:val="22"/>
          <w:szCs w:val="22"/>
        </w:rPr>
        <w:t>a</w:t>
      </w:r>
      <w:r w:rsidRPr="001C2209">
        <w:rPr>
          <w:rFonts w:cs="Times New Roman"/>
          <w:b/>
          <w:color w:val="000000" w:themeColor="text1"/>
          <w:sz w:val="22"/>
          <w:szCs w:val="22"/>
        </w:rPr>
        <w:t>naly</w:t>
      </w:r>
      <w:r>
        <w:rPr>
          <w:rFonts w:cs="Times New Roman" w:hint="eastAsia"/>
          <w:b/>
          <w:color w:val="000000" w:themeColor="text1"/>
          <w:sz w:val="22"/>
          <w:szCs w:val="22"/>
        </w:rPr>
        <w:t>ses</w:t>
      </w:r>
    </w:p>
    <w:p w:rsidR="00C86D74" w:rsidRPr="007F23EB" w:rsidRDefault="00C64905" w:rsidP="00DC0B5B">
      <w:pPr>
        <w:spacing w:line="480" w:lineRule="auto"/>
        <w:rPr>
          <w:rFonts w:cs="Times New Roman"/>
          <w:color w:val="000000" w:themeColor="text1"/>
          <w:sz w:val="22"/>
          <w:szCs w:val="22"/>
        </w:rPr>
      </w:pPr>
      <w:bookmarkStart w:id="2" w:name="OLE_LINK86"/>
      <w:bookmarkStart w:id="3" w:name="OLE_LINK87"/>
      <w:r w:rsidRPr="00193B3F">
        <w:rPr>
          <w:rFonts w:cs="Times New Roman"/>
          <w:color w:val="000000" w:themeColor="text1"/>
          <w:sz w:val="22"/>
          <w:szCs w:val="22"/>
        </w:rPr>
        <w:t>Random-effects models were applied for the incorporation of between-study heterogeneity and to obtain an overall RR for the categorical variable (highest STB levels category compared with the lowest STB levels category) and continuous variable (per unit STB increase).</w:t>
      </w:r>
      <w:bookmarkStart w:id="4" w:name="OLE_LINK82"/>
      <w:bookmarkStart w:id="5" w:name="OLE_LINK83"/>
      <w:r w:rsidR="007F23EB">
        <w:rPr>
          <w:rFonts w:cs="Times New Roman" w:hint="eastAsia"/>
          <w:color w:val="000000" w:themeColor="text1"/>
          <w:sz w:val="22"/>
          <w:szCs w:val="22"/>
        </w:rPr>
        <w:t xml:space="preserve"> </w:t>
      </w:r>
      <w:bookmarkEnd w:id="2"/>
      <w:bookmarkEnd w:id="3"/>
      <w:r w:rsidR="00C86D74" w:rsidRPr="00193B3F">
        <w:rPr>
          <w:rFonts w:cs="Times New Roman"/>
          <w:color w:val="000000" w:themeColor="text1"/>
          <w:sz w:val="22"/>
          <w:szCs w:val="22"/>
        </w:rPr>
        <w:t xml:space="preserve">The RR of category STB levels increment for each study and restricted cubic spline regression model with three points </w:t>
      </w:r>
      <w:bookmarkStart w:id="6" w:name="OLE_LINK156"/>
      <w:bookmarkStart w:id="7" w:name="OLE_LINK157"/>
      <w:r w:rsidR="00C86D74" w:rsidRPr="00193B3F">
        <w:rPr>
          <w:rFonts w:cs="Times New Roman"/>
          <w:color w:val="000000" w:themeColor="text1"/>
          <w:sz w:val="22"/>
          <w:szCs w:val="22"/>
        </w:rPr>
        <w:t>(25,50,75percentiles)</w:t>
      </w:r>
      <w:bookmarkEnd w:id="6"/>
      <w:bookmarkEnd w:id="7"/>
      <w:r w:rsidR="00C86D74" w:rsidRPr="00193B3F">
        <w:rPr>
          <w:rFonts w:cs="Times New Roman"/>
          <w:color w:val="000000" w:themeColor="text1"/>
          <w:sz w:val="22"/>
          <w:szCs w:val="22"/>
        </w:rPr>
        <w:t xml:space="preserve"> and generalized least squares estimation (GIST) method was used to estimate the change in exposure effect for each dose effect. </w:t>
      </w:r>
      <w:bookmarkEnd w:id="4"/>
      <w:bookmarkEnd w:id="5"/>
      <w:r w:rsidR="00C86D74" w:rsidRPr="00193B3F">
        <w:rPr>
          <w:rFonts w:cs="Times New Roman"/>
          <w:color w:val="000000" w:themeColor="text1"/>
          <w:sz w:val="22"/>
          <w:szCs w:val="22"/>
        </w:rPr>
        <w:t xml:space="preserve">We first according to the nonlinearity model goodness of fit test results to determine whether the model needs to consider the heterogeneity of trends between different studies. If the </w:t>
      </w:r>
      <w:r w:rsidR="00C86D74" w:rsidRPr="00193B3F">
        <w:rPr>
          <w:rFonts w:cs="Times New Roman"/>
          <w:i/>
          <w:color w:val="000000" w:themeColor="text1"/>
          <w:sz w:val="22"/>
          <w:szCs w:val="22"/>
        </w:rPr>
        <w:t>P</w:t>
      </w:r>
      <w:r w:rsidR="00C86D74" w:rsidRPr="00193B3F">
        <w:rPr>
          <w:rFonts w:cs="Times New Roman"/>
          <w:color w:val="000000" w:themeColor="text1"/>
          <w:sz w:val="22"/>
          <w:szCs w:val="22"/>
        </w:rPr>
        <w:t xml:space="preserve"> value for heterogeneity of the previous model was</w:t>
      </w:r>
      <w:r w:rsidR="005853E6" w:rsidRPr="00193B3F">
        <w:rPr>
          <w:rFonts w:cs="Times New Roman"/>
          <w:color w:val="000000" w:themeColor="text1"/>
          <w:sz w:val="22"/>
          <w:szCs w:val="22"/>
        </w:rPr>
        <w:t>&lt;</w:t>
      </w:r>
      <w:r w:rsidR="00C86D74" w:rsidRPr="00193B3F">
        <w:rPr>
          <w:rFonts w:cs="Times New Roman"/>
          <w:color w:val="000000" w:themeColor="text1"/>
          <w:sz w:val="22"/>
          <w:szCs w:val="22"/>
        </w:rPr>
        <w:t xml:space="preserve">0.05, a random-effects potential nonlinearity model. The model independent variable consists of three regression splines. If the </w:t>
      </w:r>
      <w:r w:rsidR="00C86D74" w:rsidRPr="00193B3F">
        <w:rPr>
          <w:rFonts w:cs="Times New Roman"/>
          <w:i/>
          <w:color w:val="000000" w:themeColor="text1"/>
          <w:sz w:val="22"/>
          <w:szCs w:val="22"/>
        </w:rPr>
        <w:t>P</w:t>
      </w:r>
      <w:r w:rsidR="00C86D74" w:rsidRPr="00193B3F">
        <w:rPr>
          <w:rFonts w:cs="Times New Roman"/>
          <w:color w:val="000000" w:themeColor="text1"/>
          <w:sz w:val="22"/>
          <w:szCs w:val="22"/>
        </w:rPr>
        <w:t xml:space="preserve"> value of regression coefficient of the regression spline is </w:t>
      </w:r>
      <w:bookmarkStart w:id="8" w:name="OLE_LINK158"/>
      <w:bookmarkStart w:id="9" w:name="OLE_LINK163"/>
      <w:r w:rsidR="00C86D74" w:rsidRPr="00193B3F">
        <w:rPr>
          <w:rFonts w:cs="Times New Roman"/>
          <w:color w:val="000000" w:themeColor="text1"/>
          <w:sz w:val="22"/>
          <w:szCs w:val="22"/>
        </w:rPr>
        <w:t>&lt;</w:t>
      </w:r>
      <w:bookmarkEnd w:id="8"/>
      <w:bookmarkEnd w:id="9"/>
      <w:r w:rsidR="00C86D74" w:rsidRPr="00193B3F">
        <w:rPr>
          <w:rFonts w:cs="Times New Roman"/>
          <w:color w:val="000000" w:themeColor="text1"/>
          <w:sz w:val="22"/>
          <w:szCs w:val="22"/>
        </w:rPr>
        <w:t>0.05, it is a nonlinear dose response relationship. Otherwise, change to a linear regression model.</w:t>
      </w:r>
    </w:p>
    <w:p w:rsidR="00C463CC" w:rsidRPr="001C2209" w:rsidRDefault="00C463CC" w:rsidP="00C463CC">
      <w:pPr>
        <w:spacing w:line="480" w:lineRule="auto"/>
        <w:rPr>
          <w:rFonts w:cs="Times New Roman"/>
          <w:b/>
          <w:color w:val="000000" w:themeColor="text1"/>
          <w:sz w:val="22"/>
          <w:szCs w:val="22"/>
        </w:rPr>
      </w:pPr>
      <w:bookmarkStart w:id="10" w:name="OLE_LINK88"/>
      <w:bookmarkStart w:id="11" w:name="OLE_LINK89"/>
      <w:r w:rsidRPr="001C2209">
        <w:rPr>
          <w:rFonts w:cs="Times New Roman"/>
          <w:b/>
          <w:color w:val="000000" w:themeColor="text1"/>
          <w:sz w:val="22"/>
          <w:szCs w:val="22"/>
        </w:rPr>
        <w:t xml:space="preserve">Publication </w:t>
      </w:r>
      <w:r w:rsidR="00D31208">
        <w:rPr>
          <w:rFonts w:cs="Times New Roman"/>
          <w:b/>
          <w:color w:val="000000" w:themeColor="text1"/>
          <w:sz w:val="22"/>
          <w:szCs w:val="22"/>
        </w:rPr>
        <w:t>b</w:t>
      </w:r>
      <w:r w:rsidRPr="001C2209">
        <w:rPr>
          <w:rFonts w:cs="Times New Roman"/>
          <w:b/>
          <w:color w:val="000000" w:themeColor="text1"/>
          <w:sz w:val="22"/>
          <w:szCs w:val="22"/>
        </w:rPr>
        <w:t xml:space="preserve">ias and </w:t>
      </w:r>
      <w:r w:rsidR="00D31208">
        <w:rPr>
          <w:rFonts w:cs="Times New Roman"/>
          <w:b/>
          <w:color w:val="000000" w:themeColor="text1"/>
          <w:sz w:val="22"/>
          <w:szCs w:val="22"/>
        </w:rPr>
        <w:t>s</w:t>
      </w:r>
      <w:r w:rsidRPr="001C2209">
        <w:rPr>
          <w:rFonts w:cs="Times New Roman"/>
          <w:b/>
          <w:color w:val="000000" w:themeColor="text1"/>
          <w:sz w:val="22"/>
          <w:szCs w:val="22"/>
        </w:rPr>
        <w:t xml:space="preserve">ensitivity </w:t>
      </w:r>
      <w:r w:rsidR="00D31208">
        <w:rPr>
          <w:rFonts w:cs="Times New Roman"/>
          <w:b/>
          <w:color w:val="000000" w:themeColor="text1"/>
          <w:sz w:val="22"/>
          <w:szCs w:val="22"/>
        </w:rPr>
        <w:t>a</w:t>
      </w:r>
      <w:r w:rsidRPr="001C2209">
        <w:rPr>
          <w:rFonts w:cs="Times New Roman"/>
          <w:b/>
          <w:color w:val="000000" w:themeColor="text1"/>
          <w:sz w:val="22"/>
          <w:szCs w:val="22"/>
        </w:rPr>
        <w:t>nalyses</w:t>
      </w:r>
      <w:bookmarkEnd w:id="10"/>
      <w:bookmarkEnd w:id="11"/>
    </w:p>
    <w:p w:rsidR="00C86D74" w:rsidRDefault="00C463CC" w:rsidP="00C463CC">
      <w:pPr>
        <w:spacing w:line="480" w:lineRule="auto"/>
        <w:rPr>
          <w:rFonts w:cs="Times New Roman"/>
          <w:sz w:val="22"/>
        </w:rPr>
      </w:pPr>
      <w:bookmarkStart w:id="12" w:name="OLE_LINK90"/>
      <w:bookmarkStart w:id="13" w:name="OLE_LINK91"/>
      <w:r w:rsidRPr="00A47BA1">
        <w:rPr>
          <w:rFonts w:cs="Times New Roman"/>
          <w:color w:val="000000" w:themeColor="text1"/>
          <w:sz w:val="22"/>
          <w:szCs w:val="22"/>
        </w:rPr>
        <w:t>The results show that publication bias was exist</w:t>
      </w:r>
      <w:bookmarkEnd w:id="12"/>
      <w:bookmarkEnd w:id="13"/>
      <w:r w:rsidRPr="00A47BA1">
        <w:rPr>
          <w:rFonts w:cs="Times New Roman"/>
          <w:color w:val="000000" w:themeColor="text1"/>
          <w:sz w:val="22"/>
          <w:szCs w:val="22"/>
        </w:rPr>
        <w:t xml:space="preserve"> in Egger’s test (</w:t>
      </w:r>
      <w:r w:rsidRPr="00A47BA1">
        <w:rPr>
          <w:rFonts w:cs="Times New Roman"/>
          <w:i/>
          <w:color w:val="000000" w:themeColor="text1"/>
          <w:sz w:val="22"/>
          <w:szCs w:val="22"/>
        </w:rPr>
        <w:t>P</w:t>
      </w:r>
      <w:r w:rsidRPr="00A47BA1">
        <w:rPr>
          <w:rFonts w:cs="Times New Roman"/>
          <w:color w:val="000000" w:themeColor="text1"/>
          <w:sz w:val="22"/>
          <w:szCs w:val="22"/>
        </w:rPr>
        <w:t>=0.028) (</w:t>
      </w:r>
      <w:bookmarkStart w:id="14" w:name="OLE_LINK96"/>
      <w:bookmarkStart w:id="15" w:name="OLE_LINK97"/>
      <w:bookmarkStart w:id="16" w:name="OLE_LINK159"/>
      <w:bookmarkStart w:id="17" w:name="OLE_LINK160"/>
      <w:r w:rsidRPr="00A47BA1">
        <w:rPr>
          <w:rFonts w:cs="Times New Roman"/>
          <w:color w:val="000000" w:themeColor="text1"/>
          <w:sz w:val="22"/>
          <w:szCs w:val="22"/>
        </w:rPr>
        <w:t xml:space="preserve">Supplemental Figure </w:t>
      </w:r>
      <w:r w:rsidR="00784181">
        <w:rPr>
          <w:rFonts w:cs="Times New Roman"/>
          <w:color w:val="000000" w:themeColor="text1"/>
          <w:sz w:val="22"/>
          <w:szCs w:val="22"/>
        </w:rPr>
        <w:t>S</w:t>
      </w:r>
      <w:r w:rsidRPr="00A47BA1">
        <w:rPr>
          <w:rFonts w:cs="Times New Roman"/>
          <w:color w:val="000000" w:themeColor="text1"/>
          <w:sz w:val="22"/>
          <w:szCs w:val="22"/>
        </w:rPr>
        <w:t>2</w:t>
      </w:r>
      <w:bookmarkEnd w:id="14"/>
      <w:bookmarkEnd w:id="15"/>
      <w:r w:rsidRPr="00A47BA1">
        <w:rPr>
          <w:rFonts w:cs="Times New Roman"/>
          <w:color w:val="000000" w:themeColor="text1"/>
          <w:sz w:val="22"/>
          <w:szCs w:val="22"/>
        </w:rPr>
        <w:t>A</w:t>
      </w:r>
      <w:bookmarkEnd w:id="16"/>
      <w:bookmarkEnd w:id="17"/>
      <w:r w:rsidRPr="00A47BA1">
        <w:rPr>
          <w:rFonts w:cs="Times New Roman"/>
          <w:color w:val="000000" w:themeColor="text1"/>
          <w:sz w:val="22"/>
          <w:szCs w:val="22"/>
        </w:rPr>
        <w:t>) but not in Begg’s test (</w:t>
      </w:r>
      <w:r w:rsidRPr="00A47BA1">
        <w:rPr>
          <w:rFonts w:cs="Times New Roman"/>
          <w:i/>
          <w:color w:val="000000" w:themeColor="text1"/>
          <w:sz w:val="22"/>
          <w:szCs w:val="22"/>
        </w:rPr>
        <w:t>P</w:t>
      </w:r>
      <w:r w:rsidRPr="00A47BA1">
        <w:rPr>
          <w:rFonts w:cs="Times New Roman"/>
          <w:color w:val="000000" w:themeColor="text1"/>
          <w:sz w:val="22"/>
          <w:szCs w:val="22"/>
        </w:rPr>
        <w:t>=0.101) (</w:t>
      </w:r>
      <w:bookmarkStart w:id="18" w:name="OLE_LINK104"/>
      <w:bookmarkStart w:id="19" w:name="OLE_LINK105"/>
      <w:r w:rsidRPr="00A47BA1">
        <w:rPr>
          <w:rFonts w:cs="Times New Roman"/>
          <w:color w:val="000000" w:themeColor="text1"/>
          <w:sz w:val="22"/>
          <w:szCs w:val="22"/>
        </w:rPr>
        <w:t xml:space="preserve">Supplemental Figure </w:t>
      </w:r>
      <w:r w:rsidR="00784181">
        <w:rPr>
          <w:rFonts w:cs="Times New Roman"/>
          <w:color w:val="000000" w:themeColor="text1"/>
          <w:sz w:val="22"/>
          <w:szCs w:val="22"/>
        </w:rPr>
        <w:t>S</w:t>
      </w:r>
      <w:r w:rsidRPr="00A47BA1">
        <w:rPr>
          <w:rFonts w:cs="Times New Roman"/>
          <w:color w:val="000000" w:themeColor="text1"/>
          <w:sz w:val="22"/>
          <w:szCs w:val="22"/>
        </w:rPr>
        <w:t>2B</w:t>
      </w:r>
      <w:bookmarkEnd w:id="18"/>
      <w:bookmarkEnd w:id="19"/>
      <w:r w:rsidRPr="00A47BA1">
        <w:rPr>
          <w:rFonts w:cs="Times New Roman"/>
          <w:color w:val="000000" w:themeColor="text1"/>
          <w:sz w:val="22"/>
          <w:szCs w:val="22"/>
        </w:rPr>
        <w:t xml:space="preserve">). Therefore, </w:t>
      </w:r>
      <w:bookmarkStart w:id="20" w:name="OLE_LINK92"/>
      <w:bookmarkStart w:id="21" w:name="OLE_LINK93"/>
      <w:r w:rsidRPr="00A47BA1">
        <w:rPr>
          <w:rFonts w:cs="Times New Roman"/>
          <w:color w:val="000000" w:themeColor="text1"/>
          <w:sz w:val="22"/>
          <w:szCs w:val="22"/>
        </w:rPr>
        <w:t>trim-and fill methods were adapted to adjust the publication bias</w:t>
      </w:r>
      <w:bookmarkEnd w:id="20"/>
      <w:bookmarkEnd w:id="21"/>
      <w:r w:rsidRPr="00A47BA1">
        <w:rPr>
          <w:rFonts w:cs="Times New Roman"/>
          <w:color w:val="000000" w:themeColor="text1"/>
          <w:sz w:val="22"/>
          <w:szCs w:val="22"/>
        </w:rPr>
        <w:t xml:space="preserve"> and 4 hypothetical positive unpublished studies were added. After modified the association between the STB concentration and the risk of CKD was slightly changed (RR=0.67; 95%CI, 0.57-0.79), but still have the statistical significance (</w:t>
      </w:r>
      <w:r w:rsidRPr="00A47BA1">
        <w:rPr>
          <w:rFonts w:cs="Times New Roman"/>
          <w:i/>
          <w:color w:val="000000" w:themeColor="text1"/>
          <w:sz w:val="22"/>
          <w:szCs w:val="22"/>
        </w:rPr>
        <w:t>P</w:t>
      </w:r>
      <w:r w:rsidRPr="00A47BA1">
        <w:rPr>
          <w:rFonts w:cs="Times New Roman"/>
          <w:color w:val="000000" w:themeColor="text1"/>
          <w:sz w:val="22"/>
          <w:szCs w:val="22"/>
        </w:rPr>
        <w:t>&lt; 0.0001)</w:t>
      </w:r>
      <w:bookmarkStart w:id="22" w:name="OLE_LINK48"/>
      <w:bookmarkStart w:id="23" w:name="OLE_LINK49"/>
      <w:r w:rsidRPr="00A47BA1">
        <w:rPr>
          <w:rFonts w:cs="Times New Roman"/>
          <w:color w:val="000000" w:themeColor="text1"/>
          <w:sz w:val="22"/>
          <w:szCs w:val="22"/>
        </w:rPr>
        <w:t xml:space="preserve"> (</w:t>
      </w:r>
      <w:bookmarkStart w:id="24" w:name="OLE_LINK107"/>
      <w:bookmarkStart w:id="25" w:name="OLE_LINK108"/>
      <w:r w:rsidRPr="00A47BA1">
        <w:rPr>
          <w:rFonts w:cs="Times New Roman"/>
          <w:color w:val="000000" w:themeColor="text1"/>
          <w:sz w:val="22"/>
          <w:szCs w:val="22"/>
        </w:rPr>
        <w:t xml:space="preserve">Supplemental Figure </w:t>
      </w:r>
      <w:r w:rsidR="00784181">
        <w:rPr>
          <w:rFonts w:cs="Times New Roman"/>
          <w:color w:val="000000" w:themeColor="text1"/>
          <w:sz w:val="22"/>
          <w:szCs w:val="22"/>
        </w:rPr>
        <w:t>S</w:t>
      </w:r>
      <w:r w:rsidRPr="00A47BA1">
        <w:rPr>
          <w:rFonts w:cs="Times New Roman"/>
          <w:color w:val="000000" w:themeColor="text1"/>
          <w:sz w:val="22"/>
          <w:szCs w:val="22"/>
        </w:rPr>
        <w:t>2C</w:t>
      </w:r>
      <w:bookmarkEnd w:id="24"/>
      <w:bookmarkEnd w:id="25"/>
      <w:r w:rsidRPr="00A47BA1">
        <w:rPr>
          <w:rFonts w:cs="Times New Roman"/>
          <w:color w:val="000000" w:themeColor="text1"/>
          <w:sz w:val="22"/>
          <w:szCs w:val="22"/>
        </w:rPr>
        <w:t>)</w:t>
      </w:r>
      <w:bookmarkEnd w:id="22"/>
      <w:bookmarkEnd w:id="23"/>
      <w:r w:rsidRPr="00A47BA1">
        <w:rPr>
          <w:rFonts w:cs="Times New Roman"/>
          <w:color w:val="000000" w:themeColor="text1"/>
          <w:sz w:val="22"/>
          <w:szCs w:val="22"/>
        </w:rPr>
        <w:t xml:space="preserve">. Begg’s and egger’s test for 7 studies about the effect of per 0.2mg/dl STB levels increase were also analysis and the results show in </w:t>
      </w:r>
      <w:bookmarkStart w:id="26" w:name="OLE_LINK114"/>
      <w:bookmarkStart w:id="27" w:name="OLE_LINK115"/>
      <w:bookmarkStart w:id="28" w:name="OLE_LINK161"/>
      <w:bookmarkStart w:id="29" w:name="OLE_LINK162"/>
      <w:r w:rsidRPr="00A47BA1">
        <w:rPr>
          <w:rFonts w:cs="Times New Roman"/>
          <w:color w:val="000000" w:themeColor="text1"/>
          <w:sz w:val="22"/>
          <w:szCs w:val="22"/>
        </w:rPr>
        <w:lastRenderedPageBreak/>
        <w:t xml:space="preserve">Supplemental Figure </w:t>
      </w:r>
      <w:bookmarkEnd w:id="26"/>
      <w:bookmarkEnd w:id="27"/>
      <w:bookmarkEnd w:id="28"/>
      <w:bookmarkEnd w:id="29"/>
      <w:r w:rsidR="00784181">
        <w:rPr>
          <w:rFonts w:cs="Times New Roman"/>
          <w:color w:val="000000" w:themeColor="text1"/>
          <w:sz w:val="22"/>
          <w:szCs w:val="22"/>
        </w:rPr>
        <w:t>S</w:t>
      </w:r>
      <w:r w:rsidRPr="00A47BA1">
        <w:rPr>
          <w:rFonts w:cs="Times New Roman"/>
          <w:color w:val="000000" w:themeColor="text1"/>
          <w:sz w:val="22"/>
          <w:szCs w:val="22"/>
        </w:rPr>
        <w:t xml:space="preserve">3. </w:t>
      </w:r>
      <w:bookmarkStart w:id="30" w:name="OLE_LINK94"/>
      <w:bookmarkStart w:id="31" w:name="OLE_LINK95"/>
      <w:r w:rsidRPr="00A47BA1">
        <w:rPr>
          <w:rFonts w:cs="Times New Roman"/>
          <w:color w:val="000000" w:themeColor="text1"/>
          <w:sz w:val="22"/>
          <w:szCs w:val="22"/>
        </w:rPr>
        <w:t>Sensitivity analyses were conducted to assess the extent of the influence of single studies on the pooled RR. The results indicate no single study dramatically influenced the pooled RR</w:t>
      </w:r>
      <w:bookmarkEnd w:id="30"/>
      <w:bookmarkEnd w:id="31"/>
      <w:r w:rsidRPr="00A47BA1">
        <w:rPr>
          <w:rFonts w:cs="Times New Roman"/>
          <w:color w:val="000000" w:themeColor="text1"/>
          <w:sz w:val="22"/>
          <w:szCs w:val="22"/>
        </w:rPr>
        <w:t xml:space="preserve">. The pooled RRs range from 0.62 (95%CI, 0.52-0.74) to 0.65 (95%CI, 0.56-0.75) comparing the highest to the lowest group in the STB levels. Furthermore, analysis using per 0.2mg/dL STB increment suggested that there is no evidently publication bias and omitting individual study has no influenced the results </w:t>
      </w:r>
      <w:bookmarkStart w:id="32" w:name="OLE_LINK50"/>
      <w:bookmarkStart w:id="33" w:name="OLE_LINK51"/>
      <w:bookmarkStart w:id="34" w:name="OLE_LINK113"/>
      <w:bookmarkStart w:id="35" w:name="OLE_LINK116"/>
      <w:r w:rsidRPr="00A47BA1">
        <w:rPr>
          <w:rFonts w:cs="Times New Roman"/>
          <w:color w:val="000000" w:themeColor="text1"/>
          <w:sz w:val="22"/>
          <w:szCs w:val="22"/>
        </w:rPr>
        <w:t xml:space="preserve">(Supplemental Figure </w:t>
      </w:r>
      <w:r w:rsidR="00784181">
        <w:rPr>
          <w:rFonts w:cs="Times New Roman"/>
          <w:color w:val="000000" w:themeColor="text1"/>
          <w:sz w:val="22"/>
          <w:szCs w:val="22"/>
        </w:rPr>
        <w:t>S</w:t>
      </w:r>
      <w:r w:rsidRPr="00A47BA1">
        <w:rPr>
          <w:rFonts w:cs="Times New Roman"/>
          <w:color w:val="000000" w:themeColor="text1"/>
          <w:sz w:val="22"/>
          <w:szCs w:val="22"/>
        </w:rPr>
        <w:t>4)</w:t>
      </w:r>
      <w:bookmarkEnd w:id="32"/>
      <w:bookmarkEnd w:id="33"/>
      <w:bookmarkEnd w:id="34"/>
      <w:bookmarkEnd w:id="35"/>
      <w:r w:rsidRPr="00A47BA1">
        <w:rPr>
          <w:rFonts w:cs="Times New Roman"/>
          <w:color w:val="000000" w:themeColor="text1"/>
          <w:sz w:val="22"/>
          <w:szCs w:val="22"/>
        </w:rPr>
        <w:t>.</w:t>
      </w:r>
    </w:p>
    <w:p w:rsidR="00DC0B5B" w:rsidRPr="00D51AB0" w:rsidRDefault="00DC0B5B" w:rsidP="00DC0B5B">
      <w:pPr>
        <w:spacing w:line="480" w:lineRule="auto"/>
        <w:rPr>
          <w:rFonts w:cs="Times New Roman"/>
          <w:sz w:val="22"/>
        </w:rPr>
      </w:pPr>
    </w:p>
    <w:p w:rsidR="001C298E" w:rsidRPr="00D51AB0" w:rsidRDefault="001C298E" w:rsidP="001C298E">
      <w:pPr>
        <w:rPr>
          <w:rFonts w:eastAsia="宋体" w:cs="Times New Roman"/>
          <w:kern w:val="0"/>
        </w:rPr>
        <w:sectPr w:rsidR="001C298E" w:rsidRPr="00D51AB0" w:rsidSect="005B6691">
          <w:pgSz w:w="11900" w:h="16840"/>
          <w:pgMar w:top="1440" w:right="1800" w:bottom="1440" w:left="1800" w:header="851" w:footer="992" w:gutter="0"/>
          <w:cols w:space="425"/>
          <w:docGrid w:type="lines" w:linePitch="312"/>
        </w:sectPr>
      </w:pPr>
    </w:p>
    <w:p w:rsidR="00126DF8" w:rsidRPr="00514F68" w:rsidRDefault="00514F68" w:rsidP="00B20BCA">
      <w:pPr>
        <w:spacing w:line="480" w:lineRule="auto"/>
        <w:rPr>
          <w:rFonts w:cs="Times New Roman"/>
          <w:sz w:val="22"/>
          <w:szCs w:val="22"/>
        </w:rPr>
      </w:pPr>
      <w:bookmarkStart w:id="36" w:name="OLE_LINK121"/>
      <w:bookmarkStart w:id="37" w:name="OLE_LINK122"/>
      <w:r w:rsidRPr="00514F68">
        <w:rPr>
          <w:rFonts w:cs="Times New Roman"/>
          <w:b/>
          <w:sz w:val="22"/>
          <w:szCs w:val="22"/>
        </w:rPr>
        <w:lastRenderedPageBreak/>
        <w:t>Supplemental</w:t>
      </w:r>
      <w:bookmarkEnd w:id="36"/>
      <w:bookmarkEnd w:id="37"/>
      <w:r w:rsidRPr="00514F68">
        <w:rPr>
          <w:rFonts w:cs="Times New Roman"/>
          <w:b/>
          <w:sz w:val="22"/>
          <w:szCs w:val="22"/>
        </w:rPr>
        <w:t xml:space="preserve"> </w:t>
      </w:r>
      <w:r w:rsidR="002020C7">
        <w:rPr>
          <w:rFonts w:cs="Times New Roman"/>
          <w:b/>
          <w:sz w:val="22"/>
          <w:szCs w:val="22"/>
        </w:rPr>
        <w:t>T</w:t>
      </w:r>
      <w:r w:rsidR="00E73CC0" w:rsidRPr="00514F68">
        <w:rPr>
          <w:rFonts w:cs="Times New Roman"/>
          <w:b/>
          <w:sz w:val="22"/>
          <w:szCs w:val="22"/>
        </w:rPr>
        <w:t xml:space="preserve">able </w:t>
      </w:r>
      <w:r w:rsidR="00D31208">
        <w:rPr>
          <w:rFonts w:cs="Times New Roman"/>
          <w:b/>
          <w:sz w:val="22"/>
          <w:szCs w:val="22"/>
        </w:rPr>
        <w:t>S</w:t>
      </w:r>
      <w:r w:rsidR="00E73CC0" w:rsidRPr="00514F68">
        <w:rPr>
          <w:rFonts w:cs="Times New Roman"/>
          <w:b/>
          <w:sz w:val="22"/>
          <w:szCs w:val="22"/>
        </w:rPr>
        <w:t>1.</w:t>
      </w:r>
      <w:r w:rsidR="00E73CC0" w:rsidRPr="00514F68">
        <w:rPr>
          <w:rFonts w:cs="Times New Roman"/>
          <w:sz w:val="22"/>
          <w:szCs w:val="22"/>
        </w:rPr>
        <w:t xml:space="preserve"> </w:t>
      </w:r>
      <w:bookmarkStart w:id="38" w:name="OLE_LINK191"/>
      <w:bookmarkStart w:id="39" w:name="OLE_LINK192"/>
      <w:r w:rsidR="00E73CC0" w:rsidRPr="00514F68">
        <w:rPr>
          <w:rFonts w:cs="Times New Roman"/>
          <w:sz w:val="22"/>
          <w:szCs w:val="22"/>
        </w:rPr>
        <w:t>Quality assessment of included studies</w:t>
      </w:r>
      <w:bookmarkEnd w:id="38"/>
      <w:bookmarkEnd w:id="39"/>
      <w:r w:rsidR="00E73CC0" w:rsidRPr="00514F68">
        <w:rPr>
          <w:rFonts w:cs="Times New Roman"/>
          <w:sz w:val="22"/>
          <w:szCs w:val="22"/>
        </w:rPr>
        <w:t xml:space="preserve"> on serum total bilirubin and risk of chronic kidney disease and mortality</w:t>
      </w:r>
      <w:r w:rsidR="00D22D2A" w:rsidRPr="00514F68">
        <w:rPr>
          <w:rFonts w:cs="Times New Roman"/>
          <w:sz w:val="22"/>
          <w:szCs w:val="22"/>
        </w:rPr>
        <w:t>.</w:t>
      </w:r>
    </w:p>
    <w:tbl>
      <w:tblPr>
        <w:tblW w:w="8300" w:type="dxa"/>
        <w:tblLook w:val="04A0" w:firstRow="1" w:lastRow="0" w:firstColumn="1" w:lastColumn="0" w:noHBand="0" w:noVBand="1"/>
      </w:tblPr>
      <w:tblGrid>
        <w:gridCol w:w="1134"/>
        <w:gridCol w:w="232"/>
        <w:gridCol w:w="656"/>
        <w:gridCol w:w="12"/>
        <w:gridCol w:w="1131"/>
        <w:gridCol w:w="1581"/>
        <w:gridCol w:w="2123"/>
        <w:gridCol w:w="1431"/>
      </w:tblGrid>
      <w:tr w:rsidR="00E73CC0" w:rsidRPr="00514F68" w:rsidTr="00917640">
        <w:trPr>
          <w:trHeight w:val="320"/>
        </w:trPr>
        <w:tc>
          <w:tcPr>
            <w:tcW w:w="1134" w:type="dxa"/>
            <w:tcBorders>
              <w:top w:val="single" w:sz="4" w:space="0" w:color="auto"/>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 xml:space="preserve">study </w:t>
            </w:r>
          </w:p>
        </w:tc>
        <w:tc>
          <w:tcPr>
            <w:tcW w:w="900" w:type="dxa"/>
            <w:gridSpan w:val="3"/>
            <w:tcBorders>
              <w:top w:val="single" w:sz="4" w:space="0" w:color="auto"/>
              <w:left w:val="nil"/>
              <w:bottom w:val="single" w:sz="4" w:space="0" w:color="auto"/>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year</w:t>
            </w:r>
          </w:p>
        </w:tc>
        <w:tc>
          <w:tcPr>
            <w:tcW w:w="1131" w:type="dxa"/>
            <w:tcBorders>
              <w:top w:val="single" w:sz="4" w:space="0" w:color="auto"/>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selection</w:t>
            </w:r>
          </w:p>
        </w:tc>
        <w:tc>
          <w:tcPr>
            <w:tcW w:w="1581" w:type="dxa"/>
            <w:tcBorders>
              <w:top w:val="single" w:sz="4" w:space="0" w:color="auto"/>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comparability</w:t>
            </w:r>
          </w:p>
        </w:tc>
        <w:tc>
          <w:tcPr>
            <w:tcW w:w="2123" w:type="dxa"/>
            <w:tcBorders>
              <w:top w:val="single" w:sz="4" w:space="0" w:color="auto"/>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outcome/exposure</w:t>
            </w:r>
          </w:p>
        </w:tc>
        <w:tc>
          <w:tcPr>
            <w:tcW w:w="1431" w:type="dxa"/>
            <w:tcBorders>
              <w:top w:val="single" w:sz="4" w:space="0" w:color="auto"/>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 xml:space="preserve">overall quality </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 xml:space="preserve">Chin </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2009</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4</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7</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 xml:space="preserve">Kawamoto </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2014</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6</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Tanaka M</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2014</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7</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Ryu</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2014</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4</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8</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Riphagen</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2014</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8</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Tanaka S</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2015</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6</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Sakoh</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2015</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4</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7</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Lee</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2015</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6</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Wang</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2016</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4</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8</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Ahn Hee</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2017</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6</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Su</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2017</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4</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8</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Yang</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2017</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7</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Liu</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2018</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1</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5</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Wang</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2018</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3</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7</w:t>
            </w:r>
          </w:p>
        </w:tc>
      </w:tr>
      <w:tr w:rsidR="00E73CC0" w:rsidRPr="00514F68" w:rsidTr="00917640">
        <w:trPr>
          <w:trHeight w:val="320"/>
        </w:trPr>
        <w:tc>
          <w:tcPr>
            <w:tcW w:w="1376" w:type="dxa"/>
            <w:gridSpan w:val="2"/>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Wu</w:t>
            </w:r>
          </w:p>
        </w:tc>
        <w:tc>
          <w:tcPr>
            <w:tcW w:w="646" w:type="dxa"/>
            <w:tcBorders>
              <w:top w:val="nil"/>
              <w:left w:val="nil"/>
              <w:bottom w:val="nil"/>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2019</w:t>
            </w:r>
          </w:p>
        </w:tc>
        <w:tc>
          <w:tcPr>
            <w:tcW w:w="1143" w:type="dxa"/>
            <w:gridSpan w:val="2"/>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58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nil"/>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6</w:t>
            </w:r>
          </w:p>
        </w:tc>
      </w:tr>
      <w:tr w:rsidR="00E73CC0" w:rsidRPr="00514F68" w:rsidTr="00917640">
        <w:trPr>
          <w:trHeight w:val="320"/>
        </w:trPr>
        <w:tc>
          <w:tcPr>
            <w:tcW w:w="1376" w:type="dxa"/>
            <w:gridSpan w:val="2"/>
            <w:tcBorders>
              <w:top w:val="nil"/>
              <w:left w:val="nil"/>
              <w:bottom w:val="single" w:sz="4" w:space="0" w:color="auto"/>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 xml:space="preserve">Tsujikawa </w:t>
            </w:r>
          </w:p>
        </w:tc>
        <w:tc>
          <w:tcPr>
            <w:tcW w:w="646" w:type="dxa"/>
            <w:tcBorders>
              <w:top w:val="nil"/>
              <w:left w:val="nil"/>
              <w:bottom w:val="single" w:sz="4" w:space="0" w:color="auto"/>
              <w:right w:val="nil"/>
            </w:tcBorders>
            <w:shd w:val="clear" w:color="auto" w:fill="auto"/>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2019</w:t>
            </w:r>
          </w:p>
        </w:tc>
        <w:tc>
          <w:tcPr>
            <w:tcW w:w="1143" w:type="dxa"/>
            <w:gridSpan w:val="2"/>
            <w:tcBorders>
              <w:top w:val="nil"/>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581" w:type="dxa"/>
            <w:tcBorders>
              <w:top w:val="nil"/>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2123" w:type="dxa"/>
            <w:tcBorders>
              <w:top w:val="nil"/>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2</w:t>
            </w:r>
          </w:p>
        </w:tc>
        <w:tc>
          <w:tcPr>
            <w:tcW w:w="1431" w:type="dxa"/>
            <w:tcBorders>
              <w:top w:val="nil"/>
              <w:left w:val="nil"/>
              <w:bottom w:val="single" w:sz="4" w:space="0" w:color="auto"/>
              <w:right w:val="nil"/>
            </w:tcBorders>
            <w:shd w:val="clear" w:color="auto" w:fill="auto"/>
            <w:noWrap/>
            <w:vAlign w:val="center"/>
            <w:hideMark/>
          </w:tcPr>
          <w:p w:rsidR="00E73CC0" w:rsidRPr="00514F68" w:rsidRDefault="00E73CC0" w:rsidP="00E73CC0">
            <w:pPr>
              <w:widowControl/>
              <w:jc w:val="center"/>
              <w:rPr>
                <w:rFonts w:eastAsia="DengXian" w:cs="Times New Roman"/>
                <w:color w:val="000000"/>
                <w:kern w:val="0"/>
                <w:sz w:val="22"/>
                <w:szCs w:val="22"/>
              </w:rPr>
            </w:pPr>
            <w:r w:rsidRPr="00514F68">
              <w:rPr>
                <w:rFonts w:eastAsia="DengXian" w:cs="Times New Roman"/>
                <w:color w:val="000000"/>
                <w:kern w:val="0"/>
                <w:sz w:val="22"/>
                <w:szCs w:val="22"/>
              </w:rPr>
              <w:t>6</w:t>
            </w:r>
          </w:p>
        </w:tc>
      </w:tr>
    </w:tbl>
    <w:p w:rsidR="00E73CC0" w:rsidRPr="00D51AB0" w:rsidRDefault="00E73CC0" w:rsidP="00E73CC0">
      <w:pPr>
        <w:rPr>
          <w:rFonts w:cs="Times New Roman"/>
        </w:rPr>
        <w:sectPr w:rsidR="00E73CC0" w:rsidRPr="00D51AB0" w:rsidSect="005B6691">
          <w:pgSz w:w="11900" w:h="16840"/>
          <w:pgMar w:top="1440" w:right="1800" w:bottom="1440" w:left="1800" w:header="851" w:footer="992" w:gutter="0"/>
          <w:cols w:space="425"/>
          <w:docGrid w:type="lines" w:linePitch="312"/>
        </w:sectPr>
      </w:pPr>
    </w:p>
    <w:p w:rsidR="00E73CC0" w:rsidRPr="00514F68" w:rsidRDefault="00514F68" w:rsidP="00E73CC0">
      <w:pPr>
        <w:rPr>
          <w:rFonts w:cs="Times New Roman"/>
          <w:sz w:val="22"/>
          <w:szCs w:val="22"/>
        </w:rPr>
      </w:pPr>
      <w:r w:rsidRPr="00514F68">
        <w:rPr>
          <w:rFonts w:cs="Times New Roman"/>
          <w:b/>
          <w:sz w:val="22"/>
          <w:szCs w:val="22"/>
        </w:rPr>
        <w:lastRenderedPageBreak/>
        <w:t xml:space="preserve">Supplemental </w:t>
      </w:r>
      <w:r w:rsidR="002020C7">
        <w:rPr>
          <w:rFonts w:cs="Times New Roman"/>
          <w:b/>
          <w:sz w:val="22"/>
          <w:szCs w:val="22"/>
        </w:rPr>
        <w:t>T</w:t>
      </w:r>
      <w:r w:rsidR="00E73CC0" w:rsidRPr="00514F68">
        <w:rPr>
          <w:rFonts w:cs="Times New Roman"/>
          <w:b/>
          <w:sz w:val="22"/>
          <w:szCs w:val="22"/>
        </w:rPr>
        <w:t xml:space="preserve">able </w:t>
      </w:r>
      <w:r w:rsidR="00D31208">
        <w:rPr>
          <w:rFonts w:cs="Times New Roman"/>
          <w:b/>
          <w:sz w:val="22"/>
          <w:szCs w:val="22"/>
        </w:rPr>
        <w:t>S</w:t>
      </w:r>
      <w:r w:rsidR="00E73CC0" w:rsidRPr="00514F68">
        <w:rPr>
          <w:rFonts w:cs="Times New Roman"/>
          <w:b/>
          <w:sz w:val="22"/>
          <w:szCs w:val="22"/>
        </w:rPr>
        <w:t xml:space="preserve">2. </w:t>
      </w:r>
      <w:bookmarkStart w:id="40" w:name="OLE_LINK193"/>
      <w:bookmarkStart w:id="41" w:name="OLE_LINK194"/>
      <w:r w:rsidR="00E73CC0" w:rsidRPr="00514F68">
        <w:rPr>
          <w:rFonts w:cs="Times New Roman"/>
          <w:sz w:val="22"/>
          <w:szCs w:val="22"/>
        </w:rPr>
        <w:t>Summary of serum total bilirubin levels in the meta-analysis</w:t>
      </w:r>
      <w:bookmarkEnd w:id="40"/>
      <w:bookmarkEnd w:id="41"/>
      <w:r w:rsidR="00D22D2A" w:rsidRPr="00514F68">
        <w:rPr>
          <w:rFonts w:cs="Times New Roman"/>
          <w:sz w:val="22"/>
          <w:szCs w:val="22"/>
        </w:rPr>
        <w:t>.</w:t>
      </w:r>
    </w:p>
    <w:tbl>
      <w:tblPr>
        <w:tblW w:w="13120" w:type="dxa"/>
        <w:tblLook w:val="04A0" w:firstRow="1" w:lastRow="0" w:firstColumn="1" w:lastColumn="0" w:noHBand="0" w:noVBand="1"/>
      </w:tblPr>
      <w:tblGrid>
        <w:gridCol w:w="1722"/>
        <w:gridCol w:w="616"/>
        <w:gridCol w:w="1139"/>
        <w:gridCol w:w="2283"/>
        <w:gridCol w:w="1820"/>
        <w:gridCol w:w="5540"/>
      </w:tblGrid>
      <w:tr w:rsidR="00E73CC0" w:rsidRPr="00D51AB0" w:rsidTr="00E73CC0">
        <w:trPr>
          <w:trHeight w:val="550"/>
        </w:trPr>
        <w:tc>
          <w:tcPr>
            <w:tcW w:w="1742" w:type="dxa"/>
            <w:tcBorders>
              <w:top w:val="single" w:sz="4" w:space="0" w:color="auto"/>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Author</w:t>
            </w:r>
          </w:p>
        </w:tc>
        <w:tc>
          <w:tcPr>
            <w:tcW w:w="558" w:type="dxa"/>
            <w:tcBorders>
              <w:top w:val="single" w:sz="4" w:space="0" w:color="auto"/>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Year</w:t>
            </w:r>
          </w:p>
        </w:tc>
        <w:tc>
          <w:tcPr>
            <w:tcW w:w="980" w:type="dxa"/>
            <w:tcBorders>
              <w:top w:val="single" w:sz="4" w:space="0" w:color="auto"/>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outcome</w:t>
            </w:r>
          </w:p>
        </w:tc>
        <w:tc>
          <w:tcPr>
            <w:tcW w:w="2308" w:type="dxa"/>
            <w:tcBorders>
              <w:top w:val="single" w:sz="4" w:space="0" w:color="auto"/>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bilirubin</w:t>
            </w:r>
          </w:p>
        </w:tc>
        <w:tc>
          <w:tcPr>
            <w:tcW w:w="1847" w:type="dxa"/>
            <w:tcBorders>
              <w:top w:val="single" w:sz="4" w:space="0" w:color="auto"/>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OR/RR/HR</w:t>
            </w:r>
          </w:p>
        </w:tc>
        <w:tc>
          <w:tcPr>
            <w:tcW w:w="5685" w:type="dxa"/>
            <w:tcBorders>
              <w:top w:val="single" w:sz="4" w:space="0" w:color="auto"/>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adjust items</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Chin </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2009</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Q1(&lt;0.4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age, gender, hypertension, systolic blood pressure, diastolic blood pressure, serum albumin, serum creatinine, urine protein 3+ or more by dipstick test, and bilirubin group</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Q4 (&gt;0.8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0.32 (0.13–0.77) </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Kawamoto </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2014</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0.2mg/dl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0.62 (0.462-0.83) </w:t>
            </w:r>
          </w:p>
        </w:tc>
        <w:tc>
          <w:tcPr>
            <w:tcW w:w="5685"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 xml:space="preserve">gender, age, body mass index, smoking status, diastolic blood pressure, antihypertensive medication, triglycerides, high density lipoprotein cholesterol, low density lipoprotein cholesterol, anti dyslipidemic medication, fasting blood glucose, antidiabetic medication, and uric acid </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Tanaka M(men)</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2014</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lowest group (&lt;0.6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age, history of smoking or alcohol intake, BMI, systolic blood pressure (SBP), FPG, LDL</w:t>
            </w:r>
            <w:r w:rsidRPr="00D51AB0">
              <w:rPr>
                <w:rFonts w:eastAsia="宋体" w:cs="Times New Roman"/>
                <w:color w:val="000000"/>
                <w:kern w:val="0"/>
                <w:sz w:val="20"/>
                <w:szCs w:val="20"/>
              </w:rPr>
              <w:t>，</w:t>
            </w:r>
            <w:r w:rsidRPr="00D51AB0">
              <w:rPr>
                <w:rFonts w:eastAsia="DengXian" w:cs="Times New Roman"/>
                <w:color w:val="000000"/>
                <w:kern w:val="0"/>
                <w:sz w:val="20"/>
                <w:szCs w:val="20"/>
              </w:rPr>
              <w:t>cholesterol, triglycerides, GGT, AST, ALT, UA, creatinine, total leukocyte count, total bilirubin and medication for hypertension, diabetes or dyslipidemia</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highest group (&gt;0.8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0.71(0.56-0.91)</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30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0.05mg/dl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0.97(0.95-0.99)</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Tanaka M(women)</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2014</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lowest group (&lt;0.5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highest group (&gt;0.7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0.73(0.52-1.02)</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0.05mg/dl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0.96(0.93-1)</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Ryu</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2014</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Q1&lt;0.9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age, smoking, alcohol intake, exercise GFR, CRP, AST, ALT, GGT and metabolic syndrome traits (high glucose, high blood pressure, low HDL cholesterol, high triglycerides and high BMI</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Q4&gt;1.5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1.03</w:t>
            </w:r>
            <w:r w:rsidRPr="00D51AB0">
              <w:rPr>
                <w:rFonts w:eastAsia="宋体" w:cs="Times New Roman"/>
                <w:kern w:val="0"/>
                <w:sz w:val="20"/>
                <w:szCs w:val="20"/>
              </w:rPr>
              <w:t>（</w:t>
            </w:r>
            <w:r w:rsidRPr="00D51AB0">
              <w:rPr>
                <w:rFonts w:eastAsia="DengXian" w:cs="Times New Roman"/>
                <w:kern w:val="0"/>
                <w:sz w:val="20"/>
                <w:szCs w:val="20"/>
              </w:rPr>
              <w:t>0.67-1.59</w:t>
            </w:r>
            <w:r w:rsidRPr="00D51AB0">
              <w:rPr>
                <w:rFonts w:eastAsia="宋体" w:cs="Times New Roman"/>
                <w:kern w:val="0"/>
                <w:sz w:val="20"/>
                <w:szCs w:val="20"/>
              </w:rPr>
              <w:t>）</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roofErr w:type="spellStart"/>
            <w:r w:rsidRPr="00D51AB0">
              <w:rPr>
                <w:rFonts w:eastAsia="DengXian" w:cs="Times New Roman"/>
                <w:kern w:val="0"/>
                <w:sz w:val="20"/>
                <w:szCs w:val="20"/>
              </w:rPr>
              <w:t>Riphagen</w:t>
            </w:r>
            <w:proofErr w:type="spellEnd"/>
            <w:r w:rsidR="00414508">
              <w:rPr>
                <w:rFonts w:eastAsia="DengXian" w:cs="Times New Roman"/>
                <w:kern w:val="0"/>
                <w:sz w:val="20"/>
                <w:szCs w:val="20"/>
              </w:rPr>
              <w:t xml:space="preserve"> </w:t>
            </w:r>
            <w:r w:rsidRPr="00D51AB0">
              <w:rPr>
                <w:rFonts w:eastAsia="DengXian" w:cs="Times New Roman"/>
                <w:kern w:val="0"/>
                <w:sz w:val="20"/>
                <w:szCs w:val="20"/>
              </w:rPr>
              <w:t>(RENAAL)</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2014</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total group (0.57±0.19)</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0.67</w:t>
            </w:r>
            <w:r w:rsidRPr="00D51AB0">
              <w:rPr>
                <w:rFonts w:eastAsia="DengXian" w:cs="Times New Roman"/>
                <w:kern w:val="0"/>
                <w:sz w:val="20"/>
                <w:szCs w:val="20"/>
              </w:rPr>
              <w:t>（</w:t>
            </w:r>
            <w:r w:rsidRPr="00D51AB0">
              <w:rPr>
                <w:rFonts w:eastAsia="DengXian" w:cs="Times New Roman"/>
                <w:kern w:val="0"/>
                <w:sz w:val="20"/>
                <w:szCs w:val="20"/>
              </w:rPr>
              <w:t>0.55-0.83</w:t>
            </w:r>
            <w:r w:rsidRPr="00D51AB0">
              <w:rPr>
                <w:rFonts w:eastAsia="DengXian" w:cs="Times New Roman"/>
                <w:kern w:val="0"/>
                <w:sz w:val="20"/>
                <w:szCs w:val="20"/>
              </w:rPr>
              <w:t>）</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 xml:space="preserve">adjusted for age, sex, baseline eGFR, baseline log ACR, race, smoking, history of CVD, baseline BMI, total cholesterol, </w:t>
            </w:r>
            <w:r w:rsidRPr="00D51AB0">
              <w:rPr>
                <w:rFonts w:eastAsia="DengXian" w:cs="Times New Roman"/>
                <w:color w:val="000000"/>
                <w:kern w:val="0"/>
                <w:sz w:val="20"/>
                <w:szCs w:val="20"/>
              </w:rPr>
              <w:lastRenderedPageBreak/>
              <w:t xml:space="preserve">diastolic blood pressure, HbA1c, treatment assignment, and log AST </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1.07(0.97-1.19)</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roofErr w:type="spellStart"/>
            <w:r w:rsidRPr="00D51AB0">
              <w:rPr>
                <w:rFonts w:eastAsia="DengXian" w:cs="Times New Roman"/>
                <w:kern w:val="0"/>
                <w:sz w:val="20"/>
                <w:szCs w:val="20"/>
              </w:rPr>
              <w:t>Riphagen</w:t>
            </w:r>
            <w:proofErr w:type="spellEnd"/>
            <w:r w:rsidR="00414508">
              <w:rPr>
                <w:rFonts w:eastAsia="DengXian" w:cs="Times New Roman"/>
                <w:kern w:val="0"/>
                <w:sz w:val="20"/>
                <w:szCs w:val="20"/>
              </w:rPr>
              <w:t xml:space="preserve"> </w:t>
            </w:r>
            <w:bookmarkStart w:id="42" w:name="_GoBack"/>
            <w:bookmarkEnd w:id="42"/>
            <w:r w:rsidRPr="00D51AB0">
              <w:rPr>
                <w:rFonts w:eastAsia="DengXian" w:cs="Times New Roman"/>
                <w:kern w:val="0"/>
                <w:sz w:val="20"/>
                <w:szCs w:val="20"/>
              </w:rPr>
              <w:t>(IDNT)</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2014</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total group (0.54±0.21)</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0.64</w:t>
            </w:r>
            <w:r w:rsidRPr="00D51AB0">
              <w:rPr>
                <w:rFonts w:eastAsia="宋体" w:cs="Times New Roman"/>
                <w:kern w:val="0"/>
                <w:sz w:val="20"/>
                <w:szCs w:val="20"/>
              </w:rPr>
              <w:t>（</w:t>
            </w:r>
            <w:r w:rsidRPr="00D51AB0">
              <w:rPr>
                <w:rFonts w:eastAsia="DengXian" w:cs="Times New Roman"/>
                <w:kern w:val="0"/>
                <w:sz w:val="20"/>
                <w:szCs w:val="20"/>
              </w:rPr>
              <w:t>0.55-0.76</w:t>
            </w:r>
            <w:r w:rsidRPr="00D51AB0">
              <w:rPr>
                <w:rFonts w:eastAsia="宋体" w:cs="Times New Roman"/>
                <w:kern w:val="0"/>
                <w:sz w:val="20"/>
                <w:szCs w:val="20"/>
              </w:rPr>
              <w:t>）</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1.05(0.97-1.13)</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Tanaka S</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2015</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Q1&lt;0.40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 xml:space="preserve">age, sex and clinical parameters (serum albumin, urinary protein excretion, estimated glomerular filtration rate) and pathological parameters (mesangial </w:t>
            </w:r>
            <w:proofErr w:type="spellStart"/>
            <w:r w:rsidRPr="00D51AB0">
              <w:rPr>
                <w:rFonts w:eastAsia="DengXian" w:cs="Times New Roman"/>
                <w:color w:val="000000"/>
                <w:kern w:val="0"/>
                <w:sz w:val="20"/>
                <w:szCs w:val="20"/>
              </w:rPr>
              <w:t>hypercellularity</w:t>
            </w:r>
            <w:proofErr w:type="spellEnd"/>
            <w:r w:rsidRPr="00D51AB0">
              <w:rPr>
                <w:rFonts w:eastAsia="DengXian" w:cs="Times New Roman"/>
                <w:color w:val="000000"/>
                <w:kern w:val="0"/>
                <w:sz w:val="20"/>
                <w:szCs w:val="20"/>
              </w:rPr>
              <w:t xml:space="preserve"> score, segmental glomerulosclerosis, tubular atrophy/interstitial fibrosis) </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Q5 &gt;0.80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0.19(0.06-0.63)</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1.18(1.04-1.33)</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Sakoh</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2015</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lowest group ≤0.3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adjusted for age and sex, smoking, diabetes mellitus, systolic blood pressure, and dyslipidemia,</w:t>
            </w:r>
            <w:r w:rsidR="00B806F6" w:rsidRPr="00D51AB0">
              <w:rPr>
                <w:rFonts w:eastAsia="DengXian" w:cs="Times New Roman"/>
                <w:color w:val="000000"/>
                <w:kern w:val="0"/>
                <w:sz w:val="20"/>
                <w:szCs w:val="20"/>
              </w:rPr>
              <w:t xml:space="preserve"> </w:t>
            </w:r>
            <w:r w:rsidRPr="00D51AB0">
              <w:rPr>
                <w:rFonts w:eastAsia="DengXian" w:cs="Times New Roman"/>
                <w:color w:val="000000"/>
                <w:kern w:val="0"/>
                <w:sz w:val="20"/>
                <w:szCs w:val="20"/>
              </w:rPr>
              <w:t xml:space="preserve">use of immunosuppressants, use of RAAS inhibitors, daily proteinuria, hemoglobin, eGFR, and serum phosphorus. </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highest group &gt;0.8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0.23(0.08-0.55)</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0.73(0.6-0.87)</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Lee(men)</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2015</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Q1 &lt;0.5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 xml:space="preserve">age, BMI, smoking, alcohol use, hypercholesterolemia, hyper- </w:t>
            </w:r>
            <w:r w:rsidR="00B806F6" w:rsidRPr="00D51AB0">
              <w:rPr>
                <w:rFonts w:eastAsia="DengXian" w:cs="Times New Roman"/>
                <w:color w:val="000000"/>
                <w:kern w:val="0"/>
                <w:sz w:val="20"/>
                <w:szCs w:val="20"/>
              </w:rPr>
              <w:t>triglyceridemic</w:t>
            </w:r>
            <w:r w:rsidRPr="00D51AB0">
              <w:rPr>
                <w:rFonts w:eastAsia="DengXian" w:cs="Times New Roman"/>
                <w:color w:val="000000"/>
                <w:kern w:val="0"/>
                <w:sz w:val="20"/>
                <w:szCs w:val="20"/>
              </w:rPr>
              <w:t xml:space="preserve">, low HDL-C, use of anti-hyperlip- idemic medications, hypertension, diabetes, hyperuricemia, and history of CVD </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Q4 &gt;0.9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0.49 (0.32-0.74) </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0.94(0.91-0.98)</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Lee(women)</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2015</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Q1 &lt;0.4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Q4 &gt;0.8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0.35 (0.17-0.70) </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0.9(0.82-0.98)</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Wang</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2016</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Q1&lt;0.70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 xml:space="preserve"> age, sex, central obesity, education, smoking status, drinking status, physical activity, systolic pressure, triglyceride, high density lipoproteins, use of medications (hypotensor, lipid-lowering)</w:t>
            </w:r>
            <w:r w:rsidRPr="00D51AB0">
              <w:rPr>
                <w:rFonts w:eastAsia="宋体" w:cs="Times New Roman"/>
                <w:color w:val="000000"/>
                <w:kern w:val="0"/>
                <w:sz w:val="20"/>
                <w:szCs w:val="20"/>
              </w:rPr>
              <w:t>，</w:t>
            </w:r>
            <w:r w:rsidRPr="00D51AB0">
              <w:rPr>
                <w:rFonts w:eastAsia="DengXian" w:cs="Times New Roman"/>
                <w:color w:val="000000"/>
                <w:kern w:val="0"/>
                <w:sz w:val="20"/>
                <w:szCs w:val="20"/>
              </w:rPr>
              <w:t>liver function (alkaline phosphatase, alanine aminotransferase, aspartate aminotransferase)</w:t>
            </w:r>
            <w:r w:rsidRPr="00D51AB0">
              <w:rPr>
                <w:rFonts w:eastAsia="宋体" w:cs="Times New Roman"/>
                <w:color w:val="000000"/>
                <w:kern w:val="0"/>
                <w:sz w:val="20"/>
                <w:szCs w:val="20"/>
              </w:rPr>
              <w:t>，</w:t>
            </w:r>
            <w:r w:rsidRPr="00D51AB0">
              <w:rPr>
                <w:rFonts w:eastAsia="DengXian" w:cs="Times New Roman"/>
                <w:color w:val="000000"/>
                <w:kern w:val="0"/>
                <w:sz w:val="20"/>
                <w:szCs w:val="20"/>
              </w:rPr>
              <w:t>fasting plasma glucose, use of antidiabetic, and duration of diabetes</w:t>
            </w:r>
            <w:r w:rsidRPr="00D51AB0">
              <w:rPr>
                <w:rFonts w:eastAsia="宋体" w:cs="Times New Roman"/>
                <w:color w:val="000000"/>
                <w:kern w:val="0"/>
                <w:sz w:val="20"/>
                <w:szCs w:val="20"/>
              </w:rPr>
              <w:t>，</w:t>
            </w:r>
            <w:r w:rsidRPr="00D51AB0">
              <w:rPr>
                <w:rFonts w:eastAsia="DengXian" w:cs="Times New Roman"/>
                <w:color w:val="000000"/>
                <w:kern w:val="0"/>
                <w:sz w:val="20"/>
                <w:szCs w:val="20"/>
              </w:rPr>
              <w:t xml:space="preserve"> use of aspirin</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Q3 &gt;0.90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0.74 (0.56-0.98) </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Ahn Hee</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2017</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Q1 &lt;0.55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NA</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Q4 &gt;0.88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0.31(0.04-1.96)</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Su</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2017</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Death</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Q1&lt;0.3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age, sex</w:t>
            </w:r>
            <w:r w:rsidRPr="00D51AB0">
              <w:rPr>
                <w:rFonts w:eastAsia="DengXian" w:cs="Times New Roman"/>
                <w:color w:val="000000"/>
                <w:kern w:val="0"/>
                <w:sz w:val="20"/>
                <w:szCs w:val="20"/>
              </w:rPr>
              <w:t>，</w:t>
            </w:r>
            <w:r w:rsidRPr="00D51AB0">
              <w:rPr>
                <w:rFonts w:eastAsia="DengXian" w:cs="Times New Roman"/>
                <w:color w:val="000000"/>
                <w:kern w:val="0"/>
                <w:sz w:val="20"/>
                <w:szCs w:val="20"/>
              </w:rPr>
              <w:t>ALT, ferritin, uric acid, albumin, Hb, Ca, P, Kt/V, WBC, BUN, Cr, residual GFR</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Q4&gt;0.7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1.24</w:t>
            </w:r>
            <w:r w:rsidRPr="00D51AB0">
              <w:rPr>
                <w:rFonts w:eastAsia="DengXian" w:cs="Times New Roman"/>
                <w:kern w:val="0"/>
                <w:sz w:val="20"/>
                <w:szCs w:val="20"/>
              </w:rPr>
              <w:t>（</w:t>
            </w:r>
            <w:r w:rsidRPr="00D51AB0">
              <w:rPr>
                <w:rFonts w:eastAsia="DengXian" w:cs="Times New Roman"/>
                <w:kern w:val="0"/>
                <w:sz w:val="20"/>
                <w:szCs w:val="20"/>
              </w:rPr>
              <w:t>1.00-1.55</w:t>
            </w:r>
            <w:r w:rsidRPr="00D51AB0">
              <w:rPr>
                <w:rFonts w:eastAsia="DengXian" w:cs="Times New Roman"/>
                <w:kern w:val="0"/>
                <w:sz w:val="20"/>
                <w:szCs w:val="20"/>
              </w:rPr>
              <w:t>）</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1.05</w:t>
            </w:r>
            <w:r w:rsidRPr="00D51AB0">
              <w:rPr>
                <w:rFonts w:eastAsia="DengXian" w:cs="Times New Roman"/>
                <w:kern w:val="0"/>
                <w:sz w:val="20"/>
                <w:szCs w:val="20"/>
              </w:rPr>
              <w:t>（</w:t>
            </w:r>
            <w:r w:rsidRPr="00D51AB0">
              <w:rPr>
                <w:rFonts w:eastAsia="DengXian" w:cs="Times New Roman"/>
                <w:kern w:val="0"/>
                <w:sz w:val="20"/>
                <w:szCs w:val="20"/>
              </w:rPr>
              <w:t>1.01-1.09</w:t>
            </w:r>
            <w:r w:rsidRPr="00D51AB0">
              <w:rPr>
                <w:rFonts w:eastAsia="DengXian" w:cs="Times New Roman"/>
                <w:kern w:val="0"/>
                <w:sz w:val="20"/>
                <w:szCs w:val="20"/>
              </w:rPr>
              <w:t>）</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Yang</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2017</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RRT/Death</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middle group 0.5-0.6mg/dL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age, sex, diabetes mellitus, hypertension, heart failure, left ventricular hypertrophy, cerebrovascular accident, coronary artery disease, history of myocardial infarction, and antihypertensive agents, aspartate aminotransferase, alanine aminotransferase, ferritin, iron, uric acid, total iron binding capacity, albumin, hemotocrit, calcium, phosphorus, intact-parathyroid hormone, alkaline phosphatase, Kt/V (a measure of dialysis adequacy)</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highest group &gt;0.6mg/dL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1.44(1.08-1.92)</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Liu</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2018</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RRT/Death</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Q1 &lt;0.29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 xml:space="preserve">sex, history of smoking, hemoglobin, serum albumin, alanine aminotransferase, aspartate aminotransferase, serum phosphorus, calcium, 24-hour urine protein </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Q4 &gt;0.66 mg/dL </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0.12 (0.03–0.38) </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Wang</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2018</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T1&lt;0.50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age, sex, treatment group, systolic blood pressure, body mass index, smoking status, alcohol intake, eGFR, proteinuria, serum glucose, total cholesterol, alanine aminotransferase, aspartate transaminase at baseline, and time-averaged systolic blood pressure during treatment</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T3 &gt;0.68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0.71</w:t>
            </w:r>
            <w:r w:rsidRPr="00D51AB0">
              <w:rPr>
                <w:rFonts w:eastAsia="宋体" w:cs="Times New Roman"/>
                <w:kern w:val="0"/>
                <w:sz w:val="20"/>
                <w:szCs w:val="20"/>
              </w:rPr>
              <w:t>（</w:t>
            </w:r>
            <w:r w:rsidRPr="00D51AB0">
              <w:rPr>
                <w:rFonts w:eastAsia="DengXian" w:cs="Times New Roman"/>
                <w:kern w:val="0"/>
                <w:sz w:val="20"/>
                <w:szCs w:val="20"/>
              </w:rPr>
              <w:t>0.51-0.97</w:t>
            </w:r>
            <w:r w:rsidRPr="00D51AB0">
              <w:rPr>
                <w:rFonts w:eastAsia="宋体" w:cs="Times New Roman"/>
                <w:kern w:val="0"/>
                <w:sz w:val="20"/>
                <w:szCs w:val="20"/>
              </w:rPr>
              <w:t>）</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SD increase</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0.8(0.7-0.92)</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Wu</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2019</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CKD5</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low group &lt;0.43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gender, age, the duration of diabetes, hypertension, anemia, serum glucose and eGFR</w:t>
            </w: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high group&gt;0.43mg/dL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0.40(0.07-2.22)</w:t>
            </w:r>
          </w:p>
        </w:tc>
        <w:tc>
          <w:tcPr>
            <w:tcW w:w="5685" w:type="dxa"/>
            <w:vMerge/>
            <w:tcBorders>
              <w:top w:val="nil"/>
              <w:left w:val="nil"/>
              <w:bottom w:val="nil"/>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24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Tsujikawa </w:t>
            </w: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2019</w:t>
            </w: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RRT</w:t>
            </w: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T1 &lt;0.30 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1.00 </w:t>
            </w:r>
          </w:p>
        </w:tc>
        <w:tc>
          <w:tcPr>
            <w:tcW w:w="5685" w:type="dxa"/>
            <w:vMerge w:val="restart"/>
            <w:tcBorders>
              <w:top w:val="nil"/>
              <w:left w:val="nil"/>
              <w:bottom w:val="single" w:sz="4" w:space="0" w:color="000000"/>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age, sex, diabetic nephropathy, renal Kt/V, and hemoglobin</w:t>
            </w:r>
          </w:p>
        </w:tc>
      </w:tr>
      <w:tr w:rsidR="00E73CC0" w:rsidRPr="00D51AB0" w:rsidTr="00E73CC0">
        <w:trPr>
          <w:trHeight w:val="300"/>
        </w:trPr>
        <w:tc>
          <w:tcPr>
            <w:tcW w:w="1742"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p>
        </w:tc>
        <w:tc>
          <w:tcPr>
            <w:tcW w:w="55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980"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Times New Roman" w:cs="Times New Roman"/>
                <w:kern w:val="0"/>
                <w:sz w:val="20"/>
                <w:szCs w:val="20"/>
              </w:rPr>
            </w:pPr>
          </w:p>
        </w:tc>
        <w:tc>
          <w:tcPr>
            <w:tcW w:w="2308"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T3 &gt;0.30mg/dL</w:t>
            </w:r>
          </w:p>
        </w:tc>
        <w:tc>
          <w:tcPr>
            <w:tcW w:w="1847" w:type="dxa"/>
            <w:tcBorders>
              <w:top w:val="nil"/>
              <w:left w:val="nil"/>
              <w:bottom w:val="nil"/>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0.26(0.06-1.0)</w:t>
            </w:r>
          </w:p>
        </w:tc>
        <w:tc>
          <w:tcPr>
            <w:tcW w:w="5685" w:type="dxa"/>
            <w:vMerge/>
            <w:tcBorders>
              <w:top w:val="nil"/>
              <w:left w:val="nil"/>
              <w:bottom w:val="single" w:sz="4" w:space="0" w:color="000000"/>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r w:rsidR="00E73CC0" w:rsidRPr="00D51AB0" w:rsidTr="00E73CC0">
        <w:trPr>
          <w:trHeight w:val="300"/>
        </w:trPr>
        <w:tc>
          <w:tcPr>
            <w:tcW w:w="1742" w:type="dxa"/>
            <w:tcBorders>
              <w:top w:val="nil"/>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w:t>
            </w:r>
          </w:p>
        </w:tc>
        <w:tc>
          <w:tcPr>
            <w:tcW w:w="558" w:type="dxa"/>
            <w:tcBorders>
              <w:top w:val="nil"/>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 xml:space="preserve">　</w:t>
            </w:r>
          </w:p>
        </w:tc>
        <w:tc>
          <w:tcPr>
            <w:tcW w:w="980" w:type="dxa"/>
            <w:tcBorders>
              <w:top w:val="nil"/>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color w:val="000000"/>
                <w:kern w:val="0"/>
                <w:sz w:val="20"/>
                <w:szCs w:val="20"/>
              </w:rPr>
            </w:pPr>
            <w:r w:rsidRPr="00D51AB0">
              <w:rPr>
                <w:rFonts w:eastAsia="DengXian" w:cs="Times New Roman"/>
                <w:color w:val="000000"/>
                <w:kern w:val="0"/>
                <w:sz w:val="20"/>
                <w:szCs w:val="20"/>
              </w:rPr>
              <w:t xml:space="preserve">　</w:t>
            </w:r>
          </w:p>
        </w:tc>
        <w:tc>
          <w:tcPr>
            <w:tcW w:w="2308" w:type="dxa"/>
            <w:tcBorders>
              <w:top w:val="nil"/>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per 0.1mg/dl increase</w:t>
            </w:r>
          </w:p>
        </w:tc>
        <w:tc>
          <w:tcPr>
            <w:tcW w:w="1847" w:type="dxa"/>
            <w:tcBorders>
              <w:top w:val="nil"/>
              <w:left w:val="nil"/>
              <w:bottom w:val="single" w:sz="4" w:space="0" w:color="auto"/>
              <w:right w:val="nil"/>
            </w:tcBorders>
            <w:shd w:val="clear" w:color="auto" w:fill="auto"/>
            <w:vAlign w:val="center"/>
            <w:hideMark/>
          </w:tcPr>
          <w:p w:rsidR="00E73CC0" w:rsidRPr="00D51AB0" w:rsidRDefault="00E73CC0" w:rsidP="00E73CC0">
            <w:pPr>
              <w:widowControl/>
              <w:jc w:val="center"/>
              <w:rPr>
                <w:rFonts w:eastAsia="DengXian" w:cs="Times New Roman"/>
                <w:kern w:val="0"/>
                <w:sz w:val="20"/>
                <w:szCs w:val="20"/>
              </w:rPr>
            </w:pPr>
            <w:r w:rsidRPr="00D51AB0">
              <w:rPr>
                <w:rFonts w:eastAsia="DengXian" w:cs="Times New Roman"/>
                <w:kern w:val="0"/>
                <w:sz w:val="20"/>
                <w:szCs w:val="20"/>
              </w:rPr>
              <w:t>1.50(1.01-2.51)</w:t>
            </w:r>
          </w:p>
        </w:tc>
        <w:tc>
          <w:tcPr>
            <w:tcW w:w="5685" w:type="dxa"/>
            <w:vMerge/>
            <w:tcBorders>
              <w:top w:val="nil"/>
              <w:left w:val="nil"/>
              <w:bottom w:val="single" w:sz="4" w:space="0" w:color="000000"/>
              <w:right w:val="nil"/>
            </w:tcBorders>
            <w:vAlign w:val="center"/>
            <w:hideMark/>
          </w:tcPr>
          <w:p w:rsidR="00E73CC0" w:rsidRPr="00D51AB0" w:rsidRDefault="00E73CC0" w:rsidP="00E73CC0">
            <w:pPr>
              <w:widowControl/>
              <w:jc w:val="left"/>
              <w:rPr>
                <w:rFonts w:eastAsia="DengXian" w:cs="Times New Roman"/>
                <w:color w:val="000000"/>
                <w:kern w:val="0"/>
                <w:sz w:val="20"/>
                <w:szCs w:val="20"/>
              </w:rPr>
            </w:pPr>
          </w:p>
        </w:tc>
      </w:tr>
    </w:tbl>
    <w:p w:rsidR="00E73CC0" w:rsidRPr="00D51AB0" w:rsidRDefault="00E73CC0" w:rsidP="00E73CC0">
      <w:pPr>
        <w:rPr>
          <w:rFonts w:cs="Times New Roman"/>
        </w:rPr>
        <w:sectPr w:rsidR="00E73CC0" w:rsidRPr="00D51AB0" w:rsidSect="00E73CC0">
          <w:pgSz w:w="16840" w:h="11900" w:orient="landscape"/>
          <w:pgMar w:top="1800" w:right="1440" w:bottom="1800" w:left="1440" w:header="851" w:footer="992" w:gutter="0"/>
          <w:cols w:space="425"/>
          <w:docGrid w:type="lines" w:linePitch="312"/>
        </w:sectPr>
      </w:pPr>
    </w:p>
    <w:p w:rsidR="00E73CC0" w:rsidRPr="00514F68" w:rsidRDefault="00514F68" w:rsidP="00B20BCA">
      <w:pPr>
        <w:spacing w:line="480" w:lineRule="auto"/>
        <w:rPr>
          <w:rFonts w:cs="Times New Roman"/>
          <w:sz w:val="22"/>
          <w:szCs w:val="22"/>
        </w:rPr>
      </w:pPr>
      <w:bookmarkStart w:id="43" w:name="OLE_LINK140"/>
      <w:bookmarkStart w:id="44" w:name="OLE_LINK141"/>
      <w:r w:rsidRPr="00514F68">
        <w:rPr>
          <w:rFonts w:cs="Times New Roman"/>
          <w:b/>
          <w:sz w:val="22"/>
          <w:szCs w:val="22"/>
        </w:rPr>
        <w:lastRenderedPageBreak/>
        <w:t>Supplemental</w:t>
      </w:r>
      <w:r w:rsidRPr="00514F68">
        <w:rPr>
          <w:rFonts w:cs="Times New Roman"/>
          <w:noProof/>
          <w:sz w:val="22"/>
          <w:szCs w:val="22"/>
        </w:rPr>
        <w:t xml:space="preserve"> </w:t>
      </w:r>
      <w:r w:rsidR="00E67E6D" w:rsidRPr="00514F68">
        <w:rPr>
          <w:rFonts w:cs="Times New Roman"/>
          <w:noProof/>
          <w:sz w:val="22"/>
          <w:szCs w:val="22"/>
        </w:rPr>
        <w:drawing>
          <wp:anchor distT="0" distB="0" distL="114300" distR="114300" simplePos="0" relativeHeight="251658240" behindDoc="0" locked="0" layoutInCell="1" allowOverlap="1">
            <wp:simplePos x="0" y="0"/>
            <wp:positionH relativeFrom="column">
              <wp:posOffset>5080</wp:posOffset>
            </wp:positionH>
            <wp:positionV relativeFrom="paragraph">
              <wp:posOffset>307975</wp:posOffset>
            </wp:positionV>
            <wp:extent cx="4944110" cy="305117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tif"/>
                    <pic:cNvPicPr/>
                  </pic:nvPicPr>
                  <pic:blipFill rotWithShape="1">
                    <a:blip r:embed="rId9">
                      <a:extLst>
                        <a:ext uri="{28A0092B-C50C-407E-A947-70E740481C1C}">
                          <a14:useLocalDpi xmlns:a14="http://schemas.microsoft.com/office/drawing/2010/main" val="0"/>
                        </a:ext>
                      </a:extLst>
                    </a:blip>
                    <a:srcRect l="3645" t="7698" r="2484" b="4745"/>
                    <a:stretch/>
                  </pic:blipFill>
                  <pic:spPr bwMode="auto">
                    <a:xfrm>
                      <a:off x="0" y="0"/>
                      <a:ext cx="4944110" cy="3051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5" w:name="OLE_LINK197"/>
      <w:bookmarkStart w:id="46" w:name="OLE_LINK198"/>
      <w:r w:rsidR="00D31208">
        <w:rPr>
          <w:rFonts w:cs="Times New Roman"/>
          <w:b/>
          <w:sz w:val="22"/>
          <w:szCs w:val="22"/>
        </w:rPr>
        <w:t>f</w:t>
      </w:r>
      <w:r w:rsidR="00E73CC0" w:rsidRPr="00514F68">
        <w:rPr>
          <w:rFonts w:cs="Times New Roman"/>
          <w:b/>
          <w:sz w:val="22"/>
          <w:szCs w:val="22"/>
        </w:rPr>
        <w:t xml:space="preserve">igure </w:t>
      </w:r>
      <w:r w:rsidR="00D31208">
        <w:rPr>
          <w:rFonts w:cs="Times New Roman"/>
          <w:b/>
          <w:sz w:val="22"/>
          <w:szCs w:val="22"/>
        </w:rPr>
        <w:t>S</w:t>
      </w:r>
      <w:r w:rsidR="00973BFF" w:rsidRPr="00514F68">
        <w:rPr>
          <w:rFonts w:cs="Times New Roman"/>
          <w:b/>
          <w:sz w:val="22"/>
          <w:szCs w:val="22"/>
        </w:rPr>
        <w:t>1</w:t>
      </w:r>
      <w:r w:rsidR="00E73CC0" w:rsidRPr="00514F68">
        <w:rPr>
          <w:rFonts w:cs="Times New Roman"/>
          <w:b/>
          <w:sz w:val="22"/>
          <w:szCs w:val="22"/>
        </w:rPr>
        <w:t>.</w:t>
      </w:r>
      <w:bookmarkEnd w:id="43"/>
      <w:bookmarkEnd w:id="44"/>
      <w:r w:rsidR="00E73CC0" w:rsidRPr="00514F68">
        <w:rPr>
          <w:rFonts w:cs="Times New Roman"/>
          <w:b/>
          <w:sz w:val="22"/>
          <w:szCs w:val="22"/>
        </w:rPr>
        <w:t xml:space="preserve"> </w:t>
      </w:r>
      <w:r w:rsidR="00E73CC0" w:rsidRPr="00514F68">
        <w:rPr>
          <w:rFonts w:cs="Times New Roman"/>
          <w:sz w:val="22"/>
          <w:szCs w:val="22"/>
        </w:rPr>
        <w:t>Association of serum bilirubin with the risk of mortality</w:t>
      </w:r>
      <w:bookmarkEnd w:id="45"/>
      <w:bookmarkEnd w:id="46"/>
      <w:r w:rsidR="00D22D2A" w:rsidRPr="00514F68">
        <w:rPr>
          <w:rFonts w:cs="Times New Roman"/>
          <w:sz w:val="22"/>
          <w:szCs w:val="22"/>
        </w:rPr>
        <w:t>.</w:t>
      </w:r>
    </w:p>
    <w:p w:rsidR="00E67E6D" w:rsidRPr="00514F68" w:rsidRDefault="00E73CC0" w:rsidP="00973BFF">
      <w:pPr>
        <w:spacing w:line="480" w:lineRule="auto"/>
        <w:rPr>
          <w:rFonts w:cs="Times New Roman"/>
          <w:sz w:val="22"/>
          <w:szCs w:val="22"/>
        </w:rPr>
      </w:pPr>
      <w:r w:rsidRPr="00514F68">
        <w:rPr>
          <w:rFonts w:cs="Times New Roman"/>
          <w:sz w:val="22"/>
          <w:szCs w:val="22"/>
        </w:rPr>
        <w:t xml:space="preserve">Random-effects model analysis for overall HR (0.77, 95% CI=0.42-1.41) of mortality </w:t>
      </w:r>
      <w:bookmarkStart w:id="47" w:name="OLE_LINK148"/>
      <w:bookmarkStart w:id="48" w:name="OLE_LINK149"/>
      <w:r w:rsidRPr="00514F68">
        <w:rPr>
          <w:rFonts w:cs="Times New Roman"/>
          <w:sz w:val="22"/>
          <w:szCs w:val="22"/>
        </w:rPr>
        <w:t>for the highest compared with the lowest category</w:t>
      </w:r>
      <w:bookmarkEnd w:id="47"/>
      <w:bookmarkEnd w:id="48"/>
      <w:r w:rsidRPr="00514F68">
        <w:rPr>
          <w:rFonts w:cs="Times New Roman"/>
          <w:sz w:val="22"/>
          <w:szCs w:val="22"/>
        </w:rPr>
        <w:t xml:space="preserve"> of serum total bilirubin levels.</w:t>
      </w:r>
    </w:p>
    <w:p w:rsidR="00E67E6D" w:rsidRPr="00514F68" w:rsidRDefault="00E67E6D" w:rsidP="00B20BCA">
      <w:pPr>
        <w:tabs>
          <w:tab w:val="center" w:pos="4150"/>
        </w:tabs>
        <w:spacing w:line="480" w:lineRule="auto"/>
        <w:rPr>
          <w:rFonts w:cs="Times New Roman"/>
          <w:sz w:val="22"/>
          <w:szCs w:val="22"/>
        </w:rPr>
        <w:sectPr w:rsidR="00E67E6D" w:rsidRPr="00514F68" w:rsidSect="00E73CC0">
          <w:pgSz w:w="11900" w:h="16840"/>
          <w:pgMar w:top="1440" w:right="1800" w:bottom="1440" w:left="1800" w:header="851" w:footer="992" w:gutter="0"/>
          <w:cols w:space="425"/>
          <w:docGrid w:type="lines" w:linePitch="312"/>
        </w:sectPr>
      </w:pPr>
    </w:p>
    <w:p w:rsidR="00C04510" w:rsidRPr="00514F68" w:rsidRDefault="00514F68" w:rsidP="00B20BCA">
      <w:pPr>
        <w:spacing w:line="480" w:lineRule="auto"/>
        <w:rPr>
          <w:rFonts w:cs="Times New Roman"/>
          <w:color w:val="000000" w:themeColor="text1"/>
          <w:sz w:val="22"/>
          <w:szCs w:val="22"/>
        </w:rPr>
      </w:pPr>
      <w:bookmarkStart w:id="49" w:name="OLE_LINK144"/>
      <w:bookmarkStart w:id="50" w:name="OLE_LINK145"/>
      <w:bookmarkStart w:id="51" w:name="OLE_LINK199"/>
      <w:bookmarkStart w:id="52" w:name="OLE_LINK200"/>
      <w:r w:rsidRPr="00514F68">
        <w:rPr>
          <w:rFonts w:cs="Times New Roman"/>
          <w:b/>
          <w:sz w:val="22"/>
          <w:szCs w:val="22"/>
        </w:rPr>
        <w:lastRenderedPageBreak/>
        <w:t xml:space="preserve">Supplemental </w:t>
      </w:r>
      <w:r w:rsidR="00D31208">
        <w:rPr>
          <w:rFonts w:cs="Times New Roman"/>
          <w:b/>
          <w:sz w:val="22"/>
          <w:szCs w:val="22"/>
        </w:rPr>
        <w:t>f</w:t>
      </w:r>
      <w:r w:rsidR="00E73CC0" w:rsidRPr="00514F68">
        <w:rPr>
          <w:rFonts w:cs="Times New Roman"/>
          <w:b/>
          <w:sz w:val="22"/>
          <w:szCs w:val="22"/>
        </w:rPr>
        <w:t xml:space="preserve">igure </w:t>
      </w:r>
      <w:r w:rsidR="00D31208">
        <w:rPr>
          <w:rFonts w:cs="Times New Roman"/>
          <w:b/>
          <w:sz w:val="22"/>
          <w:szCs w:val="22"/>
        </w:rPr>
        <w:t>S</w:t>
      </w:r>
      <w:r w:rsidR="00973BFF" w:rsidRPr="00514F68">
        <w:rPr>
          <w:rFonts w:cs="Times New Roman"/>
          <w:b/>
          <w:sz w:val="22"/>
          <w:szCs w:val="22"/>
        </w:rPr>
        <w:t>2</w:t>
      </w:r>
      <w:r w:rsidR="00E73CC0" w:rsidRPr="00514F68">
        <w:rPr>
          <w:rFonts w:cs="Times New Roman"/>
          <w:b/>
          <w:sz w:val="22"/>
          <w:szCs w:val="22"/>
        </w:rPr>
        <w:t>.</w:t>
      </w:r>
      <w:bookmarkEnd w:id="49"/>
      <w:bookmarkEnd w:id="50"/>
      <w:r w:rsidR="00E73CC0" w:rsidRPr="00514F68">
        <w:rPr>
          <w:rFonts w:cs="Times New Roman"/>
          <w:b/>
          <w:sz w:val="22"/>
          <w:szCs w:val="22"/>
        </w:rPr>
        <w:t xml:space="preserve"> </w:t>
      </w:r>
      <w:bookmarkStart w:id="53" w:name="OLE_LINK109"/>
      <w:bookmarkStart w:id="54" w:name="OLE_LINK110"/>
      <w:r w:rsidR="00C04510" w:rsidRPr="00514F68">
        <w:rPr>
          <w:rFonts w:cs="Times New Roman"/>
          <w:color w:val="000000" w:themeColor="text1"/>
          <w:sz w:val="22"/>
          <w:szCs w:val="22"/>
        </w:rPr>
        <w:t>Publication bias for 11 studies about</w:t>
      </w:r>
      <w:bookmarkEnd w:id="53"/>
      <w:bookmarkEnd w:id="54"/>
      <w:r w:rsidR="00C04510" w:rsidRPr="00514F68">
        <w:rPr>
          <w:rFonts w:cs="Times New Roman"/>
          <w:color w:val="000000" w:themeColor="text1"/>
          <w:sz w:val="22"/>
          <w:szCs w:val="22"/>
        </w:rPr>
        <w:t xml:space="preserve"> </w:t>
      </w:r>
      <w:r w:rsidR="00E67E6D" w:rsidRPr="00514F68">
        <w:rPr>
          <w:rFonts w:cs="Times New Roman"/>
          <w:color w:val="000000" w:themeColor="text1"/>
          <w:sz w:val="22"/>
          <w:szCs w:val="22"/>
        </w:rPr>
        <w:t xml:space="preserve">the </w:t>
      </w:r>
      <w:r w:rsidR="00C04510" w:rsidRPr="00514F68">
        <w:rPr>
          <w:rFonts w:cs="Times New Roman"/>
          <w:color w:val="000000" w:themeColor="text1"/>
          <w:sz w:val="22"/>
          <w:szCs w:val="22"/>
        </w:rPr>
        <w:t>association of STB levels with</w:t>
      </w:r>
      <w:r w:rsidR="000828D9" w:rsidRPr="00514F68">
        <w:rPr>
          <w:rFonts w:cs="Times New Roman"/>
          <w:color w:val="000000" w:themeColor="text1"/>
          <w:sz w:val="22"/>
          <w:szCs w:val="22"/>
        </w:rPr>
        <w:t xml:space="preserve"> the highest</w:t>
      </w:r>
      <w:r w:rsidR="00E67E6D" w:rsidRPr="00514F68">
        <w:rPr>
          <w:rFonts w:cs="Times New Roman"/>
          <w:color w:val="000000" w:themeColor="text1"/>
          <w:sz w:val="22"/>
          <w:szCs w:val="22"/>
        </w:rPr>
        <w:t xml:space="preserve"> compared</w:t>
      </w:r>
      <w:r w:rsidR="000828D9" w:rsidRPr="00514F68">
        <w:rPr>
          <w:rFonts w:cs="Times New Roman"/>
          <w:color w:val="000000" w:themeColor="text1"/>
          <w:sz w:val="22"/>
          <w:szCs w:val="22"/>
        </w:rPr>
        <w:t xml:space="preserve"> to the lowest group.</w:t>
      </w:r>
      <w:bookmarkEnd w:id="51"/>
      <w:bookmarkEnd w:id="52"/>
    </w:p>
    <w:p w:rsidR="00155FED" w:rsidRPr="00514F68" w:rsidRDefault="0015336E" w:rsidP="00B20BCA">
      <w:pPr>
        <w:spacing w:line="480" w:lineRule="auto"/>
        <w:rPr>
          <w:rFonts w:cs="Times New Roman"/>
          <w:sz w:val="22"/>
          <w:szCs w:val="22"/>
        </w:rPr>
      </w:pPr>
      <w:r w:rsidRPr="00514F68">
        <w:rPr>
          <w:rFonts w:cs="Times New Roman"/>
          <w:noProof/>
          <w:sz w:val="22"/>
          <w:szCs w:val="22"/>
        </w:rPr>
        <w:drawing>
          <wp:inline distT="0" distB="0" distL="0" distR="0">
            <wp:extent cx="5270500" cy="41840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4184015"/>
                    </a:xfrm>
                    <a:prstGeom prst="rect">
                      <a:avLst/>
                    </a:prstGeom>
                  </pic:spPr>
                </pic:pic>
              </a:graphicData>
            </a:graphic>
          </wp:inline>
        </w:drawing>
      </w:r>
    </w:p>
    <w:p w:rsidR="000828D9" w:rsidRPr="00514F68" w:rsidRDefault="00496EB9" w:rsidP="00B20BCA">
      <w:pPr>
        <w:pStyle w:val="a4"/>
        <w:numPr>
          <w:ilvl w:val="0"/>
          <w:numId w:val="1"/>
        </w:numPr>
        <w:spacing w:line="480" w:lineRule="auto"/>
        <w:ind w:left="0" w:firstLineChars="0" w:firstLine="0"/>
        <w:rPr>
          <w:rFonts w:cs="Times New Roman"/>
          <w:sz w:val="22"/>
          <w:szCs w:val="22"/>
        </w:rPr>
        <w:sectPr w:rsidR="000828D9" w:rsidRPr="00514F68" w:rsidSect="00E73CC0">
          <w:pgSz w:w="11900" w:h="16840"/>
          <w:pgMar w:top="1440" w:right="1800" w:bottom="1440" w:left="1800" w:header="851" w:footer="992" w:gutter="0"/>
          <w:cols w:space="425"/>
          <w:docGrid w:type="lines" w:linePitch="312"/>
        </w:sectPr>
      </w:pPr>
      <w:r w:rsidRPr="00514F68">
        <w:rPr>
          <w:rFonts w:cs="Times New Roman"/>
          <w:sz w:val="22"/>
          <w:szCs w:val="22"/>
        </w:rPr>
        <w:t>Funnel plot with Egger</w:t>
      </w:r>
      <w:r w:rsidR="0015336E" w:rsidRPr="00514F68">
        <w:rPr>
          <w:rFonts w:cs="Times New Roman"/>
          <w:sz w:val="22"/>
          <w:szCs w:val="22"/>
        </w:rPr>
        <w:t>’s</w:t>
      </w:r>
      <w:r w:rsidRPr="00514F68">
        <w:rPr>
          <w:rFonts w:cs="Times New Roman"/>
          <w:sz w:val="22"/>
          <w:szCs w:val="22"/>
        </w:rPr>
        <w:t xml:space="preserve"> test for the publication bias; (B) Begg’s funnel plot analysis to assess publication bias: Each point represents a separate study included in this meta-analysis; (C) Egger’s funnel plot after “trim-and-fill” procedure to adjust publication bias: Solid circles means study included in this meta-analysis; Hollow circles means four hypothetical unpublished prospective studies that distorted the symmetry of the funnel plot.</w:t>
      </w:r>
    </w:p>
    <w:p w:rsidR="00155FED" w:rsidRPr="00514F68" w:rsidRDefault="00514F68" w:rsidP="00B20BCA">
      <w:pPr>
        <w:pStyle w:val="a4"/>
        <w:spacing w:line="480" w:lineRule="auto"/>
        <w:ind w:firstLineChars="0" w:firstLine="0"/>
        <w:rPr>
          <w:rFonts w:cs="Times New Roman"/>
          <w:color w:val="000000" w:themeColor="text1"/>
          <w:sz w:val="22"/>
          <w:szCs w:val="22"/>
        </w:rPr>
      </w:pPr>
      <w:bookmarkStart w:id="55" w:name="OLE_LINK201"/>
      <w:bookmarkStart w:id="56" w:name="OLE_LINK202"/>
      <w:r w:rsidRPr="00514F68">
        <w:rPr>
          <w:rFonts w:cs="Times New Roman"/>
          <w:b/>
          <w:sz w:val="22"/>
          <w:szCs w:val="22"/>
        </w:rPr>
        <w:lastRenderedPageBreak/>
        <w:t xml:space="preserve">Supplemental </w:t>
      </w:r>
      <w:r w:rsidR="00D31208">
        <w:rPr>
          <w:rFonts w:cs="Times New Roman"/>
          <w:b/>
          <w:sz w:val="22"/>
          <w:szCs w:val="22"/>
        </w:rPr>
        <w:t>f</w:t>
      </w:r>
      <w:r w:rsidR="000828D9" w:rsidRPr="00514F68">
        <w:rPr>
          <w:rFonts w:cs="Times New Roman"/>
          <w:b/>
          <w:sz w:val="22"/>
          <w:szCs w:val="22"/>
        </w:rPr>
        <w:t xml:space="preserve">igure </w:t>
      </w:r>
      <w:r w:rsidR="00D31208">
        <w:rPr>
          <w:rFonts w:cs="Times New Roman"/>
          <w:b/>
          <w:sz w:val="22"/>
          <w:szCs w:val="22"/>
        </w:rPr>
        <w:t>S</w:t>
      </w:r>
      <w:r w:rsidR="00973BFF" w:rsidRPr="00514F68">
        <w:rPr>
          <w:rFonts w:cs="Times New Roman"/>
          <w:b/>
          <w:sz w:val="22"/>
          <w:szCs w:val="22"/>
        </w:rPr>
        <w:t>3</w:t>
      </w:r>
      <w:r w:rsidR="000828D9" w:rsidRPr="00514F68">
        <w:rPr>
          <w:rFonts w:cs="Times New Roman"/>
          <w:b/>
          <w:sz w:val="22"/>
          <w:szCs w:val="22"/>
        </w:rPr>
        <w:t xml:space="preserve">. </w:t>
      </w:r>
      <w:r w:rsidR="0015336E" w:rsidRPr="00514F68">
        <w:rPr>
          <w:rFonts w:cs="Times New Roman"/>
          <w:color w:val="000000" w:themeColor="text1"/>
          <w:sz w:val="22"/>
          <w:szCs w:val="22"/>
        </w:rPr>
        <w:t xml:space="preserve">Publication bias for 7 studies about </w:t>
      </w:r>
      <w:r w:rsidR="0015336E" w:rsidRPr="00514F68">
        <w:rPr>
          <w:rFonts w:cs="Times New Roman"/>
          <w:sz w:val="22"/>
          <w:szCs w:val="22"/>
        </w:rPr>
        <w:t>the effect of per 0.2mg/dl serum total bilirubin levels</w:t>
      </w:r>
      <w:r w:rsidR="0015336E" w:rsidRPr="00514F68">
        <w:rPr>
          <w:rFonts w:cs="Times New Roman"/>
          <w:color w:val="000000" w:themeColor="text1"/>
          <w:sz w:val="22"/>
          <w:szCs w:val="22"/>
        </w:rPr>
        <w:t>.</w:t>
      </w:r>
      <w:bookmarkEnd w:id="55"/>
      <w:bookmarkEnd w:id="56"/>
    </w:p>
    <w:p w:rsidR="0015336E" w:rsidRPr="00514F68" w:rsidRDefault="0015336E" w:rsidP="00B20BCA">
      <w:pPr>
        <w:pStyle w:val="a4"/>
        <w:spacing w:line="480" w:lineRule="auto"/>
        <w:ind w:firstLineChars="0" w:firstLine="0"/>
        <w:rPr>
          <w:rFonts w:cs="Times New Roman"/>
          <w:sz w:val="22"/>
          <w:szCs w:val="22"/>
        </w:rPr>
      </w:pPr>
      <w:r w:rsidRPr="00514F68">
        <w:rPr>
          <w:rFonts w:cs="Times New Roman"/>
          <w:noProof/>
          <w:sz w:val="22"/>
          <w:szCs w:val="22"/>
        </w:rPr>
        <w:drawing>
          <wp:inline distT="0" distB="0" distL="0" distR="0">
            <wp:extent cx="5270500" cy="42881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4288155"/>
                    </a:xfrm>
                    <a:prstGeom prst="rect">
                      <a:avLst/>
                    </a:prstGeom>
                  </pic:spPr>
                </pic:pic>
              </a:graphicData>
            </a:graphic>
          </wp:inline>
        </w:drawing>
      </w:r>
    </w:p>
    <w:p w:rsidR="0015336E" w:rsidRPr="00514F68" w:rsidRDefault="0015336E" w:rsidP="00B20BCA">
      <w:pPr>
        <w:spacing w:line="480" w:lineRule="auto"/>
        <w:rPr>
          <w:rFonts w:cs="Times New Roman"/>
          <w:sz w:val="22"/>
          <w:szCs w:val="22"/>
        </w:rPr>
        <w:sectPr w:rsidR="0015336E" w:rsidRPr="00514F68" w:rsidSect="00E73CC0">
          <w:pgSz w:w="11900" w:h="16840"/>
          <w:pgMar w:top="1440" w:right="1800" w:bottom="1440" w:left="1800" w:header="851" w:footer="992" w:gutter="0"/>
          <w:cols w:space="425"/>
          <w:docGrid w:type="lines" w:linePitch="312"/>
        </w:sectPr>
      </w:pPr>
      <w:r w:rsidRPr="00514F68">
        <w:rPr>
          <w:rFonts w:cs="Times New Roman"/>
          <w:sz w:val="22"/>
          <w:szCs w:val="22"/>
        </w:rPr>
        <w:t>(A) Funnel plot with Egger’s test for the publication bias; (B) Begg’s funnel plot analysis to assess publication bias: Each point represents a separate study included in this meta-analysis; (C) Egger’s funnel plot after “trim-and-fill” procedure to adjust publication bias: Solid circles means study included in this meta-analysis; Hollow circles means one hypothetical unpublished prospective study</w:t>
      </w:r>
      <w:r w:rsidR="00304CF8" w:rsidRPr="00304CF8">
        <w:t xml:space="preserve"> </w:t>
      </w:r>
      <w:r w:rsidR="00304CF8" w:rsidRPr="00304CF8">
        <w:rPr>
          <w:rFonts w:cs="Times New Roman"/>
          <w:sz w:val="22"/>
          <w:szCs w:val="22"/>
        </w:rPr>
        <w:t>w</w:t>
      </w:r>
      <w:r w:rsidR="00304CF8">
        <w:rPr>
          <w:rFonts w:cs="Times New Roman"/>
          <w:sz w:val="22"/>
          <w:szCs w:val="22"/>
        </w:rPr>
        <w:t>as</w:t>
      </w:r>
      <w:r w:rsidR="00304CF8" w:rsidRPr="00304CF8">
        <w:rPr>
          <w:rFonts w:cs="Times New Roman"/>
          <w:sz w:val="22"/>
          <w:szCs w:val="22"/>
        </w:rPr>
        <w:t xml:space="preserve"> added to make the funnel plot more symmetric</w:t>
      </w:r>
      <w:r w:rsidRPr="00514F68">
        <w:rPr>
          <w:rFonts w:cs="Times New Roman"/>
          <w:sz w:val="22"/>
          <w:szCs w:val="22"/>
        </w:rPr>
        <w:t xml:space="preserve">. </w:t>
      </w:r>
    </w:p>
    <w:p w:rsidR="0015336E" w:rsidRPr="00514F68" w:rsidRDefault="00514F68" w:rsidP="00B20BCA">
      <w:pPr>
        <w:pStyle w:val="a4"/>
        <w:spacing w:line="480" w:lineRule="auto"/>
        <w:ind w:firstLineChars="0" w:firstLine="0"/>
        <w:rPr>
          <w:rFonts w:cs="Times New Roman"/>
          <w:b/>
          <w:sz w:val="22"/>
          <w:szCs w:val="22"/>
        </w:rPr>
      </w:pPr>
      <w:bookmarkStart w:id="57" w:name="OLE_LINK203"/>
      <w:bookmarkStart w:id="58" w:name="OLE_LINK204"/>
      <w:r w:rsidRPr="00514F68">
        <w:rPr>
          <w:rFonts w:cs="Times New Roman"/>
          <w:b/>
          <w:sz w:val="22"/>
          <w:szCs w:val="22"/>
        </w:rPr>
        <w:lastRenderedPageBreak/>
        <w:t xml:space="preserve">Supplemental </w:t>
      </w:r>
      <w:r w:rsidR="00D31208">
        <w:rPr>
          <w:rFonts w:cs="Times New Roman"/>
          <w:b/>
          <w:sz w:val="22"/>
          <w:szCs w:val="22"/>
        </w:rPr>
        <w:t>f</w:t>
      </w:r>
      <w:r w:rsidR="0015336E" w:rsidRPr="00514F68">
        <w:rPr>
          <w:rFonts w:cs="Times New Roman"/>
          <w:b/>
          <w:sz w:val="22"/>
          <w:szCs w:val="22"/>
        </w:rPr>
        <w:t xml:space="preserve">igure </w:t>
      </w:r>
      <w:r w:rsidR="00D31208">
        <w:rPr>
          <w:rFonts w:cs="Times New Roman"/>
          <w:b/>
          <w:sz w:val="22"/>
          <w:szCs w:val="22"/>
        </w:rPr>
        <w:t>S</w:t>
      </w:r>
      <w:r w:rsidR="00973BFF" w:rsidRPr="00514F68">
        <w:rPr>
          <w:rFonts w:cs="Times New Roman"/>
          <w:b/>
          <w:sz w:val="22"/>
          <w:szCs w:val="22"/>
        </w:rPr>
        <w:t>4</w:t>
      </w:r>
      <w:r w:rsidR="0015336E" w:rsidRPr="00514F68">
        <w:rPr>
          <w:rFonts w:cs="Times New Roman"/>
          <w:b/>
          <w:sz w:val="22"/>
          <w:szCs w:val="22"/>
        </w:rPr>
        <w:t xml:space="preserve">. </w:t>
      </w:r>
      <w:r w:rsidR="0015336E" w:rsidRPr="00514F68">
        <w:rPr>
          <w:rFonts w:cs="Times New Roman"/>
          <w:color w:val="000000" w:themeColor="text1"/>
          <w:sz w:val="22"/>
          <w:szCs w:val="22"/>
        </w:rPr>
        <w:t>Sensitivity analyses about the influence of single studies on the pooled RR.</w:t>
      </w:r>
      <w:bookmarkEnd w:id="57"/>
      <w:bookmarkEnd w:id="58"/>
    </w:p>
    <w:p w:rsidR="0015336E" w:rsidRPr="00514F68" w:rsidRDefault="0015336E" w:rsidP="00B20BCA">
      <w:pPr>
        <w:pStyle w:val="a4"/>
        <w:spacing w:line="480" w:lineRule="auto"/>
        <w:ind w:firstLineChars="0" w:firstLine="0"/>
        <w:rPr>
          <w:rFonts w:cs="Times New Roman"/>
          <w:sz w:val="22"/>
          <w:szCs w:val="22"/>
        </w:rPr>
      </w:pPr>
      <w:r w:rsidRPr="00514F68">
        <w:rPr>
          <w:rFonts w:cs="Times New Roman"/>
          <w:noProof/>
          <w:sz w:val="22"/>
          <w:szCs w:val="22"/>
        </w:rPr>
        <w:drawing>
          <wp:inline distT="0" distB="0" distL="0" distR="0">
            <wp:extent cx="4767518" cy="318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 f 5.png"/>
                    <pic:cNvPicPr/>
                  </pic:nvPicPr>
                  <pic:blipFill>
                    <a:blip r:embed="rId12">
                      <a:extLst>
                        <a:ext uri="{28A0092B-C50C-407E-A947-70E740481C1C}">
                          <a14:useLocalDpi xmlns:a14="http://schemas.microsoft.com/office/drawing/2010/main" val="0"/>
                        </a:ext>
                      </a:extLst>
                    </a:blip>
                    <a:stretch>
                      <a:fillRect/>
                    </a:stretch>
                  </pic:blipFill>
                  <pic:spPr>
                    <a:xfrm>
                      <a:off x="0" y="0"/>
                      <a:ext cx="4784241" cy="3192760"/>
                    </a:xfrm>
                    <a:prstGeom prst="rect">
                      <a:avLst/>
                    </a:prstGeom>
                  </pic:spPr>
                </pic:pic>
              </a:graphicData>
            </a:graphic>
          </wp:inline>
        </w:drawing>
      </w:r>
    </w:p>
    <w:p w:rsidR="0059582E" w:rsidRPr="00514F68" w:rsidRDefault="005700B2" w:rsidP="00B20BCA">
      <w:pPr>
        <w:pStyle w:val="a4"/>
        <w:spacing w:line="480" w:lineRule="auto"/>
        <w:ind w:firstLineChars="0" w:firstLine="0"/>
        <w:rPr>
          <w:rFonts w:cs="Times New Roman"/>
          <w:sz w:val="22"/>
          <w:szCs w:val="22"/>
        </w:rPr>
      </w:pPr>
      <w:r w:rsidRPr="00514F68">
        <w:rPr>
          <w:rFonts w:cs="Times New Roman"/>
          <w:noProof/>
          <w:sz w:val="22"/>
          <w:szCs w:val="22"/>
        </w:rPr>
        <w:drawing>
          <wp:inline distT="0" distB="0" distL="0" distR="0">
            <wp:extent cx="4872941" cy="3127966"/>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 figure 5b.png"/>
                    <pic:cNvPicPr/>
                  </pic:nvPicPr>
                  <pic:blipFill>
                    <a:blip r:embed="rId13">
                      <a:extLst>
                        <a:ext uri="{28A0092B-C50C-407E-A947-70E740481C1C}">
                          <a14:useLocalDpi xmlns:a14="http://schemas.microsoft.com/office/drawing/2010/main" val="0"/>
                        </a:ext>
                      </a:extLst>
                    </a:blip>
                    <a:stretch>
                      <a:fillRect/>
                    </a:stretch>
                  </pic:blipFill>
                  <pic:spPr>
                    <a:xfrm>
                      <a:off x="0" y="0"/>
                      <a:ext cx="4891619" cy="3139955"/>
                    </a:xfrm>
                    <a:prstGeom prst="rect">
                      <a:avLst/>
                    </a:prstGeom>
                  </pic:spPr>
                </pic:pic>
              </a:graphicData>
            </a:graphic>
          </wp:inline>
        </w:drawing>
      </w:r>
    </w:p>
    <w:p w:rsidR="0059582E" w:rsidRPr="00514F68" w:rsidRDefault="0015336E" w:rsidP="00B20BCA">
      <w:pPr>
        <w:spacing w:line="480" w:lineRule="auto"/>
        <w:rPr>
          <w:rFonts w:cs="Times New Roman"/>
          <w:color w:val="000000" w:themeColor="text1"/>
          <w:sz w:val="22"/>
          <w:szCs w:val="22"/>
        </w:rPr>
        <w:sectPr w:rsidR="0059582E" w:rsidRPr="00514F68" w:rsidSect="00E73CC0">
          <w:pgSz w:w="11900" w:h="16840"/>
          <w:pgMar w:top="1440" w:right="1800" w:bottom="1440" w:left="1800" w:header="851" w:footer="992" w:gutter="0"/>
          <w:cols w:space="425"/>
          <w:docGrid w:type="lines" w:linePitch="312"/>
        </w:sectPr>
      </w:pPr>
      <w:r w:rsidRPr="00514F68">
        <w:rPr>
          <w:rFonts w:cs="Times New Roman"/>
          <w:sz w:val="22"/>
          <w:szCs w:val="22"/>
        </w:rPr>
        <w:t>(A) Influence analyses with exclusion of one study at a time on the pooled RR for the association of serum total bilirubin levels (</w:t>
      </w:r>
      <w:r w:rsidRPr="00514F68">
        <w:rPr>
          <w:rFonts w:cs="Times New Roman"/>
          <w:color w:val="000000" w:themeColor="text1"/>
          <w:sz w:val="22"/>
          <w:szCs w:val="22"/>
        </w:rPr>
        <w:t>highest to the lowest group</w:t>
      </w:r>
      <w:r w:rsidRPr="00514F68">
        <w:rPr>
          <w:rFonts w:cs="Times New Roman"/>
          <w:sz w:val="22"/>
          <w:szCs w:val="22"/>
        </w:rPr>
        <w:t>) in patients with chronic kidney disease. (B)</w:t>
      </w:r>
      <w:r w:rsidR="0059582E" w:rsidRPr="00514F68">
        <w:rPr>
          <w:rFonts w:cs="Times New Roman"/>
          <w:sz w:val="22"/>
          <w:szCs w:val="22"/>
        </w:rPr>
        <w:t xml:space="preserve"> Influence analyses</w:t>
      </w:r>
      <w:r w:rsidR="0059582E" w:rsidRPr="00514F68">
        <w:rPr>
          <w:rFonts w:cs="Times New Roman"/>
          <w:color w:val="000000" w:themeColor="text1"/>
          <w:sz w:val="22"/>
          <w:szCs w:val="22"/>
        </w:rPr>
        <w:t xml:space="preserve"> using per 0.2mg/dL </w:t>
      </w:r>
      <w:r w:rsidR="00E67E6D" w:rsidRPr="00514F68">
        <w:rPr>
          <w:rFonts w:cs="Times New Roman"/>
          <w:color w:val="000000" w:themeColor="text1"/>
          <w:sz w:val="22"/>
          <w:szCs w:val="22"/>
        </w:rPr>
        <w:t>serum total bilirubin</w:t>
      </w:r>
      <w:r w:rsidR="0059582E" w:rsidRPr="00514F68">
        <w:rPr>
          <w:rFonts w:cs="Times New Roman"/>
          <w:color w:val="000000" w:themeColor="text1"/>
          <w:sz w:val="22"/>
          <w:szCs w:val="22"/>
        </w:rPr>
        <w:t xml:space="preserve"> increment.</w:t>
      </w:r>
    </w:p>
    <w:p w:rsidR="0015336E" w:rsidRPr="00514F68" w:rsidRDefault="00514F68" w:rsidP="00B20BCA">
      <w:pPr>
        <w:spacing w:line="480" w:lineRule="auto"/>
        <w:rPr>
          <w:rFonts w:cs="Times New Roman"/>
          <w:color w:val="000000" w:themeColor="text1"/>
          <w:sz w:val="22"/>
          <w:szCs w:val="22"/>
        </w:rPr>
      </w:pPr>
      <w:bookmarkStart w:id="59" w:name="OLE_LINK205"/>
      <w:bookmarkStart w:id="60" w:name="OLE_LINK206"/>
      <w:r w:rsidRPr="00514F68">
        <w:rPr>
          <w:rFonts w:cs="Times New Roman"/>
          <w:b/>
          <w:sz w:val="22"/>
          <w:szCs w:val="22"/>
        </w:rPr>
        <w:lastRenderedPageBreak/>
        <w:t xml:space="preserve">Supplemental </w:t>
      </w:r>
      <w:r w:rsidR="00C201C8">
        <w:rPr>
          <w:rFonts w:cs="Times New Roman"/>
          <w:b/>
          <w:sz w:val="22"/>
          <w:szCs w:val="22"/>
        </w:rPr>
        <w:t>f</w:t>
      </w:r>
      <w:r w:rsidR="0059582E" w:rsidRPr="00514F68">
        <w:rPr>
          <w:rFonts w:cs="Times New Roman"/>
          <w:b/>
          <w:sz w:val="22"/>
          <w:szCs w:val="22"/>
        </w:rPr>
        <w:t xml:space="preserve">igure </w:t>
      </w:r>
      <w:r w:rsidR="00C201C8">
        <w:rPr>
          <w:rFonts w:cs="Times New Roman"/>
          <w:b/>
          <w:sz w:val="22"/>
          <w:szCs w:val="22"/>
        </w:rPr>
        <w:t>S</w:t>
      </w:r>
      <w:r w:rsidR="00973BFF" w:rsidRPr="00514F68">
        <w:rPr>
          <w:rFonts w:cs="Times New Roman"/>
          <w:b/>
          <w:sz w:val="22"/>
          <w:szCs w:val="22"/>
        </w:rPr>
        <w:t>5</w:t>
      </w:r>
      <w:r w:rsidR="0059582E" w:rsidRPr="00514F68">
        <w:rPr>
          <w:rFonts w:cs="Times New Roman"/>
          <w:b/>
          <w:sz w:val="22"/>
          <w:szCs w:val="22"/>
        </w:rPr>
        <w:t xml:space="preserve">. </w:t>
      </w:r>
      <w:r w:rsidR="0059582E" w:rsidRPr="00514F68">
        <w:rPr>
          <w:rFonts w:cs="Times New Roman"/>
          <w:sz w:val="22"/>
          <w:szCs w:val="22"/>
        </w:rPr>
        <w:t>S</w:t>
      </w:r>
      <w:r w:rsidR="0059582E" w:rsidRPr="00514F68">
        <w:rPr>
          <w:rFonts w:cs="Times New Roman"/>
          <w:color w:val="000000" w:themeColor="text1"/>
          <w:sz w:val="22"/>
          <w:szCs w:val="22"/>
        </w:rPr>
        <w:t>ubgroup and regression analyses of the serum total bilirubin levels and the mortality.</w:t>
      </w:r>
      <w:bookmarkEnd w:id="59"/>
      <w:bookmarkEnd w:id="60"/>
    </w:p>
    <w:p w:rsidR="0059582E" w:rsidRPr="00514F68" w:rsidRDefault="0059582E" w:rsidP="00B20BCA">
      <w:pPr>
        <w:spacing w:line="480" w:lineRule="auto"/>
        <w:rPr>
          <w:rFonts w:cs="Times New Roman"/>
          <w:sz w:val="22"/>
          <w:szCs w:val="22"/>
        </w:rPr>
      </w:pPr>
      <w:r w:rsidRPr="00514F68">
        <w:rPr>
          <w:rFonts w:cs="Times New Roman"/>
          <w:noProof/>
          <w:sz w:val="22"/>
          <w:szCs w:val="22"/>
        </w:rPr>
        <w:drawing>
          <wp:inline distT="0" distB="0" distL="0" distR="0">
            <wp:extent cx="5270500" cy="2997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athf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2997200"/>
                    </a:xfrm>
                    <a:prstGeom prst="rect">
                      <a:avLst/>
                    </a:prstGeom>
                  </pic:spPr>
                </pic:pic>
              </a:graphicData>
            </a:graphic>
          </wp:inline>
        </w:drawing>
      </w:r>
    </w:p>
    <w:p w:rsidR="006748D6" w:rsidRPr="00CD1661" w:rsidRDefault="0059582E" w:rsidP="00CD1661">
      <w:pPr>
        <w:pStyle w:val="a3"/>
        <w:spacing w:line="480" w:lineRule="auto"/>
        <w:rPr>
          <w:rFonts w:ascii="Times New Roman" w:hAnsi="Times New Roman" w:cs="Times New Roman"/>
          <w:sz w:val="22"/>
          <w:szCs w:val="22"/>
        </w:rPr>
      </w:pPr>
      <w:r w:rsidRPr="00514F68">
        <w:rPr>
          <w:rFonts w:ascii="Times New Roman" w:hAnsi="Times New Roman" w:cs="Times New Roman"/>
          <w:sz w:val="22"/>
          <w:szCs w:val="22"/>
        </w:rPr>
        <w:t xml:space="preserve">4 studies </w:t>
      </w:r>
      <w:r w:rsidR="00E67E6D" w:rsidRPr="00514F68">
        <w:rPr>
          <w:rFonts w:ascii="Times New Roman" w:hAnsi="Times New Roman" w:cs="Times New Roman"/>
          <w:sz w:val="22"/>
          <w:szCs w:val="22"/>
        </w:rPr>
        <w:t xml:space="preserve">for the highest compared with the lowest category in serum total bilirubin levels </w:t>
      </w:r>
      <w:r w:rsidRPr="00514F68">
        <w:rPr>
          <w:rFonts w:ascii="Times New Roman" w:hAnsi="Times New Roman" w:cs="Times New Roman"/>
          <w:sz w:val="22"/>
          <w:szCs w:val="22"/>
        </w:rPr>
        <w:t>were used within the stratified factors. NA: not applicable; RR: relative risk; CI: confidence interval</w:t>
      </w:r>
      <w:r w:rsidRPr="00D51AB0">
        <w:rPr>
          <w:rFonts w:ascii="Times New Roman" w:hAnsi="Times New Roman" w:cs="Times New Roman"/>
        </w:rPr>
        <w:t>.</w:t>
      </w:r>
    </w:p>
    <w:sectPr w:rsidR="006748D6" w:rsidRPr="00CD1661" w:rsidSect="00E73CC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0E8" w:rsidRDefault="00BC10E8" w:rsidP="002020C7">
      <w:r>
        <w:separator/>
      </w:r>
    </w:p>
  </w:endnote>
  <w:endnote w:type="continuationSeparator" w:id="0">
    <w:p w:rsidR="00BC10E8" w:rsidRDefault="00BC10E8" w:rsidP="00202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n-ea">
    <w:altName w:val="Cambria"/>
    <w:panose1 w:val="020B0604020202020204"/>
    <w:charset w:val="00"/>
    <w:family w:val="roman"/>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7"/>
      </w:rPr>
      <w:id w:val="-295755783"/>
      <w:docPartObj>
        <w:docPartGallery w:val="Page Numbers (Bottom of Page)"/>
        <w:docPartUnique/>
      </w:docPartObj>
    </w:sdtPr>
    <w:sdtContent>
      <w:p w:rsidR="002020C7" w:rsidRDefault="002020C7" w:rsidP="00C65130">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rsidR="002020C7" w:rsidRDefault="002020C7" w:rsidP="002020C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7"/>
      </w:rPr>
      <w:id w:val="-337537839"/>
      <w:docPartObj>
        <w:docPartGallery w:val="Page Numbers (Bottom of Page)"/>
        <w:docPartUnique/>
      </w:docPartObj>
    </w:sdtPr>
    <w:sdtContent>
      <w:p w:rsidR="002020C7" w:rsidRDefault="002020C7" w:rsidP="00C65130">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rsidR="002020C7" w:rsidRDefault="002020C7" w:rsidP="002020C7">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0E8" w:rsidRDefault="00BC10E8" w:rsidP="002020C7">
      <w:r>
        <w:separator/>
      </w:r>
    </w:p>
  </w:footnote>
  <w:footnote w:type="continuationSeparator" w:id="0">
    <w:p w:rsidR="00BC10E8" w:rsidRDefault="00BC10E8" w:rsidP="002020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035B38"/>
    <w:multiLevelType w:val="hybridMultilevel"/>
    <w:tmpl w:val="71543972"/>
    <w:lvl w:ilvl="0" w:tplc="644422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914BDD"/>
    <w:multiLevelType w:val="hybridMultilevel"/>
    <w:tmpl w:val="EE60770E"/>
    <w:lvl w:ilvl="0" w:tplc="2EB8D53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6D52B0"/>
    <w:multiLevelType w:val="hybridMultilevel"/>
    <w:tmpl w:val="E07468E0"/>
    <w:lvl w:ilvl="0" w:tplc="5DE801A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49421EE"/>
    <w:multiLevelType w:val="hybridMultilevel"/>
    <w:tmpl w:val="810A0254"/>
    <w:lvl w:ilvl="0" w:tplc="4952552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4BF"/>
    <w:rsid w:val="000273E1"/>
    <w:rsid w:val="000828D9"/>
    <w:rsid w:val="000E59FD"/>
    <w:rsid w:val="000F7E6A"/>
    <w:rsid w:val="00126DF8"/>
    <w:rsid w:val="0015287B"/>
    <w:rsid w:val="0015336E"/>
    <w:rsid w:val="00155FED"/>
    <w:rsid w:val="001A1D76"/>
    <w:rsid w:val="001C298E"/>
    <w:rsid w:val="001E0EF5"/>
    <w:rsid w:val="002020C7"/>
    <w:rsid w:val="002C74BF"/>
    <w:rsid w:val="002F59B0"/>
    <w:rsid w:val="00304CF8"/>
    <w:rsid w:val="00352C68"/>
    <w:rsid w:val="00353206"/>
    <w:rsid w:val="0038198F"/>
    <w:rsid w:val="00414508"/>
    <w:rsid w:val="00496EB9"/>
    <w:rsid w:val="00514F68"/>
    <w:rsid w:val="005700B2"/>
    <w:rsid w:val="005853E6"/>
    <w:rsid w:val="0059582E"/>
    <w:rsid w:val="005A0F73"/>
    <w:rsid w:val="005B6691"/>
    <w:rsid w:val="006748D6"/>
    <w:rsid w:val="006F585F"/>
    <w:rsid w:val="00703A6A"/>
    <w:rsid w:val="00707AFF"/>
    <w:rsid w:val="0074419E"/>
    <w:rsid w:val="00784181"/>
    <w:rsid w:val="007D00E7"/>
    <w:rsid w:val="007F23EB"/>
    <w:rsid w:val="008175A4"/>
    <w:rsid w:val="008631B7"/>
    <w:rsid w:val="00917640"/>
    <w:rsid w:val="00922BBD"/>
    <w:rsid w:val="00973BFF"/>
    <w:rsid w:val="00A40087"/>
    <w:rsid w:val="00A47BA1"/>
    <w:rsid w:val="00A676CA"/>
    <w:rsid w:val="00AD31DC"/>
    <w:rsid w:val="00AF5493"/>
    <w:rsid w:val="00B20BCA"/>
    <w:rsid w:val="00B806F6"/>
    <w:rsid w:val="00BC10E8"/>
    <w:rsid w:val="00C04510"/>
    <w:rsid w:val="00C201C8"/>
    <w:rsid w:val="00C463CC"/>
    <w:rsid w:val="00C64905"/>
    <w:rsid w:val="00C86D74"/>
    <w:rsid w:val="00CD1661"/>
    <w:rsid w:val="00D22D2A"/>
    <w:rsid w:val="00D31208"/>
    <w:rsid w:val="00D51AB0"/>
    <w:rsid w:val="00DC0B5B"/>
    <w:rsid w:val="00E67E6D"/>
    <w:rsid w:val="00E73CC0"/>
    <w:rsid w:val="00F3612D"/>
    <w:rsid w:val="00F90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085A8"/>
  <w15:chartTrackingRefBased/>
  <w15:docId w15:val="{4684F3AA-F9DD-2245-8545-294BE747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3CC0"/>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3CC0"/>
    <w:pPr>
      <w:widowControl/>
      <w:spacing w:before="100" w:beforeAutospacing="1" w:after="100" w:afterAutospacing="1"/>
      <w:jc w:val="left"/>
    </w:pPr>
    <w:rPr>
      <w:rFonts w:ascii="宋体" w:eastAsia="宋体" w:hAnsi="宋体" w:cs="宋体"/>
      <w:kern w:val="0"/>
      <w:sz w:val="24"/>
    </w:rPr>
  </w:style>
  <w:style w:type="paragraph" w:styleId="a4">
    <w:name w:val="List Paragraph"/>
    <w:basedOn w:val="a"/>
    <w:uiPriority w:val="34"/>
    <w:qFormat/>
    <w:rsid w:val="00496EB9"/>
    <w:pPr>
      <w:ind w:firstLineChars="200" w:firstLine="420"/>
    </w:pPr>
  </w:style>
  <w:style w:type="paragraph" w:styleId="a5">
    <w:name w:val="footer"/>
    <w:basedOn w:val="a"/>
    <w:link w:val="a6"/>
    <w:uiPriority w:val="99"/>
    <w:unhideWhenUsed/>
    <w:rsid w:val="002020C7"/>
    <w:pPr>
      <w:tabs>
        <w:tab w:val="center" w:pos="4153"/>
        <w:tab w:val="right" w:pos="8306"/>
      </w:tabs>
      <w:snapToGrid w:val="0"/>
      <w:jc w:val="left"/>
    </w:pPr>
    <w:rPr>
      <w:sz w:val="18"/>
      <w:szCs w:val="18"/>
    </w:rPr>
  </w:style>
  <w:style w:type="character" w:customStyle="1" w:styleId="a6">
    <w:name w:val="页脚 字符"/>
    <w:basedOn w:val="a0"/>
    <w:link w:val="a5"/>
    <w:uiPriority w:val="99"/>
    <w:rsid w:val="002020C7"/>
    <w:rPr>
      <w:rFonts w:ascii="Times New Roman" w:hAnsi="Times New Roman"/>
      <w:sz w:val="18"/>
      <w:szCs w:val="18"/>
    </w:rPr>
  </w:style>
  <w:style w:type="character" w:styleId="a7">
    <w:name w:val="page number"/>
    <w:basedOn w:val="a0"/>
    <w:uiPriority w:val="99"/>
    <w:semiHidden/>
    <w:unhideWhenUsed/>
    <w:rsid w:val="00202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845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24">
          <w:marLeft w:val="0"/>
          <w:marRight w:val="0"/>
          <w:marTop w:val="0"/>
          <w:marBottom w:val="0"/>
          <w:divBdr>
            <w:top w:val="none" w:sz="0" w:space="0" w:color="auto"/>
            <w:left w:val="none" w:sz="0" w:space="0" w:color="auto"/>
            <w:bottom w:val="none" w:sz="0" w:space="0" w:color="auto"/>
            <w:right w:val="none" w:sz="0" w:space="0" w:color="auto"/>
          </w:divBdr>
          <w:divsChild>
            <w:div w:id="723216507">
              <w:marLeft w:val="0"/>
              <w:marRight w:val="0"/>
              <w:marTop w:val="0"/>
              <w:marBottom w:val="0"/>
              <w:divBdr>
                <w:top w:val="none" w:sz="0" w:space="0" w:color="auto"/>
                <w:left w:val="none" w:sz="0" w:space="0" w:color="auto"/>
                <w:bottom w:val="none" w:sz="0" w:space="0" w:color="auto"/>
                <w:right w:val="none" w:sz="0" w:space="0" w:color="auto"/>
              </w:divBdr>
              <w:divsChild>
                <w:div w:id="512377335">
                  <w:marLeft w:val="0"/>
                  <w:marRight w:val="0"/>
                  <w:marTop w:val="0"/>
                  <w:marBottom w:val="0"/>
                  <w:divBdr>
                    <w:top w:val="none" w:sz="0" w:space="0" w:color="auto"/>
                    <w:left w:val="none" w:sz="0" w:space="0" w:color="auto"/>
                    <w:bottom w:val="none" w:sz="0" w:space="0" w:color="auto"/>
                    <w:right w:val="none" w:sz="0" w:space="0" w:color="auto"/>
                  </w:divBdr>
                  <w:divsChild>
                    <w:div w:id="21429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3455">
      <w:bodyDiv w:val="1"/>
      <w:marLeft w:val="0"/>
      <w:marRight w:val="0"/>
      <w:marTop w:val="0"/>
      <w:marBottom w:val="0"/>
      <w:divBdr>
        <w:top w:val="none" w:sz="0" w:space="0" w:color="auto"/>
        <w:left w:val="none" w:sz="0" w:space="0" w:color="auto"/>
        <w:bottom w:val="none" w:sz="0" w:space="0" w:color="auto"/>
        <w:right w:val="none" w:sz="0" w:space="0" w:color="auto"/>
      </w:divBdr>
      <w:divsChild>
        <w:div w:id="133370581">
          <w:marLeft w:val="0"/>
          <w:marRight w:val="0"/>
          <w:marTop w:val="0"/>
          <w:marBottom w:val="0"/>
          <w:divBdr>
            <w:top w:val="none" w:sz="0" w:space="0" w:color="auto"/>
            <w:left w:val="none" w:sz="0" w:space="0" w:color="auto"/>
            <w:bottom w:val="none" w:sz="0" w:space="0" w:color="auto"/>
            <w:right w:val="none" w:sz="0" w:space="0" w:color="auto"/>
          </w:divBdr>
          <w:divsChild>
            <w:div w:id="1223367719">
              <w:marLeft w:val="0"/>
              <w:marRight w:val="0"/>
              <w:marTop w:val="0"/>
              <w:marBottom w:val="0"/>
              <w:divBdr>
                <w:top w:val="none" w:sz="0" w:space="0" w:color="auto"/>
                <w:left w:val="none" w:sz="0" w:space="0" w:color="auto"/>
                <w:bottom w:val="none" w:sz="0" w:space="0" w:color="auto"/>
                <w:right w:val="none" w:sz="0" w:space="0" w:color="auto"/>
              </w:divBdr>
              <w:divsChild>
                <w:div w:id="15591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754">
      <w:bodyDiv w:val="1"/>
      <w:marLeft w:val="0"/>
      <w:marRight w:val="0"/>
      <w:marTop w:val="0"/>
      <w:marBottom w:val="0"/>
      <w:divBdr>
        <w:top w:val="none" w:sz="0" w:space="0" w:color="auto"/>
        <w:left w:val="none" w:sz="0" w:space="0" w:color="auto"/>
        <w:bottom w:val="none" w:sz="0" w:space="0" w:color="auto"/>
        <w:right w:val="none" w:sz="0" w:space="0" w:color="auto"/>
      </w:divBdr>
      <w:divsChild>
        <w:div w:id="309331335">
          <w:marLeft w:val="0"/>
          <w:marRight w:val="0"/>
          <w:marTop w:val="0"/>
          <w:marBottom w:val="0"/>
          <w:divBdr>
            <w:top w:val="none" w:sz="0" w:space="0" w:color="auto"/>
            <w:left w:val="none" w:sz="0" w:space="0" w:color="auto"/>
            <w:bottom w:val="none" w:sz="0" w:space="0" w:color="auto"/>
            <w:right w:val="none" w:sz="0" w:space="0" w:color="auto"/>
          </w:divBdr>
          <w:divsChild>
            <w:div w:id="670522628">
              <w:marLeft w:val="0"/>
              <w:marRight w:val="0"/>
              <w:marTop w:val="0"/>
              <w:marBottom w:val="0"/>
              <w:divBdr>
                <w:top w:val="none" w:sz="0" w:space="0" w:color="auto"/>
                <w:left w:val="none" w:sz="0" w:space="0" w:color="auto"/>
                <w:bottom w:val="none" w:sz="0" w:space="0" w:color="auto"/>
                <w:right w:val="none" w:sz="0" w:space="0" w:color="auto"/>
              </w:divBdr>
              <w:divsChild>
                <w:div w:id="10056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01015">
      <w:bodyDiv w:val="1"/>
      <w:marLeft w:val="0"/>
      <w:marRight w:val="0"/>
      <w:marTop w:val="0"/>
      <w:marBottom w:val="0"/>
      <w:divBdr>
        <w:top w:val="none" w:sz="0" w:space="0" w:color="auto"/>
        <w:left w:val="none" w:sz="0" w:space="0" w:color="auto"/>
        <w:bottom w:val="none" w:sz="0" w:space="0" w:color="auto"/>
        <w:right w:val="none" w:sz="0" w:space="0" w:color="auto"/>
      </w:divBdr>
    </w:div>
    <w:div w:id="729185376">
      <w:bodyDiv w:val="1"/>
      <w:marLeft w:val="0"/>
      <w:marRight w:val="0"/>
      <w:marTop w:val="0"/>
      <w:marBottom w:val="0"/>
      <w:divBdr>
        <w:top w:val="none" w:sz="0" w:space="0" w:color="auto"/>
        <w:left w:val="none" w:sz="0" w:space="0" w:color="auto"/>
        <w:bottom w:val="none" w:sz="0" w:space="0" w:color="auto"/>
        <w:right w:val="none" w:sz="0" w:space="0" w:color="auto"/>
      </w:divBdr>
      <w:divsChild>
        <w:div w:id="1326398950">
          <w:marLeft w:val="0"/>
          <w:marRight w:val="0"/>
          <w:marTop w:val="0"/>
          <w:marBottom w:val="0"/>
          <w:divBdr>
            <w:top w:val="none" w:sz="0" w:space="0" w:color="auto"/>
            <w:left w:val="none" w:sz="0" w:space="0" w:color="auto"/>
            <w:bottom w:val="none" w:sz="0" w:space="0" w:color="auto"/>
            <w:right w:val="none" w:sz="0" w:space="0" w:color="auto"/>
          </w:divBdr>
          <w:divsChild>
            <w:div w:id="1461222070">
              <w:marLeft w:val="0"/>
              <w:marRight w:val="0"/>
              <w:marTop w:val="0"/>
              <w:marBottom w:val="0"/>
              <w:divBdr>
                <w:top w:val="none" w:sz="0" w:space="0" w:color="auto"/>
                <w:left w:val="none" w:sz="0" w:space="0" w:color="auto"/>
                <w:bottom w:val="none" w:sz="0" w:space="0" w:color="auto"/>
                <w:right w:val="none" w:sz="0" w:space="0" w:color="auto"/>
              </w:divBdr>
              <w:divsChild>
                <w:div w:id="18226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5847">
      <w:bodyDiv w:val="1"/>
      <w:marLeft w:val="0"/>
      <w:marRight w:val="0"/>
      <w:marTop w:val="0"/>
      <w:marBottom w:val="0"/>
      <w:divBdr>
        <w:top w:val="none" w:sz="0" w:space="0" w:color="auto"/>
        <w:left w:val="none" w:sz="0" w:space="0" w:color="auto"/>
        <w:bottom w:val="none" w:sz="0" w:space="0" w:color="auto"/>
        <w:right w:val="none" w:sz="0" w:space="0" w:color="auto"/>
      </w:divBdr>
      <w:divsChild>
        <w:div w:id="1275098022">
          <w:marLeft w:val="0"/>
          <w:marRight w:val="0"/>
          <w:marTop w:val="0"/>
          <w:marBottom w:val="0"/>
          <w:divBdr>
            <w:top w:val="none" w:sz="0" w:space="0" w:color="auto"/>
            <w:left w:val="none" w:sz="0" w:space="0" w:color="auto"/>
            <w:bottom w:val="none" w:sz="0" w:space="0" w:color="auto"/>
            <w:right w:val="none" w:sz="0" w:space="0" w:color="auto"/>
          </w:divBdr>
          <w:divsChild>
            <w:div w:id="488863801">
              <w:marLeft w:val="0"/>
              <w:marRight w:val="0"/>
              <w:marTop w:val="0"/>
              <w:marBottom w:val="0"/>
              <w:divBdr>
                <w:top w:val="none" w:sz="0" w:space="0" w:color="auto"/>
                <w:left w:val="none" w:sz="0" w:space="0" w:color="auto"/>
                <w:bottom w:val="none" w:sz="0" w:space="0" w:color="auto"/>
                <w:right w:val="none" w:sz="0" w:space="0" w:color="auto"/>
              </w:divBdr>
              <w:divsChild>
                <w:div w:id="13640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5191">
      <w:bodyDiv w:val="1"/>
      <w:marLeft w:val="0"/>
      <w:marRight w:val="0"/>
      <w:marTop w:val="0"/>
      <w:marBottom w:val="0"/>
      <w:divBdr>
        <w:top w:val="none" w:sz="0" w:space="0" w:color="auto"/>
        <w:left w:val="none" w:sz="0" w:space="0" w:color="auto"/>
        <w:bottom w:val="none" w:sz="0" w:space="0" w:color="auto"/>
        <w:right w:val="none" w:sz="0" w:space="0" w:color="auto"/>
      </w:divBdr>
      <w:divsChild>
        <w:div w:id="71514204">
          <w:marLeft w:val="0"/>
          <w:marRight w:val="0"/>
          <w:marTop w:val="0"/>
          <w:marBottom w:val="0"/>
          <w:divBdr>
            <w:top w:val="none" w:sz="0" w:space="0" w:color="auto"/>
            <w:left w:val="none" w:sz="0" w:space="0" w:color="auto"/>
            <w:bottom w:val="none" w:sz="0" w:space="0" w:color="auto"/>
            <w:right w:val="none" w:sz="0" w:space="0" w:color="auto"/>
          </w:divBdr>
          <w:divsChild>
            <w:div w:id="1691107372">
              <w:marLeft w:val="0"/>
              <w:marRight w:val="0"/>
              <w:marTop w:val="0"/>
              <w:marBottom w:val="0"/>
              <w:divBdr>
                <w:top w:val="none" w:sz="0" w:space="0" w:color="auto"/>
                <w:left w:val="none" w:sz="0" w:space="0" w:color="auto"/>
                <w:bottom w:val="none" w:sz="0" w:space="0" w:color="auto"/>
                <w:right w:val="none" w:sz="0" w:space="0" w:color="auto"/>
              </w:divBdr>
              <w:divsChild>
                <w:div w:id="6941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69415">
      <w:bodyDiv w:val="1"/>
      <w:marLeft w:val="0"/>
      <w:marRight w:val="0"/>
      <w:marTop w:val="0"/>
      <w:marBottom w:val="0"/>
      <w:divBdr>
        <w:top w:val="none" w:sz="0" w:space="0" w:color="auto"/>
        <w:left w:val="none" w:sz="0" w:space="0" w:color="auto"/>
        <w:bottom w:val="none" w:sz="0" w:space="0" w:color="auto"/>
        <w:right w:val="none" w:sz="0" w:space="0" w:color="auto"/>
      </w:divBdr>
    </w:div>
    <w:div w:id="1528444173">
      <w:bodyDiv w:val="1"/>
      <w:marLeft w:val="0"/>
      <w:marRight w:val="0"/>
      <w:marTop w:val="0"/>
      <w:marBottom w:val="0"/>
      <w:divBdr>
        <w:top w:val="none" w:sz="0" w:space="0" w:color="auto"/>
        <w:left w:val="none" w:sz="0" w:space="0" w:color="auto"/>
        <w:bottom w:val="none" w:sz="0" w:space="0" w:color="auto"/>
        <w:right w:val="none" w:sz="0" w:space="0" w:color="auto"/>
      </w:divBdr>
      <w:divsChild>
        <w:div w:id="1874075746">
          <w:marLeft w:val="0"/>
          <w:marRight w:val="0"/>
          <w:marTop w:val="0"/>
          <w:marBottom w:val="0"/>
          <w:divBdr>
            <w:top w:val="none" w:sz="0" w:space="0" w:color="auto"/>
            <w:left w:val="none" w:sz="0" w:space="0" w:color="auto"/>
            <w:bottom w:val="none" w:sz="0" w:space="0" w:color="auto"/>
            <w:right w:val="none" w:sz="0" w:space="0" w:color="auto"/>
          </w:divBdr>
          <w:divsChild>
            <w:div w:id="1644191203">
              <w:marLeft w:val="0"/>
              <w:marRight w:val="0"/>
              <w:marTop w:val="0"/>
              <w:marBottom w:val="0"/>
              <w:divBdr>
                <w:top w:val="none" w:sz="0" w:space="0" w:color="auto"/>
                <w:left w:val="none" w:sz="0" w:space="0" w:color="auto"/>
                <w:bottom w:val="none" w:sz="0" w:space="0" w:color="auto"/>
                <w:right w:val="none" w:sz="0" w:space="0" w:color="auto"/>
              </w:divBdr>
              <w:divsChild>
                <w:div w:id="11390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5198">
      <w:bodyDiv w:val="1"/>
      <w:marLeft w:val="0"/>
      <w:marRight w:val="0"/>
      <w:marTop w:val="0"/>
      <w:marBottom w:val="0"/>
      <w:divBdr>
        <w:top w:val="none" w:sz="0" w:space="0" w:color="auto"/>
        <w:left w:val="none" w:sz="0" w:space="0" w:color="auto"/>
        <w:bottom w:val="none" w:sz="0" w:space="0" w:color="auto"/>
        <w:right w:val="none" w:sz="0" w:space="0" w:color="auto"/>
      </w:divBdr>
      <w:divsChild>
        <w:div w:id="1410536699">
          <w:marLeft w:val="0"/>
          <w:marRight w:val="0"/>
          <w:marTop w:val="0"/>
          <w:marBottom w:val="0"/>
          <w:divBdr>
            <w:top w:val="none" w:sz="0" w:space="0" w:color="auto"/>
            <w:left w:val="none" w:sz="0" w:space="0" w:color="auto"/>
            <w:bottom w:val="none" w:sz="0" w:space="0" w:color="auto"/>
            <w:right w:val="none" w:sz="0" w:space="0" w:color="auto"/>
          </w:divBdr>
          <w:divsChild>
            <w:div w:id="1510212000">
              <w:marLeft w:val="0"/>
              <w:marRight w:val="0"/>
              <w:marTop w:val="0"/>
              <w:marBottom w:val="0"/>
              <w:divBdr>
                <w:top w:val="none" w:sz="0" w:space="0" w:color="auto"/>
                <w:left w:val="none" w:sz="0" w:space="0" w:color="auto"/>
                <w:bottom w:val="none" w:sz="0" w:space="0" w:color="auto"/>
                <w:right w:val="none" w:sz="0" w:space="0" w:color="auto"/>
              </w:divBdr>
              <w:divsChild>
                <w:div w:id="14977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4129">
      <w:bodyDiv w:val="1"/>
      <w:marLeft w:val="0"/>
      <w:marRight w:val="0"/>
      <w:marTop w:val="0"/>
      <w:marBottom w:val="0"/>
      <w:divBdr>
        <w:top w:val="none" w:sz="0" w:space="0" w:color="auto"/>
        <w:left w:val="none" w:sz="0" w:space="0" w:color="auto"/>
        <w:bottom w:val="none" w:sz="0" w:space="0" w:color="auto"/>
        <w:right w:val="none" w:sz="0" w:space="0" w:color="auto"/>
      </w:divBdr>
    </w:div>
    <w:div w:id="1780055460">
      <w:bodyDiv w:val="1"/>
      <w:marLeft w:val="0"/>
      <w:marRight w:val="0"/>
      <w:marTop w:val="0"/>
      <w:marBottom w:val="0"/>
      <w:divBdr>
        <w:top w:val="none" w:sz="0" w:space="0" w:color="auto"/>
        <w:left w:val="none" w:sz="0" w:space="0" w:color="auto"/>
        <w:bottom w:val="none" w:sz="0" w:space="0" w:color="auto"/>
        <w:right w:val="none" w:sz="0" w:space="0" w:color="auto"/>
      </w:divBdr>
    </w:div>
    <w:div w:id="1785878335">
      <w:bodyDiv w:val="1"/>
      <w:marLeft w:val="0"/>
      <w:marRight w:val="0"/>
      <w:marTop w:val="0"/>
      <w:marBottom w:val="0"/>
      <w:divBdr>
        <w:top w:val="none" w:sz="0" w:space="0" w:color="auto"/>
        <w:left w:val="none" w:sz="0" w:space="0" w:color="auto"/>
        <w:bottom w:val="none" w:sz="0" w:space="0" w:color="auto"/>
        <w:right w:val="none" w:sz="0" w:space="0" w:color="auto"/>
      </w:divBdr>
    </w:div>
    <w:div w:id="2058313516">
      <w:bodyDiv w:val="1"/>
      <w:marLeft w:val="0"/>
      <w:marRight w:val="0"/>
      <w:marTop w:val="0"/>
      <w:marBottom w:val="0"/>
      <w:divBdr>
        <w:top w:val="none" w:sz="0" w:space="0" w:color="auto"/>
        <w:left w:val="none" w:sz="0" w:space="0" w:color="auto"/>
        <w:bottom w:val="none" w:sz="0" w:space="0" w:color="auto"/>
        <w:right w:val="none" w:sz="0" w:space="0" w:color="auto"/>
      </w:divBdr>
      <w:divsChild>
        <w:div w:id="228538565">
          <w:marLeft w:val="0"/>
          <w:marRight w:val="0"/>
          <w:marTop w:val="0"/>
          <w:marBottom w:val="0"/>
          <w:divBdr>
            <w:top w:val="none" w:sz="0" w:space="0" w:color="auto"/>
            <w:left w:val="none" w:sz="0" w:space="0" w:color="auto"/>
            <w:bottom w:val="none" w:sz="0" w:space="0" w:color="auto"/>
            <w:right w:val="none" w:sz="0" w:space="0" w:color="auto"/>
          </w:divBdr>
          <w:divsChild>
            <w:div w:id="1189878129">
              <w:marLeft w:val="0"/>
              <w:marRight w:val="0"/>
              <w:marTop w:val="0"/>
              <w:marBottom w:val="0"/>
              <w:divBdr>
                <w:top w:val="none" w:sz="0" w:space="0" w:color="auto"/>
                <w:left w:val="none" w:sz="0" w:space="0" w:color="auto"/>
                <w:bottom w:val="none" w:sz="0" w:space="0" w:color="auto"/>
                <w:right w:val="none" w:sz="0" w:space="0" w:color="auto"/>
              </w:divBdr>
              <w:divsChild>
                <w:div w:id="10267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1642</Words>
  <Characters>9475</Characters>
  <Application>Microsoft Office Word</Application>
  <DocSecurity>0</DocSecurity>
  <Lines>189</Lines>
  <Paragraphs>100</Paragraphs>
  <ScaleCrop>false</ScaleCrop>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2019-10-14T01:31:00Z</cp:lastPrinted>
  <dcterms:created xsi:type="dcterms:W3CDTF">2020-07-07T09:52:00Z</dcterms:created>
  <dcterms:modified xsi:type="dcterms:W3CDTF">2020-07-25T03:03:00Z</dcterms:modified>
</cp:coreProperties>
</file>