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B884D" w14:textId="77777777" w:rsidR="00430834" w:rsidRDefault="00430834" w:rsidP="00D36E4B">
      <w:pPr>
        <w:rPr>
          <w:b/>
          <w:bCs/>
        </w:rPr>
      </w:pPr>
    </w:p>
    <w:p w14:paraId="30015360" w14:textId="5A210221" w:rsidR="00D36E4B" w:rsidRPr="00C1149E" w:rsidRDefault="00D36E4B" w:rsidP="00D36E4B">
      <w:pPr>
        <w:rPr>
          <w:b/>
          <w:bCs/>
        </w:rPr>
      </w:pPr>
      <w:r w:rsidRPr="00C1149E">
        <w:rPr>
          <w:b/>
          <w:bCs/>
        </w:rPr>
        <w:t xml:space="preserve">Tittle: </w:t>
      </w:r>
    </w:p>
    <w:p w14:paraId="3DE86537" w14:textId="77777777" w:rsidR="00D36E4B" w:rsidRDefault="00D36E4B" w:rsidP="00D36E4B">
      <w:pPr>
        <w:spacing w:line="360" w:lineRule="auto"/>
      </w:pPr>
      <w:bookmarkStart w:id="0" w:name="_Hlk34599638"/>
      <w:bookmarkStart w:id="1" w:name="_Hlk27040273"/>
      <w:r w:rsidRPr="00002D91">
        <w:t>Iron speciation in Fram Strait and over the northeast Greenland shelf: An inter-comparison study of voltammetric methods</w:t>
      </w:r>
    </w:p>
    <w:p w14:paraId="18F23860" w14:textId="77777777" w:rsidR="00D36E4B" w:rsidRPr="00C1149E" w:rsidRDefault="00D36E4B" w:rsidP="00D36E4B">
      <w:pPr>
        <w:spacing w:line="360" w:lineRule="auto"/>
        <w:rPr>
          <w:b/>
          <w:bCs/>
        </w:rPr>
      </w:pPr>
      <w:r w:rsidRPr="00C1149E">
        <w:rPr>
          <w:b/>
          <w:bCs/>
        </w:rPr>
        <w:t>Authors:</w:t>
      </w:r>
    </w:p>
    <w:bookmarkEnd w:id="0"/>
    <w:p w14:paraId="1F696A3B" w14:textId="77777777" w:rsidR="00D36E4B" w:rsidRPr="00002D91" w:rsidRDefault="00D36E4B" w:rsidP="00D36E4B">
      <w:pPr>
        <w:spacing w:line="360" w:lineRule="auto"/>
        <w:rPr>
          <w:vertAlign w:val="superscript"/>
        </w:rPr>
      </w:pPr>
      <w:r w:rsidRPr="00002D91">
        <w:t>Indah Ardiningsih</w:t>
      </w:r>
      <w:r w:rsidRPr="00002D91">
        <w:rPr>
          <w:vertAlign w:val="superscript"/>
        </w:rPr>
        <w:t>1</w:t>
      </w:r>
      <w:r w:rsidRPr="00002D91">
        <w:t>, Kechen Zu</w:t>
      </w:r>
      <w:r w:rsidRPr="00002D91">
        <w:rPr>
          <w:vertAlign w:val="superscript"/>
        </w:rPr>
        <w:t>2</w:t>
      </w:r>
      <w:r w:rsidRPr="00002D91">
        <w:t>, Pablo Lodeiro</w:t>
      </w:r>
      <w:r w:rsidRPr="00002D91">
        <w:rPr>
          <w:vertAlign w:val="superscript"/>
        </w:rPr>
        <w:t>2</w:t>
      </w:r>
      <w:r w:rsidRPr="00002D91">
        <w:t>, Martha Gledhill</w:t>
      </w:r>
      <w:r w:rsidRPr="00002D91">
        <w:rPr>
          <w:vertAlign w:val="superscript"/>
        </w:rPr>
        <w:t>2</w:t>
      </w:r>
      <w:r w:rsidRPr="00002D91">
        <w:t>, Gert-Jan Reichart</w:t>
      </w:r>
      <w:r w:rsidRPr="00002D91">
        <w:rPr>
          <w:vertAlign w:val="superscript"/>
        </w:rPr>
        <w:t>1,3</w:t>
      </w:r>
      <w:r w:rsidRPr="00002D91">
        <w:t>, Eric P. Achterberg</w:t>
      </w:r>
      <w:r w:rsidRPr="00002D91">
        <w:rPr>
          <w:vertAlign w:val="superscript"/>
        </w:rPr>
        <w:t>2</w:t>
      </w:r>
      <w:r w:rsidRPr="00002D91">
        <w:t>, Rob Middag</w:t>
      </w:r>
      <w:r w:rsidRPr="00002D91">
        <w:rPr>
          <w:vertAlign w:val="superscript"/>
        </w:rPr>
        <w:t>1</w:t>
      </w:r>
      <w:r w:rsidRPr="00002D91">
        <w:t>, Loes J.A. Gerringa</w:t>
      </w:r>
      <w:r w:rsidRPr="00002D91">
        <w:rPr>
          <w:vertAlign w:val="superscript"/>
        </w:rPr>
        <w:t>1</w:t>
      </w:r>
      <w:r w:rsidRPr="00002D91">
        <w:t xml:space="preserve"> </w:t>
      </w:r>
    </w:p>
    <w:bookmarkEnd w:id="1"/>
    <w:p w14:paraId="2A1D2B7B" w14:textId="1C4685AF" w:rsidR="00D36E4B" w:rsidRPr="00002D91" w:rsidRDefault="004C3B1E" w:rsidP="00D36E4B">
      <w:pPr>
        <w:pStyle w:val="ListParagraph"/>
        <w:numPr>
          <w:ilvl w:val="0"/>
          <w:numId w:val="2"/>
        </w:numPr>
        <w:ind w:left="426"/>
      </w:pPr>
      <w:r w:rsidRPr="00002D91">
        <w:t xml:space="preserve">Department of Ocean Systems, </w:t>
      </w:r>
      <w:r w:rsidR="00D36E4B" w:rsidRPr="00002D91">
        <w:t xml:space="preserve">Royal Netherlands Institute for Sea Research (NIOZ), </w:t>
      </w:r>
      <w:r w:rsidR="00A35997">
        <w:t>Texel,</w:t>
      </w:r>
      <w:r w:rsidR="00501045">
        <w:t xml:space="preserve"> </w:t>
      </w:r>
      <w:r w:rsidR="00D36E4B" w:rsidRPr="00002D91">
        <w:t xml:space="preserve">Netherlands </w:t>
      </w:r>
    </w:p>
    <w:p w14:paraId="3C19E38D" w14:textId="7AC48342" w:rsidR="00D36E4B" w:rsidRPr="00002D91" w:rsidRDefault="00D36E4B" w:rsidP="00D36E4B">
      <w:pPr>
        <w:pStyle w:val="ListParagraph"/>
        <w:numPr>
          <w:ilvl w:val="0"/>
          <w:numId w:val="2"/>
        </w:numPr>
        <w:ind w:left="426"/>
      </w:pPr>
      <w:r w:rsidRPr="00002D91">
        <w:t>GEOMAR Helmholtz Centre for Ocean Research</w:t>
      </w:r>
      <w:r w:rsidR="00A35997">
        <w:t>,</w:t>
      </w:r>
      <w:r w:rsidRPr="00002D91">
        <w:t xml:space="preserve"> Kiel,</w:t>
      </w:r>
      <w:r w:rsidRPr="00002D91">
        <w:rPr>
          <w:rFonts w:eastAsia="Meiryo"/>
          <w:lang w:val="fr-FR"/>
        </w:rPr>
        <w:t xml:space="preserve"> </w:t>
      </w:r>
      <w:r w:rsidRPr="00002D91">
        <w:t>Germany</w:t>
      </w:r>
    </w:p>
    <w:p w14:paraId="483B7835" w14:textId="300DDE30" w:rsidR="00D36E4B" w:rsidRPr="00002D91" w:rsidRDefault="00D36E4B" w:rsidP="00D36E4B">
      <w:pPr>
        <w:pStyle w:val="ListParagraph"/>
        <w:numPr>
          <w:ilvl w:val="0"/>
          <w:numId w:val="2"/>
        </w:numPr>
        <w:ind w:left="426"/>
      </w:pPr>
      <w:r w:rsidRPr="00002D91">
        <w:t>Earth and Geoscience Department, University of Utrecht, Utrecht, Netherlands</w:t>
      </w:r>
    </w:p>
    <w:p w14:paraId="072587FD" w14:textId="77777777" w:rsidR="000E393D" w:rsidRDefault="000E393D" w:rsidP="00AA655C">
      <w:pPr>
        <w:sectPr w:rsidR="000E393D" w:rsidSect="00FA093A">
          <w:pgSz w:w="12240" w:h="15840"/>
          <w:pgMar w:top="1440" w:right="1440" w:bottom="1440" w:left="1440" w:header="720" w:footer="720" w:gutter="0"/>
          <w:cols w:space="720"/>
          <w:docGrid w:linePitch="360"/>
        </w:sectPr>
      </w:pPr>
    </w:p>
    <w:p w14:paraId="5675CA94" w14:textId="3453DD2B" w:rsidR="00FA093A" w:rsidRPr="00430834" w:rsidRDefault="00D36E4B" w:rsidP="00430834">
      <w:pPr>
        <w:jc w:val="center"/>
        <w:rPr>
          <w:b/>
          <w:bCs/>
          <w:i/>
          <w:iCs/>
          <w:sz w:val="32"/>
          <w:szCs w:val="32"/>
        </w:rPr>
      </w:pPr>
      <w:r w:rsidRPr="00430834">
        <w:rPr>
          <w:b/>
          <w:bCs/>
          <w:i/>
          <w:iCs/>
          <w:sz w:val="32"/>
          <w:szCs w:val="32"/>
        </w:rPr>
        <w:lastRenderedPageBreak/>
        <w:t xml:space="preserve">Supplementary </w:t>
      </w:r>
      <w:r w:rsidR="00430834">
        <w:rPr>
          <w:b/>
          <w:bCs/>
          <w:i/>
          <w:iCs/>
          <w:sz w:val="32"/>
          <w:szCs w:val="32"/>
        </w:rPr>
        <w:t>Material</w:t>
      </w:r>
    </w:p>
    <w:p w14:paraId="3A5C9BC6" w14:textId="47839617" w:rsidR="00FA093A" w:rsidRDefault="00FA093A" w:rsidP="00FA093A">
      <w:r w:rsidRPr="00430834">
        <w:rPr>
          <w:b/>
          <w:bCs/>
        </w:rPr>
        <w:t>S</w:t>
      </w:r>
      <w:r w:rsidR="00430834" w:rsidRPr="00430834">
        <w:rPr>
          <w:b/>
          <w:bCs/>
        </w:rPr>
        <w:t>upplementary</w:t>
      </w:r>
      <w:r w:rsidRPr="00430834">
        <w:rPr>
          <w:b/>
          <w:bCs/>
        </w:rPr>
        <w:t xml:space="preserve"> Figure 1</w:t>
      </w:r>
      <w:r w:rsidRPr="00002D91">
        <w:t xml:space="preserve">. Boxplot of the values of log </w:t>
      </w:r>
      <w:r w:rsidRPr="00FA093A">
        <w:rPr>
          <w:i/>
          <w:iCs/>
        </w:rPr>
        <w:t>K</w:t>
      </w:r>
      <w:r w:rsidRPr="00002D91">
        <w:t>´</w:t>
      </w:r>
      <w:r w:rsidRPr="00FA093A">
        <w:rPr>
          <w:vertAlign w:val="subscript"/>
        </w:rPr>
        <w:t>Fe´L</w:t>
      </w:r>
      <w:r w:rsidRPr="00002D91">
        <w:t xml:space="preserve"> (a) and log </w:t>
      </w:r>
      <m:oMath>
        <m:sSub>
          <m:sSubPr>
            <m:ctrlPr>
              <w:rPr>
                <w:rFonts w:ascii="Cambria Math" w:hAnsi="Cambria Math"/>
                <w:i/>
              </w:rPr>
            </m:ctrlPr>
          </m:sSubPr>
          <m:e>
            <m:r>
              <m:rPr>
                <m:nor/>
              </m:rPr>
              <m:t>α</m:t>
            </m:r>
          </m:e>
          <m:sub>
            <m:r>
              <m:rPr>
                <m:nor/>
              </m:rPr>
              <w:rPr>
                <w:iCs/>
              </w:rPr>
              <m:t>Fe</m:t>
            </m:r>
            <m:r>
              <m:rPr>
                <m:sty m:val="p"/>
              </m:rPr>
              <w:rPr>
                <w:rFonts w:ascii="Cambria Math" w:hAnsi="Cambria Math"/>
              </w:rPr>
              <m:t>ˊ</m:t>
            </m:r>
            <m:r>
              <m:rPr>
                <m:nor/>
              </m:rPr>
              <w:rPr>
                <w:iCs/>
              </w:rPr>
              <m:t>L</m:t>
            </m:r>
          </m:sub>
        </m:sSub>
      </m:oMath>
      <w:r w:rsidRPr="00002D91">
        <w:t xml:space="preserve"> (b) according to the one-ligand model from overall samples analyzed using the TAC, SA and NN.</w:t>
      </w:r>
    </w:p>
    <w:p w14:paraId="6FEB6910" w14:textId="0922ADF3" w:rsidR="00FA093A" w:rsidRPr="00002D91" w:rsidRDefault="00ED7C37" w:rsidP="00FA093A">
      <w:r>
        <w:rPr>
          <w:noProof/>
        </w:rPr>
        <w:drawing>
          <wp:inline distT="0" distB="0" distL="0" distR="0" wp14:anchorId="1277F555" wp14:editId="19B4E185">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0DD0BCCC" w14:textId="71628B36" w:rsidR="00FA093A" w:rsidRDefault="00430834" w:rsidP="00FA093A">
      <w:r w:rsidRPr="00430834">
        <w:rPr>
          <w:b/>
          <w:bCs/>
        </w:rPr>
        <w:t xml:space="preserve">Supplementary Figure </w:t>
      </w:r>
      <w:r>
        <w:rPr>
          <w:b/>
          <w:bCs/>
        </w:rPr>
        <w:t>2</w:t>
      </w:r>
      <w:r w:rsidR="00FA093A" w:rsidRPr="00002D91">
        <w:t>. Comparison between ligand concentrations (a) [L</w:t>
      </w:r>
      <w:r w:rsidR="00FA093A" w:rsidRPr="00FA093A">
        <w:rPr>
          <w:vertAlign w:val="subscript"/>
        </w:rPr>
        <w:t>t</w:t>
      </w:r>
      <w:r w:rsidR="00FA093A" w:rsidRPr="00002D91">
        <w:t>]</w:t>
      </w:r>
      <w:r w:rsidR="00FA093A" w:rsidRPr="00FA093A">
        <w:rPr>
          <w:vertAlign w:val="subscript"/>
        </w:rPr>
        <w:t>TAC</w:t>
      </w:r>
      <w:r w:rsidR="00FA093A" w:rsidRPr="00002D91">
        <w:t xml:space="preserve"> versus [L</w:t>
      </w:r>
      <w:r w:rsidR="00FA093A" w:rsidRPr="00FA093A">
        <w:rPr>
          <w:vertAlign w:val="subscript"/>
        </w:rPr>
        <w:t>t</w:t>
      </w:r>
      <w:r w:rsidR="00FA093A" w:rsidRPr="00002D91">
        <w:t>]</w:t>
      </w:r>
      <w:r w:rsidR="00FA093A" w:rsidRPr="00FA093A">
        <w:rPr>
          <w:vertAlign w:val="subscript"/>
        </w:rPr>
        <w:t>SA</w:t>
      </w:r>
      <w:r w:rsidR="00FA093A" w:rsidRPr="00002D91">
        <w:t xml:space="preserve"> according to the one-ligand model. (b) [L</w:t>
      </w:r>
      <w:r w:rsidR="00FA093A" w:rsidRPr="00FA093A">
        <w:rPr>
          <w:vertAlign w:val="subscript"/>
        </w:rPr>
        <w:t>t</w:t>
      </w:r>
      <w:r w:rsidR="00FA093A" w:rsidRPr="00002D91">
        <w:t>]</w:t>
      </w:r>
      <w:r w:rsidR="00FA093A" w:rsidRPr="00FA093A">
        <w:rPr>
          <w:vertAlign w:val="subscript"/>
        </w:rPr>
        <w:t>SA</w:t>
      </w:r>
      <w:r w:rsidR="00FA093A" w:rsidRPr="00002D91">
        <w:t xml:space="preserve"> versus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L</m:t>
                </m:r>
              </m:e>
              <m:sub>
                <m:r>
                  <w:rPr>
                    <w:rFonts w:ascii="Cambria Math" w:hAnsi="Cambria Math"/>
                  </w:rPr>
                  <m:t>1+2(SA)</m:t>
                </m:r>
              </m:sub>
            </m:sSub>
          </m:e>
        </m:nary>
      </m:oMath>
      <w:r w:rsidR="00FA093A" w:rsidRPr="00002D91">
        <w:t xml:space="preserve">, the sum of </w:t>
      </w:r>
      <w:r w:rsidR="00FA093A" w:rsidRPr="00002D91">
        <w:softHyphen/>
        <w:t>the relatively strong and weak ligand groups [L</w:t>
      </w:r>
      <w:r w:rsidR="00FA093A" w:rsidRPr="00FA093A">
        <w:rPr>
          <w:vertAlign w:val="subscript"/>
        </w:rPr>
        <w:t>1</w:t>
      </w:r>
      <w:r w:rsidR="00FA093A" w:rsidRPr="00002D91">
        <w:t>]</w:t>
      </w:r>
      <w:r w:rsidR="00FA093A" w:rsidRPr="00FA093A">
        <w:rPr>
          <w:vertAlign w:val="subscript"/>
        </w:rPr>
        <w:t>SA</w:t>
      </w:r>
      <w:r w:rsidR="00FA093A" w:rsidRPr="00002D91">
        <w:t>, [L</w:t>
      </w:r>
      <w:r w:rsidR="00FA093A" w:rsidRPr="00FA093A">
        <w:rPr>
          <w:vertAlign w:val="subscript"/>
        </w:rPr>
        <w:t>2</w:t>
      </w:r>
      <w:r w:rsidR="00FA093A" w:rsidRPr="00002D91">
        <w:t>]</w:t>
      </w:r>
      <w:r w:rsidR="00FA093A" w:rsidRPr="00FA093A">
        <w:rPr>
          <w:vertAlign w:val="subscript"/>
        </w:rPr>
        <w:t>SA</w:t>
      </w:r>
      <w:r w:rsidR="00FA093A" w:rsidRPr="00002D91">
        <w:t>, obtained using SA according to the two-ligand model. (c) [L</w:t>
      </w:r>
      <w:r w:rsidR="00FA093A" w:rsidRPr="00FA093A">
        <w:rPr>
          <w:vertAlign w:val="subscript"/>
        </w:rPr>
        <w:t>t</w:t>
      </w:r>
      <w:r w:rsidR="00FA093A" w:rsidRPr="00002D91">
        <w:t>]</w:t>
      </w:r>
      <w:r w:rsidR="00FA093A" w:rsidRPr="00FA093A">
        <w:rPr>
          <w:vertAlign w:val="subscript"/>
        </w:rPr>
        <w:t>TAC</w:t>
      </w:r>
      <w:r w:rsidR="00FA093A" w:rsidRPr="00002D91">
        <w:t xml:space="preserve"> versus </w:t>
      </w:r>
      <m:oMath>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L</m:t>
                </m:r>
              </m:e>
              <m:sub>
                <m:r>
                  <w:rPr>
                    <w:rFonts w:ascii="Cambria Math" w:hAnsi="Cambria Math"/>
                  </w:rPr>
                  <m:t>1+2(TAC)</m:t>
                </m:r>
              </m:sub>
            </m:sSub>
          </m:e>
        </m:nary>
      </m:oMath>
      <w:r w:rsidR="00FA093A" w:rsidRPr="00002D91">
        <w:t xml:space="preserve">, the sum of </w:t>
      </w:r>
      <w:r w:rsidR="00FA093A" w:rsidRPr="00002D91">
        <w:softHyphen/>
        <w:t>the relatively strong and weak ligand groups [L</w:t>
      </w:r>
      <w:r w:rsidR="00FA093A" w:rsidRPr="00FA093A">
        <w:rPr>
          <w:vertAlign w:val="subscript"/>
        </w:rPr>
        <w:t>1</w:t>
      </w:r>
      <w:r w:rsidR="00FA093A" w:rsidRPr="00002D91">
        <w:t>]</w:t>
      </w:r>
      <w:r w:rsidR="00FA093A" w:rsidRPr="00FA093A">
        <w:rPr>
          <w:vertAlign w:val="subscript"/>
        </w:rPr>
        <w:t>TAC</w:t>
      </w:r>
      <w:r w:rsidR="00FA093A" w:rsidRPr="00002D91">
        <w:t>, [L</w:t>
      </w:r>
      <w:r w:rsidR="00FA093A" w:rsidRPr="00FA093A">
        <w:rPr>
          <w:vertAlign w:val="subscript"/>
        </w:rPr>
        <w:t>2</w:t>
      </w:r>
      <w:r w:rsidR="00FA093A" w:rsidRPr="00002D91">
        <w:t>]</w:t>
      </w:r>
      <w:r w:rsidR="00FA093A" w:rsidRPr="00FA093A">
        <w:rPr>
          <w:vertAlign w:val="subscript"/>
        </w:rPr>
        <w:t>TAC</w:t>
      </w:r>
      <w:r w:rsidR="00FA093A" w:rsidRPr="00002D91">
        <w:t>, obtained using TAC according to the two-ligand model. The diagonal line indicates the 1:1 ratio. Figures were made using the software package R.</w:t>
      </w:r>
    </w:p>
    <w:p w14:paraId="3BB3CF2B" w14:textId="6D62FA77" w:rsidR="00FA093A" w:rsidRPr="00FA093A" w:rsidRDefault="001E46A9" w:rsidP="00FA093A">
      <w:pPr>
        <w:rPr>
          <w:rFonts w:eastAsia="Times New Roman"/>
          <w:iCs/>
        </w:rPr>
      </w:pPr>
      <w:r>
        <w:rPr>
          <w:rFonts w:eastAsia="Times New Roman"/>
          <w:iCs/>
          <w:noProof/>
        </w:rPr>
        <w:drawing>
          <wp:inline distT="0" distB="0" distL="0" distR="0" wp14:anchorId="45E97221" wp14:editId="092F91C8">
            <wp:extent cx="5943600" cy="198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1BE784A0" w14:textId="6FD42973" w:rsidR="00FA093A" w:rsidRDefault="00430834" w:rsidP="00FA093A">
      <w:r w:rsidRPr="00430834">
        <w:rPr>
          <w:b/>
          <w:bCs/>
        </w:rPr>
        <w:t xml:space="preserve">Supplementary Figure </w:t>
      </w:r>
      <w:r>
        <w:rPr>
          <w:b/>
          <w:bCs/>
        </w:rPr>
        <w:t>3</w:t>
      </w:r>
      <w:r w:rsidR="00FA093A" w:rsidRPr="00002D91">
        <w:t>. The depth profiles of dissolved-Fe (DFe) and total ligand concentrations [L</w:t>
      </w:r>
      <w:r w:rsidR="00FA093A" w:rsidRPr="00FA093A">
        <w:rPr>
          <w:vertAlign w:val="subscript"/>
        </w:rPr>
        <w:t>t</w:t>
      </w:r>
      <w:r w:rsidR="00FA093A" w:rsidRPr="00002D91">
        <w:t xml:space="preserve">] of three different methods using different added ligands (TAC, SA and NN) for each station in Fram Strait and over the Northeast Greenland shelf. Station numbers are indicated at the bottom right of each figure. Figures were made using the software package R. </w:t>
      </w:r>
    </w:p>
    <w:p w14:paraId="64FF338C" w14:textId="00176312" w:rsidR="00F85434" w:rsidRDefault="00F85434" w:rsidP="00FA093A">
      <w:r>
        <w:rPr>
          <w:rFonts w:eastAsia="Times New Roman"/>
          <w:iCs/>
          <w:noProof/>
        </w:rPr>
        <w:lastRenderedPageBreak/>
        <w:drawing>
          <wp:anchor distT="0" distB="0" distL="114300" distR="114300" simplePos="0" relativeHeight="251659264" behindDoc="0" locked="0" layoutInCell="1" allowOverlap="1" wp14:anchorId="1C405EF7" wp14:editId="6C87F0C3">
            <wp:simplePos x="0" y="0"/>
            <wp:positionH relativeFrom="column">
              <wp:posOffset>0</wp:posOffset>
            </wp:positionH>
            <wp:positionV relativeFrom="paragraph">
              <wp:posOffset>306070</wp:posOffset>
            </wp:positionV>
            <wp:extent cx="5943600" cy="64865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48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8DAC5" w14:textId="77777777" w:rsidR="00FA093A" w:rsidRPr="00002D91" w:rsidRDefault="00FA093A" w:rsidP="00FA093A"/>
    <w:p w14:paraId="2D7B2A27" w14:textId="33F7CEF7" w:rsidR="00AA655C" w:rsidRDefault="00430834" w:rsidP="00FA093A">
      <w:r w:rsidRPr="00430834">
        <w:rPr>
          <w:b/>
          <w:bCs/>
        </w:rPr>
        <w:t xml:space="preserve">Supplementary Figure </w:t>
      </w:r>
      <w:r>
        <w:rPr>
          <w:b/>
          <w:bCs/>
        </w:rPr>
        <w:t>4</w:t>
      </w:r>
      <w:r w:rsidR="00FA093A" w:rsidRPr="00002D91">
        <w:t>. Boxplot of excess ligand concentrations (</w:t>
      </w:r>
      <w:r w:rsidR="00FA093A" w:rsidRPr="00FA093A">
        <w:rPr>
          <w:rFonts w:eastAsia="Times New Roman"/>
        </w:rPr>
        <w:t>[</w:t>
      </w:r>
      <w:r w:rsidR="00FA093A" w:rsidRPr="00002D91">
        <w:t>Lˊ]) the TAC (a) and SA (b) methods according to the one-ligand model. The added ligand used is indicated at the top left of each figure. The calculation was done using the script written in R software. The details of the boxplot are described in Figure 2</w:t>
      </w:r>
      <w:r w:rsidR="001E46A9">
        <w:t>.</w:t>
      </w:r>
    </w:p>
    <w:p w14:paraId="6F09AB1D" w14:textId="38E6EFF8" w:rsidR="001E46A9" w:rsidRDefault="001E46A9" w:rsidP="00FA093A">
      <w:r>
        <w:rPr>
          <w:noProof/>
        </w:rPr>
        <w:lastRenderedPageBreak/>
        <w:drawing>
          <wp:inline distT="0" distB="0" distL="0" distR="0" wp14:anchorId="4949B0D2" wp14:editId="38087E6D">
            <wp:extent cx="5934075" cy="2962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2962275"/>
                    </a:xfrm>
                    <a:prstGeom prst="rect">
                      <a:avLst/>
                    </a:prstGeom>
                    <a:noFill/>
                    <a:ln>
                      <a:noFill/>
                    </a:ln>
                  </pic:spPr>
                </pic:pic>
              </a:graphicData>
            </a:graphic>
          </wp:inline>
        </w:drawing>
      </w:r>
    </w:p>
    <w:sectPr w:rsidR="001E46A9" w:rsidSect="00FA0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w:altName w:val="Yu Gothic"/>
    <w:charset w:val="80"/>
    <w:family w:val="swiss"/>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74D8F"/>
    <w:multiLevelType w:val="hybridMultilevel"/>
    <w:tmpl w:val="DFD0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34351"/>
    <w:multiLevelType w:val="hybridMultilevel"/>
    <w:tmpl w:val="8D56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5C"/>
    <w:rsid w:val="000E393D"/>
    <w:rsid w:val="00187212"/>
    <w:rsid w:val="001E46A9"/>
    <w:rsid w:val="00430834"/>
    <w:rsid w:val="004C3B1E"/>
    <w:rsid w:val="00501045"/>
    <w:rsid w:val="00A35997"/>
    <w:rsid w:val="00AA655C"/>
    <w:rsid w:val="00AB6C8C"/>
    <w:rsid w:val="00D36E4B"/>
    <w:rsid w:val="00E03159"/>
    <w:rsid w:val="00ED7C37"/>
    <w:rsid w:val="00F85434"/>
    <w:rsid w:val="00FA093A"/>
    <w:rsid w:val="00FA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810D"/>
  <w15:chartTrackingRefBased/>
  <w15:docId w15:val="{59A95F9E-E9DD-4AFD-AED4-5C63D68D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5C"/>
    <w:pPr>
      <w:shd w:val="clear" w:color="auto" w:fill="FFFFFF"/>
      <w:spacing w:line="276" w:lineRule="auto"/>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5C"/>
    <w:rPr>
      <w:rFonts w:ascii="Segoe UI" w:hAnsi="Segoe UI" w:cs="Segoe UI"/>
      <w:sz w:val="18"/>
      <w:szCs w:val="18"/>
    </w:rPr>
  </w:style>
  <w:style w:type="paragraph" w:styleId="ListParagraph">
    <w:name w:val="List Paragraph"/>
    <w:basedOn w:val="Normal"/>
    <w:uiPriority w:val="34"/>
    <w:qFormat/>
    <w:rsid w:val="00AA655C"/>
    <w:pPr>
      <w:ind w:left="720"/>
      <w:contextualSpacing/>
    </w:pPr>
  </w:style>
  <w:style w:type="character" w:styleId="CommentReference">
    <w:name w:val="annotation reference"/>
    <w:uiPriority w:val="99"/>
    <w:semiHidden/>
    <w:unhideWhenUsed/>
    <w:rsid w:val="00AA655C"/>
    <w:rPr>
      <w:sz w:val="16"/>
      <w:szCs w:val="16"/>
    </w:rPr>
  </w:style>
  <w:style w:type="paragraph" w:styleId="CommentText">
    <w:name w:val="annotation text"/>
    <w:basedOn w:val="Normal"/>
    <w:link w:val="CommentTextChar"/>
    <w:uiPriority w:val="99"/>
    <w:unhideWhenUsed/>
    <w:rsid w:val="00AA655C"/>
    <w:pPr>
      <w:spacing w:line="240" w:lineRule="auto"/>
    </w:pPr>
    <w:rPr>
      <w:sz w:val="20"/>
      <w:szCs w:val="20"/>
    </w:rPr>
  </w:style>
  <w:style w:type="character" w:customStyle="1" w:styleId="CommentTextChar">
    <w:name w:val="Comment Text Char"/>
    <w:basedOn w:val="DefaultParagraphFont"/>
    <w:link w:val="CommentText"/>
    <w:uiPriority w:val="99"/>
    <w:rsid w:val="00AA655C"/>
    <w:rPr>
      <w:rFonts w:ascii="Times New Roman" w:eastAsia="Calibri" w:hAnsi="Times New Roman" w:cs="Times New Roman"/>
      <w:sz w:val="20"/>
      <w:szCs w:val="20"/>
      <w:shd w:val="clear" w:color="auto" w:fill="FFFFFF"/>
    </w:rPr>
  </w:style>
  <w:style w:type="table" w:styleId="TableGrid">
    <w:name w:val="Table Grid"/>
    <w:basedOn w:val="TableNormal"/>
    <w:uiPriority w:val="39"/>
    <w:rsid w:val="00AA65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A655C"/>
  </w:style>
  <w:style w:type="paragraph" w:styleId="CommentSubject">
    <w:name w:val="annotation subject"/>
    <w:basedOn w:val="CommentText"/>
    <w:next w:val="CommentText"/>
    <w:link w:val="CommentSubjectChar"/>
    <w:uiPriority w:val="99"/>
    <w:semiHidden/>
    <w:unhideWhenUsed/>
    <w:rsid w:val="00AA655C"/>
    <w:rPr>
      <w:b/>
      <w:bCs/>
    </w:rPr>
  </w:style>
  <w:style w:type="character" w:customStyle="1" w:styleId="CommentSubjectChar">
    <w:name w:val="Comment Subject Char"/>
    <w:basedOn w:val="CommentTextChar"/>
    <w:link w:val="CommentSubject"/>
    <w:uiPriority w:val="99"/>
    <w:semiHidden/>
    <w:rsid w:val="00AA655C"/>
    <w:rPr>
      <w:rFonts w:ascii="Times New Roman" w:eastAsia="Calibri" w:hAnsi="Times New Roman" w:cs="Times New Roman"/>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Indah Ardiningsih</dc:creator>
  <cp:keywords/>
  <dc:description/>
  <cp:lastModifiedBy>Frontiers</cp:lastModifiedBy>
  <cp:revision>11</cp:revision>
  <dcterms:created xsi:type="dcterms:W3CDTF">2020-09-10T05:25:00Z</dcterms:created>
  <dcterms:modified xsi:type="dcterms:W3CDTF">2021-01-15T15:27:00Z</dcterms:modified>
</cp:coreProperties>
</file>