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6F8C" w14:textId="550DCB1C" w:rsidR="00783E89" w:rsidRPr="00AD136D" w:rsidRDefault="00AD136D" w:rsidP="00AD136D">
      <w:pPr>
        <w:widowControl/>
        <w:spacing w:before="120" w:after="24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AD136D">
        <w:rPr>
          <w:rFonts w:ascii="Times New Roman" w:eastAsia="宋体" w:hAnsi="Times New Roman" w:cs="Times New Roman"/>
          <w:bCs/>
          <w:kern w:val="0"/>
          <w:sz w:val="24"/>
          <w:szCs w:val="24"/>
          <w:lang w:val="en-GB"/>
        </w:rPr>
        <w:t xml:space="preserve">Table.S1. List of </w:t>
      </w:r>
      <w:bookmarkStart w:id="0" w:name="_Hlk56084318"/>
      <w:r w:rsidRPr="00AD136D">
        <w:rPr>
          <w:rFonts w:ascii="Times New Roman" w:eastAsia="宋体" w:hAnsi="Times New Roman" w:cs="Times New Roman"/>
          <w:bCs/>
          <w:kern w:val="0"/>
          <w:sz w:val="24"/>
          <w:szCs w:val="24"/>
          <w:lang w:val="en-GB"/>
        </w:rPr>
        <w:t>dates and the developmental stages when (</w:t>
      </w:r>
      <w:proofErr w:type="spellStart"/>
      <w:r w:rsidRPr="00AD136D">
        <w:rPr>
          <w:rFonts w:ascii="Times New Roman" w:eastAsia="宋体" w:hAnsi="Times New Roman" w:cs="Times New Roman"/>
          <w:bCs/>
          <w:kern w:val="0"/>
          <w:sz w:val="24"/>
          <w:szCs w:val="24"/>
          <w:lang w:val="en-GB"/>
        </w:rPr>
        <w:t>i</w:t>
      </w:r>
      <w:proofErr w:type="spellEnd"/>
      <w:r w:rsidRPr="00AD136D">
        <w:rPr>
          <w:rFonts w:ascii="Times New Roman" w:eastAsia="宋体" w:hAnsi="Times New Roman" w:cs="Times New Roman"/>
          <w:bCs/>
          <w:kern w:val="0"/>
          <w:sz w:val="24"/>
          <w:szCs w:val="24"/>
          <w:lang w:val="en-GB"/>
        </w:rPr>
        <w:t xml:space="preserve">) seeds were sown, (ii) K was applied, (iii) waterlogging treatments were applied, (iv) material was collected, (v) measurements were taken, and (vi) grain was harvested. Numbers in brackets are </w:t>
      </w:r>
      <w:proofErr w:type="spellStart"/>
      <w:r w:rsidRPr="00AD136D">
        <w:rPr>
          <w:rFonts w:ascii="Times New Roman" w:eastAsia="宋体" w:hAnsi="Times New Roman" w:cs="Times New Roman"/>
          <w:bCs/>
          <w:kern w:val="0"/>
          <w:sz w:val="24"/>
          <w:szCs w:val="24"/>
          <w:lang w:val="en-GB"/>
        </w:rPr>
        <w:t>Zadoks</w:t>
      </w:r>
      <w:proofErr w:type="spellEnd"/>
      <w:r w:rsidRPr="00AD136D">
        <w:rPr>
          <w:rFonts w:ascii="Times New Roman" w:eastAsia="宋体" w:hAnsi="Times New Roman" w:cs="Times New Roman"/>
          <w:bCs/>
          <w:kern w:val="0"/>
          <w:sz w:val="24"/>
          <w:szCs w:val="24"/>
          <w:lang w:val="en-GB"/>
        </w:rPr>
        <w:t xml:space="preserve"> decimal codes, which refer to the growth stages of cereals.</w:t>
      </w:r>
      <w:bookmarkEnd w:id="0"/>
    </w:p>
    <w:tbl>
      <w:tblPr>
        <w:tblW w:w="14454" w:type="dxa"/>
        <w:tblLook w:val="04A0" w:firstRow="1" w:lastRow="0" w:firstColumn="1" w:lastColumn="0" w:noHBand="0" w:noVBand="1"/>
      </w:tblPr>
      <w:tblGrid>
        <w:gridCol w:w="1094"/>
        <w:gridCol w:w="3296"/>
        <w:gridCol w:w="3402"/>
        <w:gridCol w:w="3274"/>
        <w:gridCol w:w="3388"/>
      </w:tblGrid>
      <w:tr w:rsidR="00AD136D" w:rsidRPr="00AD136D" w14:paraId="26F5A52A" w14:textId="77777777" w:rsidTr="006328A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9C6E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16C7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C2EF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W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15D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C+K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E51E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W+K</w:t>
            </w:r>
          </w:p>
        </w:tc>
      </w:tr>
      <w:tr w:rsidR="00AD136D" w:rsidRPr="00AD136D" w14:paraId="1D209AB4" w14:textId="77777777" w:rsidTr="006328A9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FA13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22-Nov-19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7F1F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Sowing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0.375 g K pot-1 as basal fertilizer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A864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Sowing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</w:p>
          <w:p w14:paraId="04950642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0.375 g K pot-1 as basal fertilizer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1DC440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Sowing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0.75 g K pot-1 as basal fertilizer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FEC6E1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Sowing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0.75 g K pot-1 as basal fertilizer</w:t>
            </w:r>
          </w:p>
        </w:tc>
      </w:tr>
      <w:tr w:rsidR="00AD136D" w:rsidRPr="00AD136D" w14:paraId="2EE3759D" w14:textId="77777777" w:rsidTr="006328A9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B3A0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2-Mar-20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B87F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Stem elongation stage (37)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Well watering treatment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60C2E5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Stem elongation stage (37)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Waterlogging treatment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8E19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Stem elongation stage (37)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Well watering treatment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555D26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Stem elongation stage (37)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Waterlogging treatment</w:t>
            </w:r>
          </w:p>
        </w:tc>
      </w:tr>
      <w:tr w:rsidR="00AD136D" w:rsidRPr="00AD136D" w14:paraId="02762F3E" w14:textId="77777777" w:rsidTr="006328A9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6B5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9-Mar-20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D351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Stem elongation stage (39) </w:t>
            </w:r>
          </w:p>
          <w:p w14:paraId="05E7A40B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Sampling, gas-exchange and chlorophyll fluorescence measurements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F6C4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Stem elongation stage (39) </w:t>
            </w: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Drainage, sampling, gas-exchange and chlorophyll fluorescence measurements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7C98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Stem elongation stage (39) </w:t>
            </w:r>
          </w:p>
          <w:p w14:paraId="762FA051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Sampling, gas-exchange and chlorophyll fluorescence measurements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401C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Stem elongation stage (39) </w:t>
            </w: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Drainage, sampling, gas-exchange and chlorophyll fluorescence measurement</w:t>
            </w: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AD136D" w:rsidRPr="00AD136D" w14:paraId="32984FA2" w14:textId="77777777" w:rsidTr="006328A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126D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24-Mar-20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9C37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Anthesis </w:t>
            </w:r>
            <w:proofErr w:type="gramStart"/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date(</w:t>
            </w:r>
            <w:proofErr w:type="gramEnd"/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61)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50% of the spikes in this treatment bloomed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D8CB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A0D1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Anthesis </w:t>
            </w:r>
            <w:proofErr w:type="gramStart"/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date(</w:t>
            </w:r>
            <w:proofErr w:type="gramEnd"/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61)                   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50% of the spikes in this treatment bloomed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26D4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Anthesis </w:t>
            </w:r>
            <w:proofErr w:type="gramStart"/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date(</w:t>
            </w:r>
            <w:proofErr w:type="gramEnd"/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61)                   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50% of the spikes in this treatment bloomed</w:t>
            </w:r>
          </w:p>
        </w:tc>
      </w:tr>
      <w:tr w:rsidR="00AD136D" w:rsidRPr="00AD136D" w14:paraId="45436C17" w14:textId="77777777" w:rsidTr="006328A9">
        <w:trPr>
          <w:trHeight w:val="6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1AC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25-Mar-20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6278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5E7144CC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3095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Anthesis </w:t>
            </w:r>
            <w:proofErr w:type="gramStart"/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date(</w:t>
            </w:r>
            <w:proofErr w:type="gramEnd"/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61)                   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A23C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0551DD66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4070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1B5FCCE0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</w:tr>
      <w:tr w:rsidR="00AD136D" w:rsidRPr="00AD136D" w14:paraId="09BB192D" w14:textId="77777777" w:rsidTr="006328A9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8978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31-Mar-20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95A4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7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4E8D6E46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4807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6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11F3EACB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34B4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7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2589B7C2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4334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7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5B2DDE6E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</w:tr>
      <w:tr w:rsidR="00AD136D" w:rsidRPr="00AD136D" w14:paraId="7C9CF918" w14:textId="77777777" w:rsidTr="006328A9">
        <w:trPr>
          <w:trHeight w:val="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8672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7-Apr-20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BEF9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14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Gas-exchange, chlorophyll fluorescence and SPAD measurements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1E17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13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0BB524B6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111D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14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Gas-exchange, chlorophyll fluorescence and SPAD measurements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6BD0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14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057BE215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</w:tr>
      <w:tr w:rsidR="00AD136D" w:rsidRPr="00AD136D" w14:paraId="1672C08B" w14:textId="77777777" w:rsidTr="006328A9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1A23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14-Apr-20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7379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21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Gas-exchange, chlorophyll fluorescence and SPAD measurements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E318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20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69F6C60A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61EC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21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Gas-exchange, chlorophyll fluorescence and SPAD measurements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70FA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21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68080348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</w:tr>
      <w:tr w:rsidR="00AD136D" w:rsidRPr="00AD136D" w14:paraId="4BC74409" w14:textId="77777777" w:rsidTr="006328A9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50BD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21-Apr-20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3E00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28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Gas-exchange, chlorophyll fluorescence and SPAD measurements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4995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27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4F19D330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AE3B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28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Gas-exchange, chlorophyll fluorescence and SPAD measurements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E674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28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105C9B87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</w:tr>
      <w:tr w:rsidR="00AD136D" w:rsidRPr="00AD136D" w14:paraId="780FC57A" w14:textId="77777777" w:rsidTr="006328A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FDBD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28-Apr-20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07C9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35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Gas-exchange, chlorophyll fluorescence and SPAD measurements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98D8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34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53873C62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51FF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35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Gas-exchange, chlorophyll fluorescence and SPAD measurements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67AC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35 Days after anthesis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1F1808A1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Gas-exchange, chlorophyll fluorescence and SPAD measurements</w:t>
            </w:r>
          </w:p>
        </w:tc>
      </w:tr>
      <w:tr w:rsidR="00AD136D" w:rsidRPr="00AD136D" w14:paraId="3F543E5A" w14:textId="77777777" w:rsidTr="006328A9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D3FB" w14:textId="77777777" w:rsidR="00AD136D" w:rsidRPr="00AD136D" w:rsidRDefault="00AD136D" w:rsidP="006328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4-May-20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04FE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Ripening (99)                      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Harvest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890D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Ripening (99)                      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Harvest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661A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Ripening (99)                      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Harvest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DDFD" w14:textId="77777777" w:rsidR="00AD136D" w:rsidRPr="00AD136D" w:rsidRDefault="00AD136D" w:rsidP="006328A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D136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Ripening (99)                           </w:t>
            </w:r>
            <w:r w:rsidRPr="00AD136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Harvest </w:t>
            </w:r>
          </w:p>
        </w:tc>
      </w:tr>
    </w:tbl>
    <w:p w14:paraId="5EA7B0A5" w14:textId="77777777" w:rsidR="00AD136D" w:rsidRPr="00AD136D" w:rsidRDefault="00AD136D" w:rsidP="00AD136D">
      <w:pPr>
        <w:rPr>
          <w:rFonts w:ascii="Times New Roman" w:hAnsi="Times New Roman" w:cs="Times New Roman" w:hint="eastAsia"/>
          <w:sz w:val="18"/>
          <w:szCs w:val="18"/>
        </w:rPr>
      </w:pPr>
    </w:p>
    <w:sectPr w:rsidR="00AD136D" w:rsidRPr="00AD136D" w:rsidSect="00AD13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FEC0" w14:textId="77777777" w:rsidR="00A12486" w:rsidRDefault="00A12486" w:rsidP="00AD136D">
      <w:r>
        <w:separator/>
      </w:r>
    </w:p>
  </w:endnote>
  <w:endnote w:type="continuationSeparator" w:id="0">
    <w:p w14:paraId="254EBA2D" w14:textId="77777777" w:rsidR="00A12486" w:rsidRDefault="00A12486" w:rsidP="00AD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B87C" w14:textId="77777777" w:rsidR="00A12486" w:rsidRDefault="00A12486" w:rsidP="00AD136D">
      <w:r>
        <w:separator/>
      </w:r>
    </w:p>
  </w:footnote>
  <w:footnote w:type="continuationSeparator" w:id="0">
    <w:p w14:paraId="42CE308E" w14:textId="77777777" w:rsidR="00A12486" w:rsidRDefault="00A12486" w:rsidP="00AD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36"/>
    <w:rsid w:val="001D75CF"/>
    <w:rsid w:val="00783E89"/>
    <w:rsid w:val="00A12486"/>
    <w:rsid w:val="00AD136D"/>
    <w:rsid w:val="00C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55B69"/>
  <w15:chartTrackingRefBased/>
  <w15:docId w15:val="{91171982-7E69-41EE-AC26-19DF0BC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3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敬文</dc:creator>
  <cp:keywords/>
  <dc:description/>
  <cp:lastModifiedBy>敬文</cp:lastModifiedBy>
  <cp:revision>2</cp:revision>
  <dcterms:created xsi:type="dcterms:W3CDTF">2020-11-12T07:00:00Z</dcterms:created>
  <dcterms:modified xsi:type="dcterms:W3CDTF">2020-11-12T07:09:00Z</dcterms:modified>
</cp:coreProperties>
</file>