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75B1B" w14:textId="77777777" w:rsidR="00E35652" w:rsidRPr="00E35652" w:rsidRDefault="00E35652" w:rsidP="00E35652">
      <w:pPr>
        <w:widowControl w:val="0"/>
        <w:autoSpaceDE w:val="0"/>
        <w:autoSpaceDN w:val="0"/>
        <w:adjustRightInd w:val="0"/>
        <w:spacing w:line="480" w:lineRule="auto"/>
        <w:rPr>
          <w:rStyle w:val="fontstyle01"/>
          <w:rFonts w:ascii="Times New Roman" w:eastAsiaTheme="minorEastAsia" w:hAnsi="Times New Roman"/>
          <w:bCs w:val="0"/>
          <w:sz w:val="24"/>
          <w:szCs w:val="24"/>
        </w:rPr>
      </w:pPr>
      <w:r w:rsidRPr="00E35652">
        <w:rPr>
          <w:b/>
          <w:color w:val="231F20"/>
        </w:rPr>
        <w:t xml:space="preserve">Supplementary </w:t>
      </w:r>
      <w:r w:rsidRPr="00E35652">
        <w:rPr>
          <w:rStyle w:val="fontstyle01"/>
          <w:rFonts w:ascii="Times New Roman" w:eastAsiaTheme="minorEastAsia" w:hAnsi="Times New Roman"/>
          <w:sz w:val="24"/>
          <w:szCs w:val="24"/>
        </w:rPr>
        <w:t xml:space="preserve">Table 1. The number of specimens enrolled in IHC assays </w:t>
      </w:r>
    </w:p>
    <w:tbl>
      <w:tblPr>
        <w:tblStyle w:val="6"/>
        <w:tblW w:w="13196" w:type="dxa"/>
        <w:tblLook w:val="0420" w:firstRow="1" w:lastRow="0" w:firstColumn="0" w:lastColumn="0" w:noHBand="0" w:noVBand="1"/>
      </w:tblPr>
      <w:tblGrid>
        <w:gridCol w:w="2228"/>
        <w:gridCol w:w="399"/>
        <w:gridCol w:w="2628"/>
        <w:gridCol w:w="249"/>
        <w:gridCol w:w="2380"/>
        <w:gridCol w:w="1770"/>
        <w:gridCol w:w="1771"/>
        <w:gridCol w:w="1771"/>
      </w:tblGrid>
      <w:tr w:rsidR="00E35652" w:rsidRPr="00E35652" w14:paraId="19C65C7D" w14:textId="77777777" w:rsidTr="0086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222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7F1971" w14:textId="77777777" w:rsidR="00E35652" w:rsidRPr="00E35652" w:rsidRDefault="00E35652" w:rsidP="0086107A">
            <w:pPr>
              <w:spacing w:line="480" w:lineRule="auto"/>
              <w:jc w:val="center"/>
              <w:rPr>
                <w:b w:val="0"/>
                <w:bCs w:val="0"/>
              </w:rPr>
            </w:pPr>
          </w:p>
        </w:tc>
        <w:tc>
          <w:tcPr>
            <w:tcW w:w="5656" w:type="dxa"/>
            <w:gridSpan w:val="4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9FFB6A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35652">
              <w:rPr>
                <w:rFonts w:ascii="Times New Roman" w:eastAsiaTheme="minorEastAsia" w:hAnsi="Times New Roman" w:cs="Times New Roman"/>
                <w:b w:val="0"/>
                <w:bCs w:val="0"/>
                <w:kern w:val="24"/>
              </w:rPr>
              <w:t>Definition of Outcome</w:t>
            </w:r>
          </w:p>
        </w:tc>
        <w:tc>
          <w:tcPr>
            <w:tcW w:w="1770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20E0945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35652">
              <w:rPr>
                <w:rFonts w:ascii="Times New Roman" w:eastAsia="等线" w:hAnsi="Times New Roman" w:cs="Times New Roman"/>
                <w:b w:val="0"/>
                <w:bCs w:val="0"/>
                <w:kern w:val="24"/>
              </w:rPr>
              <w:t>Total</w:t>
            </w:r>
          </w:p>
        </w:tc>
        <w:tc>
          <w:tcPr>
            <w:tcW w:w="177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F865A2F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35652">
              <w:rPr>
                <w:rFonts w:ascii="Times New Roman" w:eastAsia="等线" w:hAnsi="Times New Roman" w:cs="Times New Roman"/>
                <w:b w:val="0"/>
                <w:bCs w:val="0"/>
                <w:kern w:val="24"/>
              </w:rPr>
              <w:t>Ileum</w:t>
            </w:r>
          </w:p>
        </w:tc>
        <w:tc>
          <w:tcPr>
            <w:tcW w:w="1771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3E86CE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E35652">
              <w:rPr>
                <w:rFonts w:ascii="Times New Roman" w:eastAsia="等线" w:hAnsi="Times New Roman" w:cs="Times New Roman"/>
                <w:b w:val="0"/>
                <w:bCs w:val="0"/>
                <w:kern w:val="24"/>
              </w:rPr>
              <w:t>Colon</w:t>
            </w:r>
          </w:p>
        </w:tc>
      </w:tr>
      <w:tr w:rsidR="00E35652" w:rsidRPr="00E35652" w14:paraId="745F8E7D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tcW w:w="2228" w:type="dxa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9D6DE1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 xml:space="preserve">Matched pairs </w:t>
            </w:r>
          </w:p>
          <w:p w14:paraId="7313A293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(53 pairs)</w:t>
            </w:r>
          </w:p>
        </w:tc>
        <w:tc>
          <w:tcPr>
            <w:tcW w:w="3276" w:type="dxa"/>
            <w:gridSpan w:val="3"/>
            <w:vMerge w:val="restart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350C96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Histologic score</w:t>
            </w:r>
          </w:p>
          <w:p w14:paraId="5D4B52C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  <w:kern w:val="24"/>
              </w:rPr>
              <w:t>（</w:t>
            </w:r>
            <w:proofErr w:type="spellStart"/>
            <w:r w:rsidRPr="00E35652">
              <w:rPr>
                <w:rFonts w:ascii="Times New Roman" w:hAnsi="Times New Roman" w:cs="Times New Roman"/>
                <w:kern w:val="24"/>
              </w:rPr>
              <w:t>m</w:t>
            </w:r>
            <w:r w:rsidRPr="00E35652">
              <w:rPr>
                <w:rFonts w:ascii="Times New Roman" w:eastAsia="等线" w:hAnsi="Times New Roman" w:cs="Times New Roman"/>
                <w:kern w:val="24"/>
              </w:rPr>
              <w:t>GHAS</w:t>
            </w:r>
            <w:proofErr w:type="spellEnd"/>
            <w:r w:rsidRPr="00E35652">
              <w:rPr>
                <w:rFonts w:ascii="Times New Roman" w:hAnsi="Times New Roman" w:cs="Times New Roman"/>
                <w:kern w:val="24"/>
              </w:rPr>
              <w:t>）</w:t>
            </w:r>
          </w:p>
        </w:tc>
        <w:tc>
          <w:tcPr>
            <w:tcW w:w="238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DB283E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Responders</w:t>
            </w:r>
          </w:p>
        </w:tc>
        <w:tc>
          <w:tcPr>
            <w:tcW w:w="1770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7A8A23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14</w:t>
            </w:r>
          </w:p>
        </w:tc>
        <w:tc>
          <w:tcPr>
            <w:tcW w:w="177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121F0E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3</w:t>
            </w:r>
          </w:p>
        </w:tc>
        <w:tc>
          <w:tcPr>
            <w:tcW w:w="1771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E3E3AB9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11</w:t>
            </w:r>
          </w:p>
        </w:tc>
      </w:tr>
      <w:tr w:rsidR="00E35652" w:rsidRPr="00E35652" w14:paraId="62AF5C84" w14:textId="77777777" w:rsidTr="0086107A">
        <w:trPr>
          <w:trHeight w:val="591"/>
        </w:trPr>
        <w:tc>
          <w:tcPr>
            <w:tcW w:w="2228" w:type="dxa"/>
            <w:vMerge/>
            <w:shd w:val="clear" w:color="auto" w:fill="auto"/>
            <w:vAlign w:val="center"/>
            <w:hideMark/>
          </w:tcPr>
          <w:p w14:paraId="10EA55F6" w14:textId="77777777" w:rsidR="00E35652" w:rsidRPr="00E35652" w:rsidRDefault="00E35652" w:rsidP="0086107A">
            <w:pPr>
              <w:spacing w:line="480" w:lineRule="auto"/>
              <w:jc w:val="center"/>
              <w:rPr>
                <w:rFonts w:eastAsia="宋体"/>
              </w:rPr>
            </w:pPr>
          </w:p>
        </w:tc>
        <w:tc>
          <w:tcPr>
            <w:tcW w:w="3276" w:type="dxa"/>
            <w:gridSpan w:val="3"/>
            <w:vMerge/>
            <w:shd w:val="clear" w:color="auto" w:fill="auto"/>
            <w:vAlign w:val="center"/>
            <w:hideMark/>
          </w:tcPr>
          <w:p w14:paraId="08F07E49" w14:textId="77777777" w:rsidR="00E35652" w:rsidRPr="00E35652" w:rsidRDefault="00E35652" w:rsidP="0086107A">
            <w:pPr>
              <w:spacing w:line="480" w:lineRule="auto"/>
              <w:jc w:val="center"/>
              <w:rPr>
                <w:rFonts w:eastAsia="宋体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0D2967AD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Non-responders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087B1152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7454367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7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5DBACF4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32</w:t>
            </w:r>
          </w:p>
        </w:tc>
      </w:tr>
      <w:tr w:rsidR="00E35652" w:rsidRPr="00E35652" w14:paraId="76FB0BBA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tcW w:w="2228" w:type="dxa"/>
            <w:vMerge/>
            <w:shd w:val="clear" w:color="auto" w:fill="auto"/>
            <w:vAlign w:val="center"/>
            <w:hideMark/>
          </w:tcPr>
          <w:p w14:paraId="7C7D1FD9" w14:textId="77777777" w:rsidR="00E35652" w:rsidRPr="00E35652" w:rsidRDefault="00E35652" w:rsidP="0086107A">
            <w:pPr>
              <w:spacing w:line="480" w:lineRule="auto"/>
              <w:jc w:val="center"/>
              <w:rPr>
                <w:rFonts w:eastAsia="宋体"/>
              </w:rPr>
            </w:pPr>
          </w:p>
        </w:tc>
        <w:tc>
          <w:tcPr>
            <w:tcW w:w="3276" w:type="dxa"/>
            <w:gridSpan w:val="3"/>
            <w:vMerge w:val="restart"/>
            <w:shd w:val="clear" w:color="auto" w:fill="auto"/>
            <w:vAlign w:val="center"/>
            <w:hideMark/>
          </w:tcPr>
          <w:p w14:paraId="673BB74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Endoscopic score</w:t>
            </w:r>
          </w:p>
          <w:p w14:paraId="78F1EFF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(CDEIS)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14:paraId="7490794D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Responders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14:paraId="658A6865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25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09D3DA6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4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14:paraId="1F6EC151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21</w:t>
            </w:r>
          </w:p>
        </w:tc>
      </w:tr>
      <w:tr w:rsidR="00E35652" w:rsidRPr="00E35652" w14:paraId="445BE64F" w14:textId="77777777" w:rsidTr="0086107A">
        <w:trPr>
          <w:trHeight w:val="591"/>
        </w:trPr>
        <w:tc>
          <w:tcPr>
            <w:tcW w:w="2228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17FDCD78" w14:textId="77777777" w:rsidR="00E35652" w:rsidRPr="00E35652" w:rsidRDefault="00E35652" w:rsidP="0086107A">
            <w:pPr>
              <w:spacing w:line="480" w:lineRule="auto"/>
              <w:jc w:val="center"/>
              <w:rPr>
                <w:rFonts w:eastAsia="宋体"/>
              </w:rPr>
            </w:pPr>
          </w:p>
        </w:tc>
        <w:tc>
          <w:tcPr>
            <w:tcW w:w="3276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7EC02179" w14:textId="77777777" w:rsidR="00E35652" w:rsidRPr="00E35652" w:rsidRDefault="00E35652" w:rsidP="0086107A">
            <w:pPr>
              <w:spacing w:line="480" w:lineRule="auto"/>
              <w:jc w:val="center"/>
              <w:rPr>
                <w:rFonts w:eastAsia="宋体"/>
              </w:rPr>
            </w:pPr>
          </w:p>
        </w:tc>
        <w:tc>
          <w:tcPr>
            <w:tcW w:w="238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D11798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Non-responders</w:t>
            </w: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0F82E6C8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28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BDC41D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6</w:t>
            </w:r>
          </w:p>
        </w:tc>
        <w:tc>
          <w:tcPr>
            <w:tcW w:w="1771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3BD70EB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22</w:t>
            </w:r>
          </w:p>
        </w:tc>
      </w:tr>
      <w:tr w:rsidR="00E35652" w:rsidRPr="00E35652" w14:paraId="7CFE387C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262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149F332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 xml:space="preserve">Total Specimens </w:t>
            </w:r>
          </w:p>
          <w:p w14:paraId="3A7A1976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(147, including not-matched specimens)</w:t>
            </w:r>
          </w:p>
        </w:tc>
        <w:tc>
          <w:tcPr>
            <w:tcW w:w="26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2FA9D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His</w:t>
            </w:r>
            <w:r w:rsidRPr="00E35652">
              <w:rPr>
                <w:rFonts w:ascii="Times New Roman" w:eastAsia="等线" w:hAnsi="Times New Roman" w:cs="Times New Roman"/>
                <w:kern w:val="24"/>
              </w:rPr>
              <w:t>tologic disease activity</w:t>
            </w:r>
          </w:p>
        </w:tc>
        <w:tc>
          <w:tcPr>
            <w:tcW w:w="26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93A57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F40034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14:paraId="75CA78F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center"/>
          </w:tcPr>
          <w:p w14:paraId="73902C3E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22</w:t>
            </w:r>
          </w:p>
        </w:tc>
      </w:tr>
      <w:tr w:rsidR="00E35652" w:rsidRPr="00E35652" w14:paraId="35BE7660" w14:textId="77777777" w:rsidTr="0086107A">
        <w:trPr>
          <w:trHeight w:val="570"/>
        </w:trPr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3FC9F7E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4237AFA2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59B07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4D3C489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91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B27869F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19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6646D35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72</w:t>
            </w:r>
          </w:p>
        </w:tc>
      </w:tr>
      <w:tr w:rsidR="00E35652" w:rsidRPr="00E35652" w14:paraId="72629C9C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66D01ED5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93BC90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9C618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B56F45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18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1E80466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4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CFD7448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14</w:t>
            </w:r>
          </w:p>
        </w:tc>
      </w:tr>
      <w:tr w:rsidR="00E35652" w:rsidRPr="00E35652" w14:paraId="12346EC2" w14:textId="77777777" w:rsidTr="0086107A">
        <w:trPr>
          <w:trHeight w:val="429"/>
        </w:trPr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4C1EFE3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C0A5878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Endoscopic</w:t>
            </w:r>
            <w:r w:rsidRPr="00E35652">
              <w:rPr>
                <w:rFonts w:ascii="Times New Roman" w:eastAsia="等线" w:hAnsi="Times New Roman" w:cs="Times New Roman"/>
                <w:kern w:val="24"/>
              </w:rPr>
              <w:t xml:space="preserve"> disease activity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14:paraId="13F0D60D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inactive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9507E2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10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035D7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4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C24FE16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6</w:t>
            </w:r>
          </w:p>
        </w:tc>
      </w:tr>
      <w:tr w:rsidR="00E35652" w:rsidRPr="00E35652" w14:paraId="78786011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0089B703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3E3E99D9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14:paraId="02A0F6AC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 xml:space="preserve">  mild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423E572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21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02632C4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476466B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16</w:t>
            </w:r>
          </w:p>
        </w:tc>
      </w:tr>
      <w:tr w:rsidR="00E35652" w:rsidRPr="00E35652" w14:paraId="41AAB27A" w14:textId="77777777" w:rsidTr="0086107A">
        <w:trPr>
          <w:trHeight w:val="428"/>
        </w:trPr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3D0A6D4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/>
            <w:shd w:val="clear" w:color="auto" w:fill="auto"/>
            <w:vAlign w:val="center"/>
          </w:tcPr>
          <w:p w14:paraId="540F156F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14:paraId="61B61897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1DA4DD2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22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EE83985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6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DF3810D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16</w:t>
            </w:r>
          </w:p>
        </w:tc>
      </w:tr>
      <w:tr w:rsidR="00E35652" w:rsidRPr="00E35652" w14:paraId="1522821C" w14:textId="77777777" w:rsidTr="0086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2627" w:type="dxa"/>
            <w:gridSpan w:val="2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C8DDB98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</w:p>
        </w:tc>
        <w:tc>
          <w:tcPr>
            <w:tcW w:w="2628" w:type="dxa"/>
            <w:vMerge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92E37EC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gridSpan w:val="2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D24538A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hAnsi="Times New Roman" w:cs="Times New Roman"/>
              </w:rPr>
            </w:pPr>
            <w:r w:rsidRPr="00E35652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770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5A5CA3E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94</w:t>
            </w:r>
          </w:p>
        </w:tc>
        <w:tc>
          <w:tcPr>
            <w:tcW w:w="177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744CA920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24</w:t>
            </w:r>
          </w:p>
        </w:tc>
        <w:tc>
          <w:tcPr>
            <w:tcW w:w="1771" w:type="dxa"/>
            <w:tcBorders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C013386" w14:textId="77777777" w:rsidR="00E35652" w:rsidRPr="00E35652" w:rsidRDefault="00E35652" w:rsidP="0086107A">
            <w:pPr>
              <w:pStyle w:val="a7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kern w:val="24"/>
              </w:rPr>
            </w:pPr>
            <w:r w:rsidRPr="00E35652">
              <w:rPr>
                <w:rFonts w:ascii="Times New Roman" w:eastAsia="等线" w:hAnsi="Times New Roman" w:cs="Times New Roman"/>
                <w:kern w:val="24"/>
              </w:rPr>
              <w:t>70</w:t>
            </w:r>
          </w:p>
        </w:tc>
      </w:tr>
    </w:tbl>
    <w:p w14:paraId="67E62B42" w14:textId="77777777" w:rsidR="00E35652" w:rsidRPr="00E35652" w:rsidRDefault="00E35652" w:rsidP="00E35652">
      <w:pPr>
        <w:widowControl w:val="0"/>
        <w:autoSpaceDE w:val="0"/>
        <w:autoSpaceDN w:val="0"/>
        <w:adjustRightInd w:val="0"/>
        <w:spacing w:line="480" w:lineRule="auto"/>
        <w:rPr>
          <w:rStyle w:val="fontstyle01"/>
          <w:rFonts w:ascii="Times New Roman" w:eastAsiaTheme="minorEastAsia" w:hAnsi="Times New Roman"/>
          <w:sz w:val="24"/>
          <w:szCs w:val="24"/>
        </w:rPr>
      </w:pPr>
      <w:proofErr w:type="spellStart"/>
      <w:r w:rsidRPr="00E35652">
        <w:rPr>
          <w:rFonts w:eastAsia="等线"/>
          <w:color w:val="000000"/>
        </w:rPr>
        <w:t>mGHAS</w:t>
      </w:r>
      <w:proofErr w:type="spellEnd"/>
      <w:r w:rsidRPr="00E35652">
        <w:rPr>
          <w:rFonts w:eastAsia="等线"/>
          <w:color w:val="000000"/>
        </w:rPr>
        <w:t xml:space="preserve">, modified Global Histologic Disease Activity Score; </w:t>
      </w:r>
      <w:r w:rsidRPr="00E35652">
        <w:rPr>
          <w:rStyle w:val="fontstyle01"/>
          <w:rFonts w:ascii="Times New Roman" w:eastAsiaTheme="minorEastAsia" w:hAnsi="Times New Roman"/>
          <w:b w:val="0"/>
          <w:bCs w:val="0"/>
          <w:sz w:val="24"/>
          <w:szCs w:val="24"/>
        </w:rPr>
        <w:t>CDEIS,</w:t>
      </w:r>
      <w:r w:rsidRPr="00E35652">
        <w:rPr>
          <w:rStyle w:val="fontstyle01"/>
          <w:rFonts w:ascii="Times New Roman" w:eastAsiaTheme="minorEastAsia" w:hAnsi="Times New Roman"/>
          <w:sz w:val="24"/>
          <w:szCs w:val="24"/>
        </w:rPr>
        <w:t xml:space="preserve"> </w:t>
      </w:r>
      <w:r w:rsidRPr="00E35652">
        <w:rPr>
          <w:rFonts w:eastAsia="等线"/>
          <w:color w:val="000000" w:themeColor="text1"/>
        </w:rPr>
        <w:t>Crohn’s Disease Endoscopic Index of Severity</w:t>
      </w:r>
      <w:r w:rsidRPr="00E35652">
        <w:rPr>
          <w:rStyle w:val="fontstyle01"/>
          <w:rFonts w:ascii="Times New Roman" w:eastAsiaTheme="minorEastAsia" w:hAnsi="Times New Roman"/>
          <w:sz w:val="24"/>
          <w:szCs w:val="24"/>
        </w:rPr>
        <w:t>.</w:t>
      </w:r>
    </w:p>
    <w:p w14:paraId="041680EF" w14:textId="77777777" w:rsidR="00E35652" w:rsidRPr="00E35652" w:rsidRDefault="00E35652" w:rsidP="00E35652">
      <w:pPr>
        <w:widowControl w:val="0"/>
        <w:autoSpaceDE w:val="0"/>
        <w:autoSpaceDN w:val="0"/>
        <w:adjustRightInd w:val="0"/>
        <w:spacing w:line="480" w:lineRule="auto"/>
        <w:rPr>
          <w:rStyle w:val="fontstyle01"/>
          <w:rFonts w:ascii="Times New Roman" w:eastAsiaTheme="minorEastAsia" w:hAnsi="Times New Roman"/>
          <w:bCs w:val="0"/>
          <w:sz w:val="24"/>
          <w:szCs w:val="24"/>
        </w:rPr>
      </w:pPr>
      <w:r w:rsidRPr="00E35652">
        <w:rPr>
          <w:b/>
          <w:color w:val="231F20"/>
        </w:rPr>
        <w:lastRenderedPageBreak/>
        <w:t xml:space="preserve">Supplementary </w:t>
      </w:r>
      <w:r w:rsidRPr="00E35652">
        <w:rPr>
          <w:rStyle w:val="fontstyle01"/>
          <w:rFonts w:ascii="Times New Roman" w:eastAsiaTheme="minorEastAsia" w:hAnsi="Times New Roman"/>
          <w:sz w:val="24"/>
          <w:szCs w:val="24"/>
        </w:rPr>
        <w:t xml:space="preserve">Table 2. </w:t>
      </w:r>
      <w:r w:rsidRPr="00E35652">
        <w:rPr>
          <w:b/>
          <w:color w:val="231F20"/>
        </w:rPr>
        <w:t>Summary of</w:t>
      </w:r>
      <w:r w:rsidRPr="00E35652">
        <w:rPr>
          <w:rStyle w:val="fontstyle01"/>
          <w:rFonts w:ascii="Times New Roman" w:eastAsiaTheme="minorEastAsia" w:hAnsi="Times New Roman"/>
          <w:sz w:val="24"/>
          <w:szCs w:val="24"/>
        </w:rPr>
        <w:t xml:space="preserve"> the concomitant medication in CD patients </w:t>
      </w:r>
    </w:p>
    <w:tbl>
      <w:tblPr>
        <w:tblStyle w:val="a8"/>
        <w:tblW w:w="1365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1749"/>
        <w:gridCol w:w="1510"/>
        <w:gridCol w:w="2645"/>
        <w:gridCol w:w="2646"/>
        <w:gridCol w:w="2646"/>
      </w:tblGrid>
      <w:tr w:rsidR="00E35652" w:rsidRPr="00E35652" w14:paraId="0B668C0F" w14:textId="77777777" w:rsidTr="0086107A">
        <w:trPr>
          <w:trHeight w:val="276"/>
          <w:jc w:val="center"/>
        </w:trPr>
        <w:tc>
          <w:tcPr>
            <w:tcW w:w="421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E5D1143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Definition of Outcome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36C1946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Anti-TNF Monotherapy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12557D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Concomitant Medication</w:t>
            </w:r>
          </w:p>
        </w:tc>
      </w:tr>
      <w:tr w:rsidR="00E35652" w:rsidRPr="00E35652" w14:paraId="60BF0171" w14:textId="77777777" w:rsidTr="0086107A">
        <w:trPr>
          <w:trHeight w:val="276"/>
          <w:jc w:val="center"/>
        </w:trPr>
        <w:tc>
          <w:tcPr>
            <w:tcW w:w="421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14:paraId="7817C149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5F034F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0EB5DB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  <w:vertAlign w:val="superscript"/>
              </w:rPr>
            </w:pPr>
            <w:r w:rsidRPr="00E35652">
              <w:rPr>
                <w:rFonts w:eastAsiaTheme="minorEastAsia"/>
              </w:rPr>
              <w:t>AZA (azathioprine)</w:t>
            </w:r>
            <w:r w:rsidRPr="00E35652">
              <w:rPr>
                <w:rFonts w:eastAsiaTheme="minorEastAsia"/>
                <w:vertAlign w:val="superscript"/>
              </w:rPr>
              <w:t>*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636954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6-MP (mercaptopurine)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CC7C0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SASP (Sulfasalazine)</w:t>
            </w:r>
          </w:p>
        </w:tc>
      </w:tr>
      <w:tr w:rsidR="00E35652" w:rsidRPr="00E35652" w14:paraId="08B512FE" w14:textId="77777777" w:rsidTr="0086107A">
        <w:trPr>
          <w:trHeight w:val="276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AA7314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Endoscopic assessment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noWrap/>
            <w:hideMark/>
          </w:tcPr>
          <w:p w14:paraId="1B1A59D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t>Responders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F58045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146B7DF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08D9EE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9D32DC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0</w:t>
            </w:r>
          </w:p>
        </w:tc>
      </w:tr>
      <w:tr w:rsidR="00E35652" w:rsidRPr="00E35652" w14:paraId="589CE1D0" w14:textId="77777777" w:rsidTr="0086107A">
        <w:trPr>
          <w:trHeight w:val="276"/>
          <w:jc w:val="center"/>
        </w:trPr>
        <w:tc>
          <w:tcPr>
            <w:tcW w:w="2463" w:type="dxa"/>
            <w:vMerge/>
            <w:vAlign w:val="center"/>
            <w:hideMark/>
          </w:tcPr>
          <w:p w14:paraId="25A6517F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749" w:type="dxa"/>
            <w:noWrap/>
            <w:hideMark/>
          </w:tcPr>
          <w:p w14:paraId="789149F4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t>Non-responders</w:t>
            </w:r>
          </w:p>
        </w:tc>
        <w:tc>
          <w:tcPr>
            <w:tcW w:w="1510" w:type="dxa"/>
            <w:noWrap/>
            <w:vAlign w:val="center"/>
            <w:hideMark/>
          </w:tcPr>
          <w:p w14:paraId="78CF0727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</w:t>
            </w:r>
          </w:p>
        </w:tc>
        <w:tc>
          <w:tcPr>
            <w:tcW w:w="2645" w:type="dxa"/>
            <w:noWrap/>
            <w:vAlign w:val="center"/>
            <w:hideMark/>
          </w:tcPr>
          <w:p w14:paraId="39526A90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23</w:t>
            </w:r>
          </w:p>
        </w:tc>
        <w:tc>
          <w:tcPr>
            <w:tcW w:w="2646" w:type="dxa"/>
            <w:noWrap/>
            <w:vAlign w:val="center"/>
            <w:hideMark/>
          </w:tcPr>
          <w:p w14:paraId="29CEF8D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</w:t>
            </w:r>
          </w:p>
        </w:tc>
        <w:tc>
          <w:tcPr>
            <w:tcW w:w="2646" w:type="dxa"/>
            <w:noWrap/>
            <w:vAlign w:val="center"/>
            <w:hideMark/>
          </w:tcPr>
          <w:p w14:paraId="042D4AD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1</w:t>
            </w:r>
          </w:p>
        </w:tc>
      </w:tr>
      <w:tr w:rsidR="00E35652" w:rsidRPr="00E35652" w14:paraId="428CE7D6" w14:textId="77777777" w:rsidTr="0086107A">
        <w:trPr>
          <w:trHeight w:val="276"/>
          <w:jc w:val="center"/>
        </w:trPr>
        <w:tc>
          <w:tcPr>
            <w:tcW w:w="2463" w:type="dxa"/>
            <w:vMerge w:val="restart"/>
            <w:noWrap/>
            <w:vAlign w:val="center"/>
            <w:hideMark/>
          </w:tcPr>
          <w:p w14:paraId="158FBBE3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Histologic assessment</w:t>
            </w:r>
          </w:p>
        </w:tc>
        <w:tc>
          <w:tcPr>
            <w:tcW w:w="1749" w:type="dxa"/>
            <w:noWrap/>
            <w:hideMark/>
          </w:tcPr>
          <w:p w14:paraId="4627A657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t>Responders</w:t>
            </w:r>
          </w:p>
        </w:tc>
        <w:tc>
          <w:tcPr>
            <w:tcW w:w="1510" w:type="dxa"/>
            <w:noWrap/>
            <w:vAlign w:val="center"/>
            <w:hideMark/>
          </w:tcPr>
          <w:p w14:paraId="7A253E41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1</w:t>
            </w:r>
          </w:p>
        </w:tc>
        <w:tc>
          <w:tcPr>
            <w:tcW w:w="2645" w:type="dxa"/>
            <w:noWrap/>
            <w:vAlign w:val="center"/>
            <w:hideMark/>
          </w:tcPr>
          <w:p w14:paraId="01D23DFA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13</w:t>
            </w:r>
          </w:p>
        </w:tc>
        <w:tc>
          <w:tcPr>
            <w:tcW w:w="2646" w:type="dxa"/>
            <w:noWrap/>
            <w:vAlign w:val="center"/>
            <w:hideMark/>
          </w:tcPr>
          <w:p w14:paraId="79A044C2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0</w:t>
            </w:r>
          </w:p>
        </w:tc>
        <w:tc>
          <w:tcPr>
            <w:tcW w:w="2646" w:type="dxa"/>
            <w:noWrap/>
            <w:vAlign w:val="center"/>
            <w:hideMark/>
          </w:tcPr>
          <w:p w14:paraId="147AB560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0</w:t>
            </w:r>
          </w:p>
        </w:tc>
      </w:tr>
      <w:tr w:rsidR="00E35652" w:rsidRPr="00E35652" w14:paraId="5E6B38DF" w14:textId="77777777" w:rsidTr="0086107A">
        <w:trPr>
          <w:trHeight w:val="276"/>
          <w:jc w:val="center"/>
        </w:trPr>
        <w:tc>
          <w:tcPr>
            <w:tcW w:w="2463" w:type="dxa"/>
            <w:vMerge/>
            <w:vAlign w:val="center"/>
            <w:hideMark/>
          </w:tcPr>
          <w:p w14:paraId="32A6CCEB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</w:p>
        </w:tc>
        <w:tc>
          <w:tcPr>
            <w:tcW w:w="1749" w:type="dxa"/>
            <w:noWrap/>
            <w:hideMark/>
          </w:tcPr>
          <w:p w14:paraId="4410147C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t>Non-responders</w:t>
            </w:r>
          </w:p>
        </w:tc>
        <w:tc>
          <w:tcPr>
            <w:tcW w:w="1510" w:type="dxa"/>
            <w:noWrap/>
            <w:vAlign w:val="center"/>
            <w:hideMark/>
          </w:tcPr>
          <w:p w14:paraId="37EEACF8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2</w:t>
            </w:r>
          </w:p>
        </w:tc>
        <w:tc>
          <w:tcPr>
            <w:tcW w:w="2645" w:type="dxa"/>
            <w:noWrap/>
            <w:vAlign w:val="center"/>
            <w:hideMark/>
          </w:tcPr>
          <w:p w14:paraId="5A6E6A5A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32</w:t>
            </w:r>
          </w:p>
        </w:tc>
        <w:tc>
          <w:tcPr>
            <w:tcW w:w="2646" w:type="dxa"/>
            <w:noWrap/>
            <w:vAlign w:val="center"/>
            <w:hideMark/>
          </w:tcPr>
          <w:p w14:paraId="58F2EABE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4</w:t>
            </w:r>
          </w:p>
        </w:tc>
        <w:tc>
          <w:tcPr>
            <w:tcW w:w="2646" w:type="dxa"/>
            <w:noWrap/>
            <w:vAlign w:val="center"/>
            <w:hideMark/>
          </w:tcPr>
          <w:p w14:paraId="7A245203" w14:textId="77777777" w:rsidR="00E35652" w:rsidRPr="00E35652" w:rsidRDefault="00E35652" w:rsidP="0086107A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EastAsia"/>
              </w:rPr>
            </w:pPr>
            <w:r w:rsidRPr="00E35652">
              <w:rPr>
                <w:rFonts w:eastAsiaTheme="minorEastAsia"/>
              </w:rPr>
              <w:t>1</w:t>
            </w:r>
          </w:p>
        </w:tc>
      </w:tr>
    </w:tbl>
    <w:p w14:paraId="52719F8C" w14:textId="53389626" w:rsidR="00E35652" w:rsidRPr="00E35652" w:rsidRDefault="00E35652" w:rsidP="00E35652">
      <w:pPr>
        <w:widowControl w:val="0"/>
        <w:autoSpaceDE w:val="0"/>
        <w:autoSpaceDN w:val="0"/>
        <w:adjustRightInd w:val="0"/>
        <w:spacing w:line="480" w:lineRule="auto"/>
        <w:rPr>
          <w:rFonts w:eastAsiaTheme="minorEastAsia"/>
        </w:rPr>
      </w:pPr>
      <w:r w:rsidRPr="00E35652">
        <w:rPr>
          <w:rFonts w:eastAsiaTheme="minorEastAsia"/>
        </w:rPr>
        <w:t xml:space="preserve"> </w:t>
      </w:r>
      <w:r w:rsidRPr="00E35652">
        <w:rPr>
          <w:rFonts w:eastAsiaTheme="minorEastAsia"/>
          <w:vertAlign w:val="superscript"/>
        </w:rPr>
        <w:t>*</w:t>
      </w:r>
      <w:r>
        <w:rPr>
          <w:rFonts w:eastAsiaTheme="minorEastAsia" w:hint="eastAsia"/>
        </w:rPr>
        <w:t>,</w:t>
      </w:r>
      <w:r>
        <w:rPr>
          <w:rFonts w:eastAsiaTheme="minorEastAsia"/>
        </w:rPr>
        <w:t xml:space="preserve"> </w:t>
      </w:r>
      <w:r w:rsidRPr="00E35652">
        <w:rPr>
          <w:rFonts w:eastAsiaTheme="minorEastAsia"/>
        </w:rPr>
        <w:t xml:space="preserve">a subgroup analysis on colonic ACE2 expression pre- and post-anti-TNF </w:t>
      </w:r>
      <w:r>
        <w:rPr>
          <w:rFonts w:eastAsiaTheme="minorEastAsia"/>
        </w:rPr>
        <w:t>combined with</w:t>
      </w:r>
      <w:r w:rsidRPr="00E35652">
        <w:rPr>
          <w:rFonts w:eastAsiaTheme="minorEastAsia"/>
        </w:rPr>
        <w:t xml:space="preserve"> </w:t>
      </w:r>
      <w:r>
        <w:rPr>
          <w:rFonts w:eastAsiaTheme="minorEastAsia"/>
        </w:rPr>
        <w:t>AZA</w:t>
      </w:r>
      <w:r w:rsidRPr="00E35652">
        <w:rPr>
          <w:rFonts w:eastAsiaTheme="minorEastAsia"/>
        </w:rPr>
        <w:t xml:space="preserve"> therapy</w:t>
      </w:r>
      <w:r>
        <w:rPr>
          <w:rFonts w:eastAsiaTheme="minorEastAsia"/>
        </w:rPr>
        <w:t xml:space="preserve"> </w:t>
      </w:r>
      <w:r w:rsidRPr="00E35652">
        <w:rPr>
          <w:rFonts w:eastAsiaTheme="minorEastAsia"/>
        </w:rPr>
        <w:t xml:space="preserve">was performed. Endoscopic response, </w:t>
      </w:r>
      <w:r w:rsidRPr="00E35652">
        <w:rPr>
          <w:rFonts w:eastAsiaTheme="minorEastAsia"/>
          <w:i/>
          <w:iCs/>
        </w:rPr>
        <w:t xml:space="preserve">P </w:t>
      </w:r>
      <w:r w:rsidRPr="00E35652">
        <w:rPr>
          <w:rFonts w:eastAsiaTheme="minorEastAsia"/>
        </w:rPr>
        <w:t xml:space="preserve">= 0.0096; Histologic response, </w:t>
      </w:r>
      <w:r w:rsidRPr="00E35652">
        <w:rPr>
          <w:rFonts w:eastAsiaTheme="minorEastAsia"/>
          <w:i/>
          <w:iCs/>
        </w:rPr>
        <w:t>P</w:t>
      </w:r>
      <w:r w:rsidRPr="00E35652">
        <w:rPr>
          <w:rFonts w:eastAsiaTheme="minorEastAsia"/>
        </w:rPr>
        <w:t xml:space="preserve"> = 0.0039.</w:t>
      </w:r>
      <w:r w:rsidRPr="00E35652">
        <w:rPr>
          <w:rStyle w:val="fontstyle01"/>
          <w:rFonts w:ascii="Times New Roman" w:eastAsiaTheme="minorEastAsia" w:hAnsi="Times New Roman"/>
          <w:b w:val="0"/>
          <w:bCs w:val="0"/>
        </w:rPr>
        <w:fldChar w:fldCharType="begin"/>
      </w:r>
      <w:r w:rsidRPr="00E35652">
        <w:rPr>
          <w:rStyle w:val="fontstyle01"/>
          <w:rFonts w:ascii="Times New Roman" w:eastAsiaTheme="minorEastAsia" w:hAnsi="Times New Roman"/>
        </w:rPr>
        <w:instrText xml:space="preserve"> ADDIN NE.Rep</w:instrText>
      </w:r>
      <w:r w:rsidRPr="00E35652">
        <w:rPr>
          <w:rStyle w:val="fontstyle01"/>
          <w:rFonts w:ascii="Times New Roman" w:eastAsiaTheme="minorEastAsia" w:hAnsi="Times New Roman"/>
          <w:b w:val="0"/>
          <w:bCs w:val="0"/>
        </w:rPr>
        <w:fldChar w:fldCharType="end"/>
      </w:r>
    </w:p>
    <w:p w14:paraId="5EB67E0D" w14:textId="77777777" w:rsidR="00123A9A" w:rsidRPr="00E35652" w:rsidRDefault="00123A9A"/>
    <w:sectPr w:rsidR="00123A9A" w:rsidRPr="00E35652" w:rsidSect="00E35652">
      <w:pgSz w:w="16838" w:h="11906" w:orient="landscape"/>
      <w:pgMar w:top="1135" w:right="1440" w:bottom="1134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22F39" w14:textId="77777777" w:rsidR="00CC2C4E" w:rsidRDefault="00CC2C4E" w:rsidP="00E35652">
      <w:r>
        <w:separator/>
      </w:r>
    </w:p>
  </w:endnote>
  <w:endnote w:type="continuationSeparator" w:id="0">
    <w:p w14:paraId="29EE65DA" w14:textId="77777777" w:rsidR="00CC2C4E" w:rsidRDefault="00CC2C4E" w:rsidP="00E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B71C" w14:textId="77777777" w:rsidR="00CC2C4E" w:rsidRDefault="00CC2C4E" w:rsidP="00E35652">
      <w:r>
        <w:separator/>
      </w:r>
    </w:p>
  </w:footnote>
  <w:footnote w:type="continuationSeparator" w:id="0">
    <w:p w14:paraId="583A9DA8" w14:textId="77777777" w:rsidR="00CC2C4E" w:rsidRDefault="00CC2C4E" w:rsidP="00E3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C5"/>
    <w:rsid w:val="000E3CC5"/>
    <w:rsid w:val="00123A9A"/>
    <w:rsid w:val="00CC2C4E"/>
    <w:rsid w:val="00E35652"/>
    <w:rsid w:val="00F9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40877"/>
  <w15:chartTrackingRefBased/>
  <w15:docId w15:val="{6DD76A5B-5B57-4715-9C1B-9649580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652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65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6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65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652"/>
    <w:rPr>
      <w:sz w:val="18"/>
      <w:szCs w:val="18"/>
    </w:rPr>
  </w:style>
  <w:style w:type="character" w:customStyle="1" w:styleId="fontstyle01">
    <w:name w:val="fontstyle01"/>
    <w:basedOn w:val="a0"/>
    <w:rsid w:val="00E35652"/>
    <w:rPr>
      <w:rFonts w:ascii="Times-Bold" w:hAnsi="Times-Bold" w:hint="default"/>
      <w:b/>
      <w:bCs/>
      <w:i w:val="0"/>
      <w:iCs w:val="0"/>
      <w:color w:val="231F20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E35652"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6">
    <w:name w:val="List Table 6 Colorful"/>
    <w:basedOn w:val="a1"/>
    <w:uiPriority w:val="51"/>
    <w:rsid w:val="00E35652"/>
    <w:rPr>
      <w:color w:val="000000" w:themeColor="text1"/>
      <w:kern w:val="0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8">
    <w:name w:val="Table Grid"/>
    <w:basedOn w:val="a1"/>
    <w:uiPriority w:val="39"/>
    <w:rsid w:val="00E35652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Xiaozhi</dc:creator>
  <cp:keywords/>
  <dc:description/>
  <cp:lastModifiedBy>Li Xiaozhi</cp:lastModifiedBy>
  <cp:revision>2</cp:revision>
  <dcterms:created xsi:type="dcterms:W3CDTF">2020-12-19T07:36:00Z</dcterms:created>
  <dcterms:modified xsi:type="dcterms:W3CDTF">2020-12-19T07:42:00Z</dcterms:modified>
</cp:coreProperties>
</file>