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40"/>
        <w:jc w:val="both"/>
        <w:rPr/>
      </w:pPr>
      <w:r>
        <w:rPr>
          <w:rFonts w:eastAsia="Times New Roman" w:cs="Times New Roman" w:ascii="Times New Roman" w:hAnsi="Times New Roman"/>
          <w:color w:val="000000"/>
          <w:sz w:val="24"/>
          <w:szCs w:val="24"/>
          <w:lang w:val="en-US"/>
        </w:rPr>
        <w:t xml:space="preserve">Two other possible resistance genes were observed between the </w:t>
      </w:r>
      <w:r>
        <w:rPr>
          <w:rFonts w:eastAsia="Times New Roman" w:cs="Times New Roman" w:ascii="Times New Roman" w:hAnsi="Times New Roman"/>
          <w:i/>
          <w:iCs/>
          <w:color w:val="000000"/>
          <w:sz w:val="24"/>
          <w:szCs w:val="24"/>
          <w:lang w:val="en-US"/>
        </w:rPr>
        <w:t>mer</w:t>
      </w:r>
      <w:r>
        <w:rPr>
          <w:rFonts w:eastAsia="Times New Roman" w:cs="Times New Roman" w:ascii="Times New Roman" w:hAnsi="Times New Roman"/>
          <w:color w:val="000000"/>
          <w:sz w:val="24"/>
          <w:szCs w:val="24"/>
          <w:lang w:val="en-US"/>
        </w:rPr>
        <w:t xml:space="preserve"> operon and the </w:t>
      </w:r>
      <w:r>
        <w:rPr>
          <w:rFonts w:eastAsia="Times New Roman" w:cs="Times New Roman" w:ascii="Times New Roman" w:hAnsi="Times New Roman"/>
          <w:i/>
          <w:iCs/>
          <w:color w:val="000000"/>
          <w:sz w:val="24"/>
          <w:szCs w:val="24"/>
          <w:lang w:val="en-US"/>
        </w:rPr>
        <w:t>aadA1</w:t>
      </w:r>
      <w:r>
        <w:rPr>
          <w:rFonts w:eastAsia="Times New Roman" w:cs="Times New Roman" w:ascii="Times New Roman" w:hAnsi="Times New Roman"/>
          <w:color w:val="000000"/>
          <w:sz w:val="24"/>
          <w:szCs w:val="24"/>
          <w:lang w:val="en-US"/>
        </w:rPr>
        <w:t xml:space="preserve"> gene. The potential resistance to sulfonamides is encoded by the </w:t>
      </w:r>
      <w:r>
        <w:rPr>
          <w:rFonts w:eastAsia="Times New Roman" w:cs="Times New Roman" w:ascii="Times New Roman" w:hAnsi="Times New Roman"/>
          <w:i/>
          <w:iCs/>
          <w:color w:val="000000"/>
          <w:sz w:val="24"/>
          <w:szCs w:val="24"/>
          <w:lang w:val="en-US"/>
        </w:rPr>
        <w:t>sul1</w:t>
      </w:r>
      <w:r>
        <w:rPr>
          <w:rFonts w:eastAsia="Times New Roman" w:cs="Times New Roman" w:ascii="Times New Roman" w:hAnsi="Times New Roman"/>
          <w:color w:val="000000"/>
          <w:sz w:val="24"/>
          <w:szCs w:val="24"/>
          <w:lang w:val="en-US"/>
        </w:rPr>
        <w:t xml:space="preserve"> gene that synthesizes the enzyme dihydropteroate synthase </w:t>
      </w:r>
      <w:r>
        <w:rPr>
          <w:rFonts w:cs="Times New Roman" w:ascii="Times New Roman" w:hAnsi="Times New Roman"/>
          <w:color w:val="000000"/>
          <w:sz w:val="24"/>
          <w:lang w:val="en-US"/>
        </w:rPr>
        <w:t>(</w:t>
      </w:r>
      <w:bookmarkStart w:id="0" w:name="__Fieldmark__1106_1248487086"/>
      <w:r>
        <w:rPr>
          <w:rFonts w:cs="Times New Roman" w:ascii="Times New Roman" w:hAnsi="Times New Roman"/>
          <w:color w:val="000000"/>
          <w:sz w:val="24"/>
          <w:lang w:val="en-US"/>
        </w:rPr>
        <w:t>R</w:t>
      </w:r>
      <w:bookmarkStart w:id="1" w:name="__Fieldmark__985_196882576"/>
      <w:r>
        <w:rPr>
          <w:rFonts w:cs="Times New Roman" w:ascii="Times New Roman" w:hAnsi="Times New Roman"/>
          <w:color w:val="000000"/>
          <w:sz w:val="24"/>
          <w:lang w:val="en-US"/>
        </w:rPr>
        <w:t>a</w:t>
      </w:r>
      <w:bookmarkStart w:id="2" w:name="__Fieldmark__1957_3217438725"/>
      <w:r>
        <w:rPr>
          <w:rFonts w:cs="Times New Roman" w:ascii="Times New Roman" w:hAnsi="Times New Roman"/>
          <w:color w:val="000000"/>
          <w:sz w:val="24"/>
          <w:lang w:val="en-US"/>
        </w:rPr>
        <w:t>z</w:t>
      </w:r>
      <w:bookmarkStart w:id="3" w:name="__Fieldmark__1064_3473475813"/>
      <w:r>
        <w:rPr>
          <w:rFonts w:cs="Times New Roman" w:ascii="Times New Roman" w:hAnsi="Times New Roman"/>
          <w:color w:val="000000"/>
          <w:sz w:val="24"/>
          <w:lang w:val="en-US"/>
        </w:rPr>
        <w:t>a</w:t>
      </w:r>
      <w:r>
        <w:fldChar w:fldCharType="begin"/>
      </w:r>
      <w:r>
        <w:rPr>
          <w:sz w:val="24"/>
          <w:rFonts w:cs="Times New Roman" w:ascii="Times New Roman" w:hAnsi="Times New Roman"/>
        </w:rPr>
        <w:instrText>ADDIN ZOTERO_ITEM CSL_CITATION {"citationID":"Re9b7pPf","properties":{"formattedCitation":"(Razavi et al., 2017)","plainCitation":"(Razavi et al., 2017)","noteIndex":0},"citationItems":[{"id":2374,"uris":["http://zotero.org/users/local/9Qt7XMZb/items/XRBNQM3C"],"uri":["http://zotero.org/users/local/9Qt7XMZb/items/XRBNQM3C"],"itemData":{"id":2374,"type":"article-journal","abstract":"Over the past 75 years, human pathogens have acquired antibiotic resistance genes (ARGs), often from environmental bacteria. Integrons play a major role in the acquisition of antibiotic resistance genes. We therefore hypothesized that focused exploration of integron gene cassettes from microbial communities could be an efficient way to find novel mobile resistance genes. DNA from polluted Indian river sediments were amplified using three sets of primers targeting class 1 integrons and sequenced by long- and short-read technologies to maintain both accuracy and context.","container-title":"Microbiome","DOI":"10.1186/s40168-017-0379-y","ISSN":"2049-2618","issue":"1","journalAbbreviation":"Microbiome","page":"160","source":"BioMed Central","title":"Discovery of the fourth mobile sulfonamide resistance gene","volume":"5","author":[{"family":"Razavi","given":"Mohammad"},{"family":"Marathe","given":"Nachiket P."},{"family":"Gillings","given":"Michael R."},{"family":"Flach","given":"Carl-Fredrik"},{"family":"Kristiansson","given":"Erik"},{"family":"Joakim Larsson","given":"D. G."}],"issued":{"date-parts":[["2017",12,15]]}}}],"schema":"https://github.com/citation-style-language/schema/raw/master/csl-citation.json"}</w:instrText>
      </w:r>
      <w:r>
        <w:rPr>
          <w:sz w:val="24"/>
          <w:rFonts w:cs="Times New Roman" w:ascii="Times New Roman" w:hAnsi="Times New Roman"/>
        </w:rPr>
        <w:fldChar w:fldCharType="separate"/>
      </w:r>
      <w:bookmarkStart w:id="4" w:name="__Fieldmark__4011_3305799884"/>
      <w:bookmarkStart w:id="5" w:name="__Fieldmark__3984_2478176177"/>
      <w:bookmarkStart w:id="6" w:name="__Fieldmark__1528_4124762153"/>
      <w:bookmarkStart w:id="7" w:name="__Fieldmark__22733_4124762153"/>
      <w:r>
        <w:rPr>
          <w:rFonts w:cs="Times New Roman" w:ascii="Times New Roman" w:hAnsi="Times New Roman"/>
          <w:color w:val="000000"/>
          <w:sz w:val="24"/>
          <w:lang w:val="en-US"/>
        </w:rPr>
        <w:t>vi et al., 2017)</w:t>
      </w:r>
      <w:r>
        <w:rPr/>
      </w:r>
      <w:r>
        <w:rPr/>
        <w:fldChar w:fldCharType="end"/>
      </w:r>
      <w:bookmarkStart w:id="8" w:name="__Fieldmark__1816_390503707"/>
      <w:bookmarkStart w:id="9" w:name="__Fieldmark__853_830477528"/>
      <w:bookmarkStart w:id="10" w:name="__Fieldmark__1049_2994401181"/>
      <w:bookmarkStart w:id="11" w:name="__Fieldmark__16283_390503707"/>
      <w:bookmarkStart w:id="12" w:name="__Fieldmark__1114_2771732248"/>
      <w:bookmarkEnd w:id="0"/>
      <w:bookmarkEnd w:id="1"/>
      <w:bookmarkEnd w:id="2"/>
      <w:bookmarkEnd w:id="3"/>
      <w:bookmarkEnd w:id="4"/>
      <w:bookmarkEnd w:id="5"/>
      <w:bookmarkEnd w:id="6"/>
      <w:bookmarkEnd w:id="7"/>
      <w:bookmarkEnd w:id="8"/>
      <w:bookmarkEnd w:id="9"/>
      <w:bookmarkEnd w:id="10"/>
      <w:bookmarkEnd w:id="11"/>
      <w:bookmarkEnd w:id="12"/>
      <w:r>
        <w:rPr>
          <w:rFonts w:eastAsia="Times New Roman" w:cs="Times New Roman" w:ascii="Times New Roman" w:hAnsi="Times New Roman"/>
          <w:color w:val="000000"/>
          <w:sz w:val="24"/>
          <w:szCs w:val="24"/>
          <w:lang w:val="en-US"/>
        </w:rPr>
        <w:t xml:space="preserve">. The other gene, </w:t>
      </w:r>
      <w:r>
        <w:rPr>
          <w:rFonts w:eastAsia="Times New Roman" w:cs="Times New Roman" w:ascii="Times New Roman" w:hAnsi="Times New Roman"/>
          <w:i/>
          <w:iCs/>
          <w:color w:val="000000"/>
          <w:sz w:val="24"/>
          <w:szCs w:val="24"/>
          <w:lang w:val="en-US"/>
        </w:rPr>
        <w:t>qacE</w:t>
      </w:r>
      <w:r>
        <w:rPr>
          <w:rFonts w:eastAsia="Times New Roman" w:cs="Times New Roman" w:ascii="Times New Roman" w:hAnsi="Times New Roman"/>
          <w:i/>
          <w:iCs/>
          <w:color w:val="000000"/>
          <w:sz w:val="24"/>
          <w:szCs w:val="24"/>
        </w:rPr>
        <w:t>Δ</w:t>
      </w:r>
      <w:r>
        <w:rPr>
          <w:rFonts w:eastAsia="Times New Roman" w:cs="Times New Roman" w:ascii="Times New Roman" w:hAnsi="Times New Roman"/>
          <w:i/>
          <w:iCs/>
          <w:color w:val="000000"/>
          <w:sz w:val="24"/>
          <w:szCs w:val="24"/>
          <w:lang w:val="en-US"/>
        </w:rPr>
        <w:t>1</w:t>
      </w:r>
      <w:r>
        <w:rPr>
          <w:rFonts w:eastAsia="Times New Roman" w:cs="Times New Roman" w:ascii="Times New Roman" w:hAnsi="Times New Roman"/>
          <w:color w:val="000000"/>
          <w:sz w:val="24"/>
          <w:szCs w:val="24"/>
          <w:lang w:val="en-US"/>
        </w:rPr>
        <w:t xml:space="preserve">, is located immediately downstream and has been described as encoding the Quaternary ammonium compound-resistance protein. It is known that compounds containing four ammonium groups in their composition are associated with several bactericides and disinfectants found on the market </w:t>
      </w:r>
      <w:r>
        <w:rPr>
          <w:rFonts w:cs="Times New Roman" w:ascii="Times New Roman" w:hAnsi="Times New Roman"/>
          <w:color w:val="000000"/>
          <w:sz w:val="24"/>
          <w:lang w:val="en-US"/>
        </w:rPr>
        <w:t>(</w:t>
      </w:r>
      <w:bookmarkStart w:id="13" w:name="__Fieldmark__1150_1248487086"/>
      <w:r>
        <w:rPr>
          <w:rFonts w:cs="Times New Roman" w:ascii="Times New Roman" w:hAnsi="Times New Roman"/>
          <w:color w:val="000000"/>
          <w:sz w:val="24"/>
          <w:lang w:val="en-US"/>
        </w:rPr>
        <w:t>J</w:t>
      </w:r>
      <w:bookmarkStart w:id="14" w:name="__Fieldmark__1025_196882576"/>
      <w:r>
        <w:rPr>
          <w:rFonts w:cs="Times New Roman" w:ascii="Times New Roman" w:hAnsi="Times New Roman"/>
          <w:color w:val="000000"/>
          <w:sz w:val="24"/>
          <w:lang w:val="en-US"/>
        </w:rPr>
        <w:t>i</w:t>
      </w:r>
      <w:bookmarkStart w:id="15" w:name="__Fieldmark__1993_3217438725"/>
      <w:r>
        <w:rPr>
          <w:rFonts w:cs="Times New Roman" w:ascii="Times New Roman" w:hAnsi="Times New Roman"/>
          <w:color w:val="000000"/>
          <w:sz w:val="24"/>
          <w:lang w:val="en-US"/>
        </w:rPr>
        <w:t>a</w:t>
      </w:r>
      <w:bookmarkStart w:id="16" w:name="__Fieldmark__1102_3473475813"/>
      <w:r>
        <w:rPr>
          <w:rFonts w:cs="Times New Roman" w:ascii="Times New Roman" w:hAnsi="Times New Roman"/>
          <w:color w:val="000000"/>
          <w:sz w:val="24"/>
          <w:lang w:val="en-US"/>
        </w:rPr>
        <w:t>n</w:t>
      </w:r>
      <w:r>
        <w:fldChar w:fldCharType="begin"/>
      </w:r>
      <w:r>
        <w:rPr>
          <w:sz w:val="24"/>
          <w:rFonts w:cs="Times New Roman" w:ascii="Times New Roman" w:hAnsi="Times New Roman"/>
        </w:rPr>
        <w:instrText>ADDIN ZOTERO_ITEM CSL_CITATION {"citationID":"dfo6bpMD","properties":{"formattedCitation":"(Jiang et al., 2017)","plainCitation":"(Jiang et al., 2017)","noteIndex":0},"citationItems":[{"id":2377,"uris":["http://zotero.org/users/local/9Qt7XMZb/items/T336PY92"],"uri":["http://zotero.org/users/local/9Qt7XMZb/items/T336PY92"],"itemData":{"id":2377,"type":"article-journal","abstract":"The aim of this study was to examine the presence of genes responsible for resistance to quaternary ammonium compounds (QACs) and the association of qac genes with class 1 integrons in Proteus mirabilis isolated from cooked meat products. A total of 52 P. mirabilis isolates (29.2%) were detected from 178 samples, and their minimum inhibitory concentrations (MICs) of benzalkonium chloride (BC) ranged from 4 to &gt;32 μg/mL. The isolates with BC MICs of 24 μg/mL were observed most frequently. PCR assays indicated that mdfA, ydgE/ydgF, qacE, qacEΔ1, emrE, sugE(c), and sugE(p) were commonly present (32.7%-100%) in these isolates, but qacH was less prevalent (3.8%). Five groups of resistance gene cassettes were identified in 10 intI1-positive isolates. An unusual gene cassette array dfrA32-ereA-aadA2 was found in one foodborne isolate of P. mirabilis. Two isolates harbored qacH- and sul3- associated non-classic integrons: aadA2-cmlA1-aadA1-qacH-IS440-sul3 and a new arrangement dfrA32-ereA1-aadA2-cmlA1-aadA1-qacH-IS440-sul3, which is first reported in P. mirabilis. Non-classic class 1 integrons were located on conjugative plasmids of 100 kb in two tested isolates. Our data showed that the QAC resistance genes were commonly present among P. mirabilis isolates from cooked meats and qacH was associated with non-classic class 1 integrons. The creation of transconjugants demonstrated that qacH-associated non-classic class 1 integrons were located on conjugative plasmids and therefore could facilitate the co-dissemination of disinfectant and antimicrobial resistance genes among bacteria, an increasing area of concern.","container-title":"Frontiers in Microbiology","DOI":"10.3389/fmicb.2017.02417","ISSN":"1664-302X","journalAbbreviation":"Front Microbiol","language":"eng","note":"PMID: 29312157\nPMCID: PMC5732425","page":"2417","source":"PubMed","title":"Examination of Quaternary Ammonium Compound Resistance in Proteus mirabilis Isolated from Cooked Meat Products in China","volume":"8","author":[{"family":"Jiang","given":"Xiaobing"},{"family":"Yu","given":"Tao"},{"family":"Liu","given":"Lei"},{"family":"Li","given":"Yi"},{"family":"Zhang","given":"Kun"},{"family":"Wang","given":"Hailei"},{"family":"Shi","given":"Lei"}],"issued":{"date-parts":[["2017"]]}}}],"schema":"https://github.com/citation-style-language/schema/raw/master/csl-citation.json"}</w:instrText>
      </w:r>
      <w:r>
        <w:rPr>
          <w:sz w:val="24"/>
          <w:rFonts w:cs="Times New Roman" w:ascii="Times New Roman" w:hAnsi="Times New Roman"/>
        </w:rPr>
        <w:fldChar w:fldCharType="separate"/>
      </w:r>
      <w:bookmarkStart w:id="17" w:name="__Fieldmark__4190_1880858992"/>
      <w:bookmarkStart w:id="18" w:name="__Fieldmark__4068_3305799884"/>
      <w:bookmarkStart w:id="19" w:name="__Fieldmark__1560_4124762153"/>
      <w:bookmarkStart w:id="20" w:name="__Fieldmark__4013_2478176177"/>
      <w:r>
        <w:rPr>
          <w:rFonts w:cs="Times New Roman" w:ascii="Times New Roman" w:hAnsi="Times New Roman"/>
          <w:color w:val="000000"/>
          <w:sz w:val="24"/>
          <w:lang w:val="en-US"/>
        </w:rPr>
        <w:t>g et al., 2017)</w:t>
      </w:r>
      <w:r>
        <w:rPr/>
      </w:r>
      <w:r>
        <w:rPr/>
        <w:fldChar w:fldCharType="end"/>
      </w:r>
      <w:bookmarkStart w:id="21" w:name="__Fieldmark__1060_2994401181"/>
      <w:bookmarkStart w:id="22" w:name="__Fieldmark__16302_390503707"/>
      <w:bookmarkStart w:id="23" w:name="__Fieldmark__862_830477528"/>
      <w:bookmarkStart w:id="24" w:name="__Fieldmark__1832_390503707"/>
      <w:bookmarkStart w:id="25" w:name="__Fieldmark__1129_2771732248"/>
      <w:bookmarkEnd w:id="13"/>
      <w:bookmarkEnd w:id="14"/>
      <w:bookmarkEnd w:id="15"/>
      <w:bookmarkEnd w:id="16"/>
      <w:bookmarkEnd w:id="17"/>
      <w:bookmarkEnd w:id="18"/>
      <w:bookmarkEnd w:id="19"/>
      <w:bookmarkEnd w:id="20"/>
      <w:bookmarkEnd w:id="21"/>
      <w:bookmarkEnd w:id="22"/>
      <w:bookmarkEnd w:id="23"/>
      <w:bookmarkEnd w:id="24"/>
      <w:bookmarkEnd w:id="25"/>
      <w:r>
        <w:rPr>
          <w:rStyle w:val="ListLabel59"/>
          <w:rFonts w:eastAsia="Arial"/>
          <w:color w:val="000000"/>
          <w:lang w:val="en-US"/>
        </w:rPr>
        <w:t>.</w:t>
      </w:r>
      <w:r>
        <w:rPr>
          <w:rStyle w:val="ListLabel59"/>
          <w:rFonts w:eastAsia="Times New Roman" w:cs="Times New Roman" w:ascii="Times New Roman" w:hAnsi="Times New Roman"/>
          <w:color w:val="000000"/>
          <w:sz w:val="24"/>
          <w:szCs w:val="24"/>
          <w:lang w:val="en-US"/>
        </w:rPr>
        <w:t xml:space="preserve">Our data suggest </w:t>
      </w:r>
      <w:r>
        <w:rPr>
          <w:rStyle w:val="ListLabel59"/>
          <w:rFonts w:eastAsia="Times New Roman" w:cs="Times New Roman" w:ascii="Times New Roman" w:hAnsi="Times New Roman"/>
          <w:i/>
          <w:iCs/>
          <w:color w:val="000000"/>
          <w:sz w:val="24"/>
          <w:szCs w:val="24"/>
          <w:lang w:val="en-US"/>
        </w:rPr>
        <w:t>Tn21</w:t>
      </w:r>
      <w:r>
        <w:rPr>
          <w:rStyle w:val="ListLabel59"/>
          <w:rFonts w:eastAsia="Times New Roman" w:cs="Times New Roman" w:ascii="Times New Roman" w:hAnsi="Times New Roman"/>
          <w:color w:val="000000"/>
          <w:sz w:val="24"/>
          <w:szCs w:val="24"/>
          <w:lang w:val="en-US"/>
        </w:rPr>
        <w:t xml:space="preserve"> is inserted in another transposon, Tn9, which carries the </w:t>
      </w:r>
      <w:r>
        <w:rPr>
          <w:rStyle w:val="ListLabel59"/>
          <w:rFonts w:eastAsia="Times New Roman" w:cs="Times New Roman" w:ascii="Times New Roman" w:hAnsi="Times New Roman"/>
          <w:i/>
          <w:iCs/>
          <w:color w:val="000000"/>
          <w:sz w:val="24"/>
          <w:szCs w:val="24"/>
          <w:lang w:val="en-US"/>
        </w:rPr>
        <w:t>cat</w:t>
      </w:r>
      <w:r>
        <w:rPr>
          <w:rStyle w:val="ListLabel59"/>
          <w:rFonts w:eastAsia="Times New Roman" w:cs="Times New Roman" w:ascii="Times New Roman" w:hAnsi="Times New Roman"/>
          <w:color w:val="000000"/>
          <w:sz w:val="24"/>
          <w:szCs w:val="24"/>
          <w:lang w:val="en-US"/>
        </w:rPr>
        <w:t xml:space="preserve"> gene encoding chloramphenicol acetyltransferase </w:t>
      </w:r>
      <w:r>
        <w:rPr>
          <w:rStyle w:val="ListLabel59"/>
          <w:rFonts w:eastAsia="Arial" w:cs="Times New Roman" w:ascii="Times New Roman" w:hAnsi="Times New Roman"/>
          <w:color w:val="000000"/>
          <w:sz w:val="24"/>
          <w:lang w:val="en-US"/>
        </w:rPr>
        <w:t xml:space="preserve">(Trieu-Cuot et al., 1993). </w:t>
      </w:r>
      <w:r>
        <w:rPr>
          <w:rStyle w:val="ListLabel59"/>
          <w:rFonts w:eastAsia="Times New Roman" w:cs="Times New Roman" w:ascii="Times New Roman" w:hAnsi="Times New Roman"/>
          <w:i/>
          <w:iCs/>
          <w:color w:val="000000"/>
          <w:sz w:val="24"/>
          <w:szCs w:val="24"/>
          <w:lang w:val="en-US"/>
        </w:rPr>
        <w:t>Tn10</w:t>
      </w:r>
      <w:r>
        <w:rPr>
          <w:rStyle w:val="ListLabel59"/>
          <w:rFonts w:eastAsia="Times New Roman" w:cs="Times New Roman" w:ascii="Times New Roman" w:hAnsi="Times New Roman"/>
          <w:color w:val="000000"/>
          <w:sz w:val="24"/>
          <w:szCs w:val="24"/>
          <w:lang w:val="en-US"/>
        </w:rPr>
        <w:t xml:space="preserve"> was exclusively found in pBH100 variants, containing the sequence of the </w:t>
      </w:r>
      <w:r>
        <w:rPr>
          <w:rStyle w:val="ListLabel59"/>
          <w:rFonts w:eastAsia="Times New Roman" w:cs="Times New Roman" w:ascii="Times New Roman" w:hAnsi="Times New Roman"/>
          <w:i/>
          <w:iCs/>
          <w:color w:val="000000"/>
          <w:sz w:val="24"/>
          <w:szCs w:val="24"/>
          <w:lang w:val="en-US"/>
        </w:rPr>
        <w:t>operon</w:t>
      </w:r>
      <w:r>
        <w:rPr>
          <w:rStyle w:val="ListLabel59"/>
          <w:rFonts w:eastAsia="Times New Roman" w:cs="Times New Roman" w:ascii="Times New Roman" w:hAnsi="Times New Roman"/>
          <w:color w:val="000000"/>
          <w:sz w:val="24"/>
          <w:szCs w:val="24"/>
          <w:lang w:val="en-US"/>
        </w:rPr>
        <w:t xml:space="preserve"> that confers resistance to tetracycline </w:t>
      </w:r>
      <w:r>
        <w:rPr>
          <w:rStyle w:val="ListLabel59"/>
          <w:rFonts w:eastAsia="Arial" w:cs="Times New Roman" w:ascii="Times New Roman" w:hAnsi="Times New Roman"/>
          <w:color w:val="000000"/>
          <w:sz w:val="24"/>
          <w:lang w:val="en-US"/>
        </w:rPr>
        <w:t>(</w:t>
      </w:r>
      <w:bookmarkStart w:id="26" w:name="__Fieldmark__1294_1248487086"/>
      <w:r>
        <w:rPr>
          <w:rStyle w:val="ListLabel59"/>
          <w:rFonts w:eastAsia="Arial" w:cs="Times New Roman" w:ascii="Times New Roman" w:hAnsi="Times New Roman"/>
          <w:color w:val="000000"/>
          <w:sz w:val="24"/>
          <w:lang w:val="en-US"/>
        </w:rPr>
        <w:t>C</w:t>
      </w:r>
      <w:bookmarkStart w:id="27" w:name="__Fieldmark__1149_196882576"/>
      <w:r>
        <w:rPr>
          <w:rStyle w:val="ListLabel59"/>
          <w:rFonts w:eastAsia="Arial" w:cs="Times New Roman" w:ascii="Times New Roman" w:hAnsi="Times New Roman"/>
          <w:color w:val="000000"/>
          <w:sz w:val="24"/>
          <w:lang w:val="en-US"/>
        </w:rPr>
        <w:t>h</w:t>
      </w:r>
      <w:bookmarkStart w:id="28" w:name="__Fieldmark__2105_3217438725"/>
      <w:r>
        <w:rPr>
          <w:rStyle w:val="ListLabel59"/>
          <w:rFonts w:eastAsia="Arial" w:cs="Times New Roman" w:ascii="Times New Roman" w:hAnsi="Times New Roman"/>
          <w:color w:val="000000"/>
          <w:sz w:val="24"/>
          <w:lang w:val="en-US"/>
        </w:rPr>
        <w:t>o</w:t>
      </w:r>
      <w:bookmarkStart w:id="29" w:name="__Fieldmark__1204_3473475813"/>
      <w:r>
        <w:rPr>
          <w:rStyle w:val="ListLabel59"/>
          <w:rFonts w:eastAsia="Arial" w:cs="Times New Roman" w:ascii="Times New Roman" w:hAnsi="Times New Roman"/>
          <w:color w:val="000000"/>
          <w:sz w:val="24"/>
          <w:lang w:val="en-US"/>
        </w:rPr>
        <w:t>p</w:t>
      </w:r>
      <w:r>
        <w:fldChar w:fldCharType="begin"/>
      </w:r>
      <w:r>
        <w:rPr>
          <w:rStyle w:val="ListLabel59"/>
          <w:sz w:val="24"/>
          <w:rFonts w:eastAsia="Arial" w:cs="Times New Roman" w:ascii="Times New Roman" w:hAnsi="Times New Roman"/>
        </w:rPr>
        <w:instrText>ADDIN ZOTERO_ITEM CSL_CITATION {"citationID":"oX4biU3V","properties":{"formattedCitation":"(Chopra and Roberts, 2001)","plainCitation":"(Chopra and Roberts, 2001)","noteIndex":0},"citationItems":[{"id":2390,"uris":["http://zotero.org/users/local/9Qt7XMZb/items/IVW3GKZC"],"uri":["http://zotero.org/users/local/9Qt7XMZb/items/IVW3GKZC"],"itemData":{"id":2390,"type":"article-journal","abstract":"Tetracyclines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prophlylaxis and therapy of human and animal infections and also at subtherapeutic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century.","container-title":"Microbiology and molecular biology reviews: MMBR","DOI":"10.1128/MMBR.65.2.232-260.2001","ISSN":"1092-2172","issue":"2","journalAbbreviation":"Microbiol. Mol. Biol. Rev.","language":"eng","note":"PMID: 11381101\nPMCID: PMC99026","page":"232-260 ; second page, table of contents","source":"PubMed","title":"Tetracycline antibiotics: mode of action, applications, molecular biology, and epidemiology of bacterial resistance","title-short":"Tetracycline antibiotics","volume":"65","author":[{"family":"Chopra","given":"I."},{"family":"Roberts","given":"M."}],"issued":{"date-parts":[["2001",6]]}}}],"schema":"https://github.com/citation-style-language/schema/raw/master/csl-citation.json"}</w:instrText>
      </w:r>
      <w:r>
        <w:rPr>
          <w:rStyle w:val="ListLabel59"/>
          <w:sz w:val="24"/>
          <w:rFonts w:eastAsia="Arial" w:cs="Times New Roman" w:ascii="Times New Roman" w:hAnsi="Times New Roman"/>
        </w:rPr>
        <w:fldChar w:fldCharType="separate"/>
      </w:r>
      <w:bookmarkStart w:id="30" w:name="__Fieldmark__4177_3305799884"/>
      <w:bookmarkStart w:id="31" w:name="__Fieldmark__4099_2478176177"/>
      <w:bookmarkStart w:id="32" w:name="__Fieldmark__1094_2994401181"/>
      <w:bookmarkStart w:id="33" w:name="__Fieldmark__893_830477528"/>
      <w:bookmarkStart w:id="34" w:name="__Fieldmark__1655_4124762153"/>
      <w:bookmarkStart w:id="35" w:name="__Fieldmark__22869_4124762153"/>
      <w:bookmarkStart w:id="36" w:name="__Fieldmark__1881_390503707"/>
      <w:bookmarkStart w:id="37" w:name="__Fieldmark__16363_390503707"/>
      <w:bookmarkStart w:id="38" w:name="__Fieldmark__4274_1880858992"/>
      <w:r>
        <w:rPr>
          <w:rStyle w:val="ListLabel59"/>
          <w:rFonts w:eastAsia="Arial" w:cs="Times New Roman" w:ascii="Times New Roman" w:hAnsi="Times New Roman"/>
          <w:color w:val="000000"/>
          <w:sz w:val="24"/>
          <w:lang w:val="en-US"/>
        </w:rPr>
        <w:t>ra and Roberts, 2001)</w:t>
      </w:r>
      <w:r>
        <w:rPr/>
      </w:r>
      <w:r>
        <w:rPr/>
        <w:fldChar w:fldCharType="end"/>
      </w:r>
      <w:bookmarkEnd w:id="26"/>
      <w:bookmarkEnd w:id="27"/>
      <w:bookmarkEnd w:id="28"/>
      <w:bookmarkEnd w:id="29"/>
      <w:bookmarkEnd w:id="30"/>
      <w:bookmarkEnd w:id="31"/>
      <w:bookmarkEnd w:id="32"/>
      <w:bookmarkEnd w:id="33"/>
      <w:bookmarkEnd w:id="34"/>
      <w:bookmarkEnd w:id="35"/>
      <w:bookmarkEnd w:id="36"/>
      <w:bookmarkEnd w:id="37"/>
      <w:bookmarkEnd w:id="38"/>
      <w:r>
        <w:rPr>
          <w:rStyle w:val="ListLabel59"/>
          <w:rFonts w:eastAsia="Times New Roman" w:cs="Times New Roman" w:ascii="Times New Roman" w:hAnsi="Times New Roman"/>
          <w:color w:val="000000"/>
          <w:sz w:val="24"/>
          <w:szCs w:val="24"/>
          <w:lang w:val="en-US"/>
        </w:rPr>
        <w:t xml:space="preserve">. Within this transposon sequence, it was also verified a feature annotated as </w:t>
      </w:r>
      <w:r>
        <w:rPr>
          <w:rStyle w:val="ListLabel59"/>
          <w:rFonts w:eastAsia="Times New Roman" w:cs="Times New Roman" w:ascii="Times New Roman" w:hAnsi="Times New Roman"/>
          <w:i/>
          <w:iCs/>
          <w:color w:val="000000"/>
          <w:sz w:val="24"/>
          <w:szCs w:val="24"/>
          <w:lang w:val="en-US"/>
        </w:rPr>
        <w:t>Tn5</w:t>
      </w:r>
      <w:r>
        <w:rPr>
          <w:rStyle w:val="ListLabel59"/>
          <w:rFonts w:eastAsia="Times New Roman" w:cs="Times New Roman" w:ascii="Times New Roman" w:hAnsi="Times New Roman"/>
          <w:color w:val="000000"/>
          <w:sz w:val="24"/>
          <w:szCs w:val="24"/>
          <w:lang w:val="en-US"/>
        </w:rPr>
        <w:t xml:space="preserve">-like, carrying the kanamycin resistance gene </w:t>
      </w:r>
      <w:r>
        <w:rPr>
          <w:rStyle w:val="ListLabel59"/>
          <w:rFonts w:eastAsia="Times New Roman" w:cs="Times New Roman" w:ascii="Times New Roman" w:hAnsi="Times New Roman"/>
          <w:i/>
          <w:iCs/>
          <w:color w:val="000000"/>
          <w:sz w:val="24"/>
          <w:szCs w:val="24"/>
          <w:lang w:val="en-US"/>
        </w:rPr>
        <w:t xml:space="preserve">aphA1, </w:t>
      </w:r>
      <w:r>
        <w:rPr>
          <w:rStyle w:val="ListLabel59"/>
          <w:rFonts w:eastAsia="Times New Roman" w:cs="Times New Roman" w:ascii="Times New Roman" w:hAnsi="Times New Roman"/>
          <w:color w:val="000000"/>
          <w:sz w:val="24"/>
          <w:szCs w:val="24"/>
          <w:lang w:val="en-US"/>
        </w:rPr>
        <w:t xml:space="preserve">flanked by </w:t>
      </w:r>
      <w:r>
        <w:rPr>
          <w:rStyle w:val="ListLabel59"/>
          <w:rFonts w:eastAsia="Times New Roman" w:cs="Times New Roman" w:ascii="Times New Roman" w:hAnsi="Times New Roman"/>
          <w:i/>
          <w:iCs/>
          <w:color w:val="000000"/>
          <w:sz w:val="24"/>
          <w:szCs w:val="24"/>
          <w:lang w:val="en-US"/>
        </w:rPr>
        <w:t>IS5</w:t>
      </w:r>
      <w:r>
        <w:rPr>
          <w:rStyle w:val="ListLabel59"/>
          <w:rFonts w:eastAsia="Times New Roman" w:cs="Times New Roman" w:ascii="Times New Roman" w:hAnsi="Times New Roman"/>
          <w:color w:val="000000"/>
          <w:sz w:val="24"/>
          <w:szCs w:val="24"/>
          <w:lang w:val="en-US"/>
        </w:rPr>
        <w:t xml:space="preserve"> </w:t>
      </w:r>
      <w:r>
        <w:rPr>
          <w:rStyle w:val="ListLabel59"/>
          <w:rFonts w:eastAsia="Arial" w:cs="Times New Roman" w:ascii="Times New Roman" w:hAnsi="Times New Roman"/>
          <w:color w:val="000000"/>
          <w:sz w:val="24"/>
          <w:lang w:val="en-US"/>
        </w:rPr>
        <w:t>(</w:t>
      </w:r>
      <w:bookmarkStart w:id="39" w:name="__Fieldmark__1335_1248487086"/>
      <w:r>
        <w:rPr>
          <w:rStyle w:val="ListLabel59"/>
          <w:rFonts w:eastAsia="Arial" w:cs="Times New Roman" w:ascii="Times New Roman" w:hAnsi="Times New Roman"/>
          <w:color w:val="000000"/>
          <w:sz w:val="24"/>
          <w:lang w:val="en-US"/>
        </w:rPr>
        <w:t>L</w:t>
      </w:r>
      <w:bookmarkStart w:id="40" w:name="__Fieldmark__1186_196882576"/>
      <w:r>
        <w:rPr>
          <w:rStyle w:val="ListLabel59"/>
          <w:rFonts w:eastAsia="Arial" w:cs="Times New Roman" w:ascii="Times New Roman" w:hAnsi="Times New Roman"/>
          <w:color w:val="000000"/>
          <w:sz w:val="24"/>
          <w:lang w:val="en-US"/>
        </w:rPr>
        <w:t>i</w:t>
      </w:r>
      <w:bookmarkStart w:id="41" w:name="__Fieldmark__2138_3217438725"/>
      <w:r>
        <w:rPr>
          <w:rStyle w:val="ListLabel59"/>
          <w:rFonts w:eastAsia="Arial" w:cs="Times New Roman" w:ascii="Times New Roman" w:hAnsi="Times New Roman"/>
          <w:color w:val="000000"/>
          <w:sz w:val="24"/>
          <w:lang w:val="en-US"/>
        </w:rPr>
        <w:t xml:space="preserve"> </w:t>
      </w:r>
      <w:bookmarkStart w:id="42" w:name="__Fieldmark__1230_3473475813"/>
      <w:r>
        <w:rPr>
          <w:rStyle w:val="ListLabel59"/>
          <w:rFonts w:eastAsia="Arial" w:cs="Times New Roman" w:ascii="Times New Roman" w:hAnsi="Times New Roman"/>
          <w:color w:val="000000"/>
          <w:sz w:val="24"/>
          <w:lang w:val="en-US"/>
        </w:rPr>
        <w:t>e</w:t>
      </w:r>
      <w:r>
        <w:fldChar w:fldCharType="begin"/>
      </w:r>
      <w:r>
        <w:rPr>
          <w:rStyle w:val="ListLabel59"/>
          <w:sz w:val="24"/>
          <w:rFonts w:eastAsia="Arial" w:cs="Times New Roman" w:ascii="Times New Roman" w:hAnsi="Times New Roman"/>
        </w:rPr>
        <w:instrText>ADDIN ZOTERO_ITEM CSL_CITATION {"citationID":"XszpzKbe","properties":{"formattedCitation":"(Li et al., 2015)","plainCitation":"(Li et al., 2015)","noteIndex":0},"citationItems":[{"id":2393,"uris":["http://zotero.org/users/local/9Qt7XMZb/items/D5S8FFFR"],"uri":["http://zotero.org/users/local/9Qt7XMZb/items/D5S8FFFR"],"itemData":{"id":2393,"type":"article-journal","abstract":"Treponema denticola has been recognized as an important oral pathogen of the \"red complex\" bacterial consortium that is associated with the pathogenesis of endodontal and periodontal diseases. However, little is known about the virulence of T. denticola due to its recalcitrant genetic system. The difficulty in genetically manipulating oral spirochetes is partially due to the lack of antibiotic resistance cassettes that are useful for gene complementation following allelic replacement mutagenesis. In this study, a kanamycin resistance cassette was identified and developed for the genetic manipulation of T. denticola ATCC 35405. Compared to the widely used ermF-ermAM cassette, the kanamycin cassette used in the transformation experiments gave rise to additional antibiotic-resistant T. denticola colonies. The kanamycin cassette is effective for allelic replacement mutagenesis as demonstrated by inactivation of two open reading frames of T. denticola, TDE1430 and TDE0911. In addition, the cassette is also functional in trans-chromosomal complementation. This was determined by functional rescue of a periplasmic flagellum (PF)-deficient mutant that had the flgE gene coding for PF hook protein inactivated. The integration of the full-length flgE gene into the genome of the flgE mutant rescued all of the defects associated with the flgE mutant that included the lack of PF filament and spirochetal motility. Taken together, we demonstrate that the kanamycin resistance gene is a suitable cassette for the genetic manipulation of T. denticola that will facilitate the characterization of virulence factors attributed to this important oral pathogen.","container-title":"Applied and Environmental Microbiology","DOI":"10.1128/AEM.00478-15","ISSN":"1098-5336","issue":"13","journalAbbreviation":"Appl. Environ. Microbiol.","language":"eng","note":"PMID: 25888173\nPMCID: PMC4475864","page":"4329-4338","source":"PubMed","title":"Kanamycin Resistance Cassette for Genetic Manipulation of Treponema denticola","volume":"81","author":[{"family":"Li","given":"Yuebin"},{"family":"Ruby","given":"John"},{"family":"Wu","given":"Hui"}],"issued":{"date-parts":[["2015",7]]}}}],"schema":"https://github.com/citation-style-language/schema/raw/master/csl-citation.json"}</w:instrText>
      </w:r>
      <w:r>
        <w:rPr>
          <w:rStyle w:val="ListLabel59"/>
          <w:sz w:val="24"/>
          <w:rFonts w:eastAsia="Arial" w:cs="Times New Roman" w:ascii="Times New Roman" w:hAnsi="Times New Roman"/>
        </w:rPr>
        <w:fldChar w:fldCharType="separate"/>
      </w:r>
      <w:bookmarkStart w:id="43" w:name="__Fieldmark__22906_4124762153"/>
      <w:bookmarkStart w:id="44" w:name="__Fieldmark__1899_390503707"/>
      <w:bookmarkStart w:id="45" w:name="__Fieldmark__902_830477528"/>
      <w:bookmarkStart w:id="46" w:name="__Fieldmark__4303_1880858992"/>
      <w:bookmarkStart w:id="47" w:name="__Fieldmark__4124_2478176177"/>
      <w:bookmarkStart w:id="48" w:name="__Fieldmark__16384_390503707"/>
      <w:bookmarkStart w:id="49" w:name="__Fieldmark__1101_2994401181"/>
      <w:bookmarkStart w:id="50" w:name="__Fieldmark__1688_4124762153"/>
      <w:bookmarkStart w:id="51" w:name="__Fieldmark__4269_3305799884"/>
      <w:r>
        <w:rPr>
          <w:rStyle w:val="ListLabel59"/>
          <w:rFonts w:eastAsia="Arial" w:cs="Times New Roman" w:ascii="Times New Roman" w:hAnsi="Times New Roman"/>
          <w:color w:val="000000"/>
          <w:sz w:val="24"/>
          <w:lang w:val="en-US"/>
        </w:rPr>
        <w:t>t al., 2015)</w:t>
      </w:r>
      <w:r>
        <w:rPr/>
      </w:r>
      <w:r>
        <w:rPr/>
        <w:fldChar w:fldCharType="end"/>
      </w:r>
      <w:bookmarkEnd w:id="39"/>
      <w:bookmarkEnd w:id="40"/>
      <w:bookmarkEnd w:id="41"/>
      <w:bookmarkEnd w:id="42"/>
      <w:bookmarkEnd w:id="43"/>
      <w:bookmarkEnd w:id="44"/>
      <w:bookmarkEnd w:id="45"/>
      <w:bookmarkEnd w:id="46"/>
      <w:bookmarkEnd w:id="47"/>
      <w:bookmarkEnd w:id="48"/>
      <w:bookmarkEnd w:id="49"/>
      <w:bookmarkEnd w:id="50"/>
      <w:bookmarkEnd w:id="51"/>
      <w:r>
        <w:rPr>
          <w:rStyle w:val="ListLabel59"/>
          <w:rFonts w:eastAsia="Times New Roman" w:cs="Times New Roman" w:ascii="Times New Roman" w:hAnsi="Times New Roman"/>
          <w:color w:val="000000"/>
          <w:sz w:val="24"/>
          <w:szCs w:val="24"/>
          <w:lang w:val="en-US"/>
        </w:rPr>
        <w:t xml:space="preserve">. Interestingly, insertion sequences from </w:t>
      </w:r>
      <w:r>
        <w:rPr>
          <w:rStyle w:val="ListLabel59"/>
          <w:rFonts w:eastAsia="Times New Roman" w:cs="Times New Roman" w:ascii="Times New Roman" w:hAnsi="Times New Roman"/>
          <w:i/>
          <w:iCs/>
          <w:color w:val="000000"/>
          <w:sz w:val="24"/>
          <w:szCs w:val="24"/>
          <w:lang w:val="en-US"/>
        </w:rPr>
        <w:t>IS5</w:t>
      </w:r>
      <w:r>
        <w:rPr>
          <w:rStyle w:val="ListLabel59"/>
          <w:rFonts w:eastAsia="Times New Roman" w:cs="Times New Roman" w:ascii="Times New Roman" w:hAnsi="Times New Roman"/>
          <w:color w:val="000000"/>
          <w:sz w:val="24"/>
          <w:szCs w:val="24"/>
          <w:lang w:val="en-US"/>
        </w:rPr>
        <w:t xml:space="preserve"> family were also found on the BH100 chromosome MG2014, suggesting the possible transference of </w:t>
      </w:r>
      <w:r>
        <w:rPr>
          <w:rStyle w:val="ListLabel59"/>
          <w:rFonts w:eastAsia="Times New Roman" w:cs="Times New Roman" w:ascii="Times New Roman" w:hAnsi="Times New Roman"/>
          <w:i/>
          <w:iCs/>
          <w:color w:val="000000"/>
          <w:sz w:val="24"/>
          <w:szCs w:val="24"/>
          <w:lang w:val="en-US"/>
        </w:rPr>
        <w:t>aphA1</w:t>
      </w:r>
      <w:r>
        <w:rPr>
          <w:rStyle w:val="ListLabel59"/>
          <w:rFonts w:eastAsia="Times New Roman" w:cs="Times New Roman" w:ascii="Times New Roman" w:hAnsi="Times New Roman"/>
          <w:color w:val="000000"/>
          <w:sz w:val="24"/>
          <w:szCs w:val="24"/>
          <w:lang w:val="en-US"/>
        </w:rPr>
        <w:t xml:space="preserve"> to the chromosome.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pt-BR" w:eastAsia="zh-CN" w:bidi="hi-IN"/>
    </w:rPr>
  </w:style>
  <w:style w:type="character" w:styleId="ListLabel59">
    <w:name w:val="ListLabel 59"/>
    <w:qFormat/>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1</Pages>
  <Words>187</Words>
  <Characters>1042</Characters>
  <CharactersWithSpaces>1216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2020-05-27T21:18:31Z</dcterms:created>
  <dc:creator>RDOC </dc:creator>
  <dc:description/>
  <dc:language>pt-BR</dc:language>
  <cp:lastModifiedBy>RDOC </cp:lastModifiedBy>
  <dcterms:modified xsi:type="dcterms:W3CDTF">2020-05-27T21:36:42Z</dcterms:modified>
  <cp:revision>1</cp:revision>
  <dc:subject/>
  <dc:title/>
</cp:coreProperties>
</file>