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F6" w:rsidRDefault="002D24F6" w:rsidP="002D24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165" cy="313805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19514" r="20756" b="27542"/>
                    <a:stretch/>
                  </pic:blipFill>
                  <pic:spPr bwMode="auto">
                    <a:xfrm>
                      <a:off x="0" y="0"/>
                      <a:ext cx="3352859" cy="313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4F6" w:rsidRDefault="002D24F6" w:rsidP="002D24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 </w:t>
      </w:r>
      <w:r w:rsidRPr="00DC1A41">
        <w:rPr>
          <w:rFonts w:ascii="Times New Roman" w:hAnsi="Times New Roman" w:cs="Times New Roman"/>
          <w:sz w:val="24"/>
          <w:szCs w:val="24"/>
        </w:rPr>
        <w:t xml:space="preserve">Soil water potential (m pressure head) as a function of soil </w:t>
      </w:r>
      <w:r>
        <w:rPr>
          <w:rFonts w:ascii="Times New Roman" w:hAnsi="Times New Roman" w:cs="Times New Roman"/>
          <w:sz w:val="24"/>
          <w:szCs w:val="24"/>
        </w:rPr>
        <w:t>water content</w:t>
      </w:r>
      <w:r w:rsidRPr="001D0D50">
        <w:rPr>
          <w:rFonts w:ascii="Times New Roman" w:hAnsi="Times New Roman" w:cs="Times New Roman"/>
          <w:sz w:val="24"/>
          <w:szCs w:val="24"/>
        </w:rPr>
        <w:t xml:space="preserve"> </w:t>
      </w:r>
      <w:r w:rsidRPr="00DC1A41">
        <w:rPr>
          <w:rFonts w:ascii="Times New Roman" w:hAnsi="Times New Roman" w:cs="Times New Roman"/>
          <w:sz w:val="24"/>
          <w:szCs w:val="24"/>
        </w:rPr>
        <w:t>and soil texture.  Curve</w:t>
      </w:r>
      <w:r>
        <w:rPr>
          <w:rFonts w:ascii="Times New Roman" w:hAnsi="Times New Roman" w:cs="Times New Roman"/>
          <w:sz w:val="24"/>
          <w:szCs w:val="24"/>
        </w:rPr>
        <w:t>s end at the soil saturation point, and their</w:t>
      </w:r>
      <w:r w:rsidRPr="00DC1A41">
        <w:rPr>
          <w:rFonts w:ascii="Times New Roman" w:hAnsi="Times New Roman" w:cs="Times New Roman"/>
          <w:sz w:val="24"/>
          <w:szCs w:val="24"/>
        </w:rPr>
        <w:t xml:space="preserve"> shape as soil water potential values</w:t>
      </w:r>
      <w:r>
        <w:rPr>
          <w:rFonts w:ascii="Times New Roman" w:hAnsi="Times New Roman" w:cs="Times New Roman"/>
          <w:sz w:val="24"/>
          <w:szCs w:val="24"/>
        </w:rPr>
        <w:t xml:space="preserve"> approach zero is relevant to waterlogging tolerance.  Wilting point and field capacity in terms of pressure are defined as 153 and 3.4 m</w:t>
      </w:r>
      <w:r w:rsidRPr="00D2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pressure head, respectively.  Soil acronyms follow FAO conventions.  Data from Saxton and Rawls (2004).</w:t>
      </w:r>
    </w:p>
    <w:p w:rsidR="002D24F6" w:rsidRDefault="002D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4F6" w:rsidRDefault="002D24F6" w:rsidP="002D24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67371" cy="313704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6" t="27109" r="28017" b="19957"/>
                    <a:stretch/>
                  </pic:blipFill>
                  <pic:spPr bwMode="auto">
                    <a:xfrm>
                      <a:off x="0" y="0"/>
                      <a:ext cx="2868338" cy="313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4F6" w:rsidRDefault="002D24F6" w:rsidP="002D24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 S2.  </w:t>
      </w:r>
      <w:r w:rsidRPr="00BD6E73">
        <w:rPr>
          <w:rFonts w:ascii="Times New Roman" w:eastAsia="Times New Roman" w:hAnsi="Times New Roman" w:cs="Times New Roman"/>
          <w:sz w:val="24"/>
          <w:szCs w:val="24"/>
        </w:rPr>
        <w:t>An example of monthly soil temperature (</w:t>
      </w:r>
      <w:proofErr w:type="spellStart"/>
      <w:r w:rsidRPr="00BD6E7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D6E73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soil</w:t>
      </w:r>
      <w:proofErr w:type="spellEnd"/>
      <w:r w:rsidRPr="00BD6E73">
        <w:rPr>
          <w:rFonts w:ascii="Times New Roman" w:eastAsia="Times New Roman" w:hAnsi="Times New Roman" w:cs="Times New Roman"/>
          <w:sz w:val="24"/>
          <w:szCs w:val="24"/>
        </w:rPr>
        <w:t>) profiles on a sandy, saturated soil for a single year under a hypothetical high-latitude climate.</w:t>
      </w:r>
    </w:p>
    <w:p w:rsidR="002D24F6" w:rsidRDefault="002D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S1.  Water stress parameters for the hypothetical species used in both the lowland forest and permafrost test experiments.  Values given in units of m of pressure head.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192B" w:rsidTr="0071385B">
        <w:tc>
          <w:tcPr>
            <w:tcW w:w="2337" w:type="dxa"/>
            <w:vAlign w:val="bottom"/>
          </w:tcPr>
          <w:p w:rsidR="0033192B" w:rsidRDefault="0033192B" w:rsidP="007138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2337" w:type="dxa"/>
            <w:vAlign w:val="bottom"/>
          </w:tcPr>
          <w:p w:rsidR="0033192B" w:rsidRDefault="0033192B" w:rsidP="007138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Waterlogging intolerant species</w:t>
            </w:r>
          </w:p>
        </w:tc>
        <w:tc>
          <w:tcPr>
            <w:tcW w:w="2338" w:type="dxa"/>
            <w:vAlign w:val="bottom"/>
          </w:tcPr>
          <w:p w:rsidR="0033192B" w:rsidRDefault="0033192B" w:rsidP="007138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waterlogging tolerant species</w:t>
            </w:r>
          </w:p>
        </w:tc>
        <w:tc>
          <w:tcPr>
            <w:tcW w:w="2338" w:type="dxa"/>
            <w:vAlign w:val="bottom"/>
          </w:tcPr>
          <w:p w:rsidR="0033192B" w:rsidRDefault="0033192B" w:rsidP="007138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Waterlogging tolerant species</w:t>
            </w:r>
          </w:p>
        </w:tc>
      </w:tr>
      <w:tr w:rsidR="0033192B" w:rsidTr="0071385B"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33192B" w:rsidTr="0071385B"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3192B" w:rsidTr="0071385B"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192B" w:rsidTr="0071385B"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337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8" w:type="dxa"/>
          </w:tcPr>
          <w:p w:rsidR="0033192B" w:rsidRDefault="0033192B" w:rsidP="00713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33192B" w:rsidSect="002D24F6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S2.  Selected PnET-Succession parameter values for Siberian tree species.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10"/>
        <w:gridCol w:w="540"/>
        <w:gridCol w:w="806"/>
        <w:gridCol w:w="724"/>
        <w:gridCol w:w="630"/>
        <w:gridCol w:w="720"/>
        <w:gridCol w:w="630"/>
        <w:gridCol w:w="720"/>
        <w:gridCol w:w="810"/>
        <w:gridCol w:w="810"/>
        <w:gridCol w:w="810"/>
        <w:gridCol w:w="990"/>
        <w:gridCol w:w="1080"/>
        <w:gridCol w:w="990"/>
        <w:gridCol w:w="715"/>
      </w:tblGrid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33192B" w:rsidRPr="009B0CEB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Lati-tude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FolN</w:t>
            </w:r>
            <w:proofErr w:type="spellEnd"/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Half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Sat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Leaf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MinT</w:t>
            </w:r>
            <w:proofErr w:type="spellEnd"/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Psn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TMin</w:t>
            </w:r>
            <w:proofErr w:type="spellEnd"/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Psn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TOpt</w:t>
            </w:r>
            <w:proofErr w:type="spellEnd"/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Psn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FracFol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ActWd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Frac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BelowG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Cold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Tol</w:t>
            </w:r>
            <w:proofErr w:type="spellEnd"/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984C71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Units </w:t>
            </w:r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623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</w:p>
        </w:tc>
        <w:tc>
          <w:tcPr>
            <w:tcW w:w="54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% wt.</w:t>
            </w:r>
          </w:p>
        </w:tc>
        <w:tc>
          <w:tcPr>
            <w:tcW w:w="806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D4">
              <w:rPr>
                <w:rFonts w:ascii="Symbol" w:eastAsia="Times New Roman" w:hAnsi="Symbol" w:cs="Times New Roman"/>
                <w:color w:val="000000"/>
              </w:rPr>
              <w:t></w:t>
            </w: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mol</w:t>
            </w:r>
            <w:proofErr w:type="spellEnd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m2/s</w:t>
            </w:r>
          </w:p>
        </w:tc>
        <w:tc>
          <w:tcPr>
            <w:tcW w:w="724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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3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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2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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3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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8772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Pr="0087722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81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81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72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Pr="0087722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81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72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Pr="0087722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990" w:type="dxa"/>
            <w:noWrap/>
          </w:tcPr>
          <w:p w:rsidR="0033192B" w:rsidRPr="00D11BE6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Fraction</w:t>
            </w:r>
          </w:p>
        </w:tc>
        <w:tc>
          <w:tcPr>
            <w:tcW w:w="108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Unitless</w:t>
            </w:r>
            <w:proofErr w:type="spellEnd"/>
          </w:p>
        </w:tc>
        <w:tc>
          <w:tcPr>
            <w:tcW w:w="990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Fraction</w:t>
            </w:r>
          </w:p>
        </w:tc>
        <w:tc>
          <w:tcPr>
            <w:tcW w:w="715" w:type="dxa"/>
            <w:noWrap/>
          </w:tcPr>
          <w:p w:rsidR="0033192B" w:rsidRPr="00192C3C" w:rsidRDefault="0033192B" w:rsidP="0071385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722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o</w:t>
            </w:r>
            <w:r w:rsidRPr="0087722F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abiesibi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58-66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-63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alnuglut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-56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betunana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66-70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-69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betupend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larisibi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66-70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-65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piceobov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58-66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pinusibi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58-66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0.095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pinusylv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58-62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-59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poputrem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0.00004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-57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sphagnum</w:t>
            </w:r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-64</w:t>
            </w:r>
          </w:p>
        </w:tc>
      </w:tr>
      <w:tr w:rsidR="0033192B" w:rsidRPr="00192C3C" w:rsidTr="0071385B">
        <w:trPr>
          <w:trHeight w:val="300"/>
        </w:trPr>
        <w:tc>
          <w:tcPr>
            <w:tcW w:w="1165" w:type="dxa"/>
            <w:noWrap/>
            <w:hideMark/>
          </w:tcPr>
          <w:p w:rsidR="0033192B" w:rsidRPr="00192C3C" w:rsidRDefault="0033192B" w:rsidP="0071385B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C3C">
              <w:rPr>
                <w:rFonts w:ascii="Times New Roman" w:eastAsia="Times New Roman" w:hAnsi="Times New Roman" w:cs="Times New Roman"/>
                <w:color w:val="000000"/>
              </w:rPr>
              <w:t>genegrss</w:t>
            </w:r>
            <w:proofErr w:type="spellEnd"/>
          </w:p>
        </w:tc>
        <w:tc>
          <w:tcPr>
            <w:tcW w:w="81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4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806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724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63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20" w:type="dxa"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81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8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0.00007</w:t>
            </w:r>
          </w:p>
        </w:tc>
        <w:tc>
          <w:tcPr>
            <w:tcW w:w="990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92C3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5" w:type="dxa"/>
            <w:noWrap/>
            <w:hideMark/>
          </w:tcPr>
          <w:p w:rsidR="0033192B" w:rsidRPr="00192C3C" w:rsidRDefault="0033192B" w:rsidP="0071385B">
            <w:pPr>
              <w:spacing w:after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-54</w:t>
            </w:r>
          </w:p>
        </w:tc>
      </w:tr>
    </w:tbl>
    <w:p w:rsidR="0033192B" w:rsidRPr="009B0CE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latitude(s) where species was initialized</w:t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pressure head (m)</w:t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amount of foliage as a fraction of woody biomass</w:t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9A2">
        <w:rPr>
          <w:rFonts w:ascii="Times New Roman" w:hAnsi="Times New Roman" w:cs="Times New Roman"/>
          <w:sz w:val="24"/>
          <w:szCs w:val="24"/>
        </w:rPr>
        <w:t>shape</w:t>
      </w:r>
      <w:r>
        <w:rPr>
          <w:rFonts w:ascii="Times New Roman" w:hAnsi="Times New Roman" w:cs="Times New Roman"/>
          <w:sz w:val="24"/>
          <w:szCs w:val="24"/>
        </w:rPr>
        <w:t xml:space="preserve"> parameter to compute fraction of woody biomass that is active xylem as a function of size</w:t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3C">
        <w:rPr>
          <w:rFonts w:ascii="Times New Roman" w:hAnsi="Times New Roman" w:cs="Times New Roman"/>
          <w:sz w:val="24"/>
          <w:szCs w:val="24"/>
        </w:rPr>
        <w:t>fraction</w:t>
      </w:r>
      <w:r>
        <w:rPr>
          <w:rFonts w:ascii="Times New Roman" w:hAnsi="Times New Roman" w:cs="Times New Roman"/>
          <w:sz w:val="24"/>
          <w:szCs w:val="24"/>
        </w:rPr>
        <w:t xml:space="preserve"> of woody biomass that is allocated to roots</w:t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33192B" w:rsidSect="000C7A94">
          <w:headerReference w:type="default" r:id="rId9"/>
          <w:pgSz w:w="15840" w:h="12240" w:orient="landscape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33192B" w:rsidRDefault="0033192B" w:rsidP="0033192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94" w:rsidRDefault="003B7994">
      <w:pPr>
        <w:spacing w:after="0" w:line="240" w:lineRule="auto"/>
      </w:pPr>
      <w:r>
        <w:separator/>
      </w:r>
    </w:p>
  </w:endnote>
  <w:endnote w:type="continuationSeparator" w:id="0">
    <w:p w:rsidR="003B7994" w:rsidRDefault="003B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94" w:rsidRDefault="003B7994">
      <w:pPr>
        <w:spacing w:after="0" w:line="240" w:lineRule="auto"/>
      </w:pPr>
      <w:r>
        <w:separator/>
      </w:r>
    </w:p>
  </w:footnote>
  <w:footnote w:type="continuationSeparator" w:id="0">
    <w:p w:rsidR="003B7994" w:rsidRDefault="003B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0D" w:rsidRPr="0071735F" w:rsidRDefault="0033192B">
    <w:pPr>
      <w:pStyle w:val="Header"/>
      <w:rPr>
        <w:rFonts w:ascii="Times New Roman" w:hAnsi="Times New Roman" w:cs="Times New Roman"/>
        <w:sz w:val="24"/>
        <w:szCs w:val="24"/>
      </w:rPr>
    </w:pPr>
    <w:r w:rsidRPr="0071735F">
      <w:rPr>
        <w:rFonts w:ascii="Times New Roman" w:hAnsi="Times New Roman" w:cs="Times New Roman"/>
        <w:i/>
        <w:sz w:val="24"/>
        <w:szCs w:val="24"/>
      </w:rPr>
      <w:t>Simulating forest</w:t>
    </w:r>
    <w:r>
      <w:rPr>
        <w:rFonts w:ascii="Times New Roman" w:hAnsi="Times New Roman" w:cs="Times New Roman"/>
        <w:i/>
        <w:sz w:val="24"/>
        <w:szCs w:val="24"/>
      </w:rPr>
      <w:t>s</w:t>
    </w:r>
    <w:r w:rsidRPr="0071735F">
      <w:rPr>
        <w:rFonts w:ascii="Times New Roman" w:hAnsi="Times New Roman" w:cs="Times New Roman"/>
        <w:i/>
        <w:sz w:val="24"/>
        <w:szCs w:val="24"/>
      </w:rPr>
      <w:t xml:space="preserve"> on waterlogged soils</w:t>
    </w:r>
    <w:r w:rsidRPr="0071735F">
      <w:rPr>
        <w:rFonts w:ascii="Times New Roman" w:hAnsi="Times New Roman" w:cs="Times New Roman"/>
        <w:sz w:val="24"/>
        <w:szCs w:val="24"/>
      </w:rPr>
      <w:tab/>
    </w:r>
    <w:r w:rsidRPr="0071735F">
      <w:rPr>
        <w:rFonts w:ascii="Times New Roman" w:hAnsi="Times New Roman" w:cs="Times New Roman"/>
        <w:sz w:val="24"/>
        <w:szCs w:val="24"/>
      </w:rPr>
      <w:tab/>
      <w:t xml:space="preserve">Page </w:t>
    </w:r>
    <w:r w:rsidRPr="0071735F">
      <w:rPr>
        <w:rFonts w:ascii="Times New Roman" w:hAnsi="Times New Roman" w:cs="Times New Roman"/>
        <w:sz w:val="24"/>
        <w:szCs w:val="24"/>
      </w:rPr>
      <w:fldChar w:fldCharType="begin"/>
    </w:r>
    <w:r w:rsidRPr="0071735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1735F">
      <w:rPr>
        <w:rFonts w:ascii="Times New Roman" w:hAnsi="Times New Roman" w:cs="Times New Roman"/>
        <w:sz w:val="24"/>
        <w:szCs w:val="24"/>
      </w:rPr>
      <w:fldChar w:fldCharType="separate"/>
    </w:r>
    <w:r w:rsidR="002D24F6">
      <w:rPr>
        <w:rFonts w:ascii="Times New Roman" w:hAnsi="Times New Roman" w:cs="Times New Roman"/>
        <w:noProof/>
        <w:sz w:val="24"/>
        <w:szCs w:val="24"/>
      </w:rPr>
      <w:t>2</w:t>
    </w:r>
    <w:r w:rsidRPr="0071735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0D" w:rsidRPr="0071735F" w:rsidRDefault="0033192B">
    <w:pPr>
      <w:pStyle w:val="Header"/>
      <w:rPr>
        <w:rFonts w:ascii="Times New Roman" w:hAnsi="Times New Roman" w:cs="Times New Roman"/>
        <w:sz w:val="24"/>
        <w:szCs w:val="24"/>
      </w:rPr>
    </w:pPr>
    <w:r w:rsidRPr="0071735F">
      <w:rPr>
        <w:rFonts w:ascii="Times New Roman" w:hAnsi="Times New Roman" w:cs="Times New Roman"/>
        <w:i/>
        <w:sz w:val="24"/>
        <w:szCs w:val="24"/>
      </w:rPr>
      <w:t>Simulating forest</w:t>
    </w:r>
    <w:r>
      <w:rPr>
        <w:rFonts w:ascii="Times New Roman" w:hAnsi="Times New Roman" w:cs="Times New Roman"/>
        <w:i/>
        <w:sz w:val="24"/>
        <w:szCs w:val="24"/>
      </w:rPr>
      <w:t>s</w:t>
    </w:r>
    <w:r w:rsidRPr="0071735F">
      <w:rPr>
        <w:rFonts w:ascii="Times New Roman" w:hAnsi="Times New Roman" w:cs="Times New Roman"/>
        <w:i/>
        <w:sz w:val="24"/>
        <w:szCs w:val="24"/>
      </w:rPr>
      <w:t xml:space="preserve"> on waterlogged soils</w:t>
    </w:r>
    <w:r w:rsidRPr="0071735F">
      <w:rPr>
        <w:rFonts w:ascii="Times New Roman" w:hAnsi="Times New Roman" w:cs="Times New Roman"/>
        <w:sz w:val="24"/>
        <w:szCs w:val="24"/>
      </w:rPr>
      <w:tab/>
    </w:r>
    <w:r w:rsidRPr="0071735F">
      <w:rPr>
        <w:rFonts w:ascii="Times New Roman" w:hAnsi="Times New Roman" w:cs="Times New Roman"/>
        <w:sz w:val="24"/>
        <w:szCs w:val="24"/>
      </w:rPr>
      <w:tab/>
      <w:t xml:space="preserve">Page </w:t>
    </w:r>
    <w:r w:rsidRPr="0071735F">
      <w:rPr>
        <w:rFonts w:ascii="Times New Roman" w:hAnsi="Times New Roman" w:cs="Times New Roman"/>
        <w:sz w:val="24"/>
        <w:szCs w:val="24"/>
      </w:rPr>
      <w:fldChar w:fldCharType="begin"/>
    </w:r>
    <w:r w:rsidRPr="0071735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1735F">
      <w:rPr>
        <w:rFonts w:ascii="Times New Roman" w:hAnsi="Times New Roman" w:cs="Times New Roman"/>
        <w:sz w:val="24"/>
        <w:szCs w:val="24"/>
      </w:rPr>
      <w:fldChar w:fldCharType="separate"/>
    </w:r>
    <w:r w:rsidR="002D24F6">
      <w:rPr>
        <w:rFonts w:ascii="Times New Roman" w:hAnsi="Times New Roman" w:cs="Times New Roman"/>
        <w:noProof/>
        <w:sz w:val="24"/>
        <w:szCs w:val="24"/>
      </w:rPr>
      <w:t>6</w:t>
    </w:r>
    <w:r w:rsidRPr="0071735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7"/>
    <w:rsid w:val="00071DF4"/>
    <w:rsid w:val="002D24F6"/>
    <w:rsid w:val="0033192B"/>
    <w:rsid w:val="003B7994"/>
    <w:rsid w:val="004B3A7F"/>
    <w:rsid w:val="00720D8F"/>
    <w:rsid w:val="009F269F"/>
    <w:rsid w:val="00AA6415"/>
    <w:rsid w:val="00EF31D7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C20F8-F9C4-42F5-83D9-E1936BF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2B"/>
  </w:style>
  <w:style w:type="character" w:styleId="LineNumber">
    <w:name w:val="line number"/>
    <w:basedOn w:val="DefaultParagraphFont"/>
    <w:uiPriority w:val="99"/>
    <w:semiHidden/>
    <w:unhideWhenUsed/>
    <w:rsid w:val="003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Eric -FS</dc:creator>
  <cp:keywords/>
  <dc:description/>
  <cp:lastModifiedBy>Gustafson, Eric -FS</cp:lastModifiedBy>
  <cp:revision>3</cp:revision>
  <dcterms:created xsi:type="dcterms:W3CDTF">2020-11-24T15:46:00Z</dcterms:created>
  <dcterms:modified xsi:type="dcterms:W3CDTF">2020-12-01T15:02:00Z</dcterms:modified>
</cp:coreProperties>
</file>