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5122BC">
      <w:pPr>
        <w:pStyle w:val="SupplementaryMaterial"/>
        <w:rPr>
          <w:b w:val="0"/>
        </w:rPr>
      </w:pPr>
      <w:r w:rsidRPr="001549D3">
        <w:t>Supplementary Material</w:t>
      </w:r>
    </w:p>
    <w:p w14:paraId="08D714FB" w14:textId="77777777" w:rsidR="000A07BE" w:rsidRDefault="000A07BE" w:rsidP="005122BC">
      <w:pPr>
        <w:rPr>
          <w:rFonts w:cs="Times New Roman"/>
          <w:b/>
          <w:color w:val="000000" w:themeColor="text1"/>
        </w:rPr>
      </w:pPr>
    </w:p>
    <w:p w14:paraId="5E427966" w14:textId="73651B59" w:rsidR="000A07BE" w:rsidRPr="005C4850" w:rsidRDefault="000A07BE" w:rsidP="005122BC">
      <w:pPr>
        <w:rPr>
          <w:rFonts w:cs="Times New Roman"/>
          <w:color w:val="000000" w:themeColor="text1"/>
        </w:rPr>
      </w:pPr>
      <w:r w:rsidRPr="005C4850">
        <w:rPr>
          <w:rFonts w:cs="Times New Roman"/>
          <w:b/>
          <w:color w:val="000000" w:themeColor="text1"/>
        </w:rPr>
        <w:t xml:space="preserve">Table S1. </w:t>
      </w:r>
      <w:r w:rsidRPr="005C4850">
        <w:rPr>
          <w:rFonts w:cs="Times New Roman"/>
          <w:color w:val="000000" w:themeColor="text1"/>
        </w:rPr>
        <w:t xml:space="preserve">Compilation of studies reporting detection of putative diazotrophs (DNA-based detection of </w:t>
      </w:r>
      <w:r w:rsidRPr="005C4850">
        <w:rPr>
          <w:rFonts w:cs="Times New Roman"/>
          <w:i/>
          <w:color w:val="000000" w:themeColor="text1"/>
        </w:rPr>
        <w:t>nifH</w:t>
      </w:r>
      <w:r w:rsidRPr="005C4850">
        <w:rPr>
          <w:rFonts w:cs="Times New Roman"/>
          <w:color w:val="000000" w:themeColor="text1"/>
        </w:rPr>
        <w:t xml:space="preserve">), </w:t>
      </w:r>
      <w:r w:rsidRPr="005C4850">
        <w:rPr>
          <w:rFonts w:cs="Times New Roman"/>
          <w:i/>
          <w:color w:val="000000" w:themeColor="text1"/>
        </w:rPr>
        <w:t>nifH</w:t>
      </w:r>
      <w:r w:rsidRPr="005C4850">
        <w:rPr>
          <w:rFonts w:cs="Times New Roman"/>
          <w:color w:val="000000" w:themeColor="text1"/>
        </w:rPr>
        <w:t xml:space="preserve"> transcripts (RNA-based detection) and/or measurements of nitrogen fixation rates in various regions, environments, depths and seasons across the Arctic Ocean.</w:t>
      </w:r>
    </w:p>
    <w:p w14:paraId="574D746A" w14:textId="1945D88C" w:rsidR="000A07BE" w:rsidRPr="000A07BE" w:rsidRDefault="000A07BE" w:rsidP="005122BC">
      <w:pPr>
        <w:rPr>
          <w:rFonts w:cs="Times New Roman"/>
          <w:color w:val="000000" w:themeColor="text1"/>
          <w:sz w:val="18"/>
        </w:rPr>
      </w:pPr>
      <w:r w:rsidRPr="00427F95">
        <w:rPr>
          <w:rFonts w:cs="Times New Roman"/>
          <w:noProof/>
          <w:color w:val="000000" w:themeColor="text1"/>
        </w:rPr>
        <w:lastRenderedPageBreak/>
        <w:drawing>
          <wp:inline distT="0" distB="0" distL="0" distR="0" wp14:anchorId="4724982C" wp14:editId="619AB030">
            <wp:extent cx="8186512" cy="5632999"/>
            <wp:effectExtent l="0" t="0" r="5080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6512" cy="563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99C">
        <w:rPr>
          <w:rFonts w:cs="Times New Roman"/>
          <w:color w:val="000000" w:themeColor="text1"/>
        </w:rPr>
        <w:t xml:space="preserve"> </w:t>
      </w:r>
      <w:bookmarkStart w:id="0" w:name="_GoBack"/>
      <w:bookmarkEnd w:id="0"/>
      <w:r w:rsidRPr="0099499C">
        <w:rPr>
          <w:rFonts w:cs="Times New Roman"/>
          <w:color w:val="000000" w:themeColor="text1"/>
        </w:rPr>
        <w:br/>
      </w:r>
      <w:r w:rsidRPr="0099499C">
        <w:rPr>
          <w:rFonts w:cs="Times New Roman"/>
          <w:color w:val="000000" w:themeColor="text1"/>
          <w:sz w:val="18"/>
        </w:rPr>
        <w:t xml:space="preserve">Geographical regions are depicted in Figure 1. </w:t>
      </w:r>
      <w:r w:rsidRPr="0099499C">
        <w:rPr>
          <w:rFonts w:cs="Times New Roman"/>
          <w:i/>
          <w:color w:val="000000" w:themeColor="text1"/>
          <w:sz w:val="18"/>
        </w:rPr>
        <w:t>nifH</w:t>
      </w:r>
      <w:r w:rsidRPr="0099499C">
        <w:rPr>
          <w:rFonts w:cs="Times New Roman"/>
          <w:color w:val="000000" w:themeColor="text1"/>
          <w:sz w:val="18"/>
        </w:rPr>
        <w:t xml:space="preserve"> encodes dinitrogenase reductase.</w:t>
      </w:r>
      <w:r>
        <w:rPr>
          <w:rFonts w:cs="Times New Roman"/>
          <w:color w:val="000000" w:themeColor="text1"/>
          <w:sz w:val="18"/>
        </w:rPr>
        <w:br/>
      </w:r>
      <w:proofErr w:type="spellStart"/>
      <w:r w:rsidRPr="0099499C">
        <w:rPr>
          <w:rFonts w:cs="Times New Roman"/>
          <w:color w:val="000000" w:themeColor="text1"/>
          <w:sz w:val="18"/>
        </w:rPr>
        <w:t>n.a</w:t>
      </w:r>
      <w:proofErr w:type="spellEnd"/>
      <w:r w:rsidRPr="0099499C">
        <w:rPr>
          <w:rFonts w:cs="Times New Roman"/>
          <w:color w:val="000000" w:themeColor="text1"/>
          <w:sz w:val="18"/>
        </w:rPr>
        <w:t xml:space="preserve">. = not </w:t>
      </w:r>
      <w:r w:rsidR="005122BC" w:rsidRPr="0099499C">
        <w:rPr>
          <w:rFonts w:cs="Times New Roman"/>
          <w:color w:val="000000" w:themeColor="text1"/>
          <w:sz w:val="18"/>
        </w:rPr>
        <w:t>analyzed</w:t>
      </w:r>
      <w:r w:rsidRPr="0099499C">
        <w:rPr>
          <w:rFonts w:cs="Times New Roman"/>
          <w:color w:val="000000" w:themeColor="text1"/>
          <w:sz w:val="18"/>
        </w:rPr>
        <w:t>, n.d. = not detected</w:t>
      </w:r>
      <w:r w:rsidR="00645E97">
        <w:rPr>
          <w:rFonts w:cs="Times New Roman"/>
          <w:color w:val="000000" w:themeColor="text1"/>
          <w:sz w:val="18"/>
        </w:rPr>
        <w:t>.</w:t>
      </w:r>
      <w:r>
        <w:rPr>
          <w:rFonts w:cs="Times New Roman"/>
          <w:color w:val="000000" w:themeColor="text1"/>
          <w:sz w:val="18"/>
        </w:rPr>
        <w:br/>
      </w:r>
      <w:r w:rsidRPr="0099499C">
        <w:rPr>
          <w:rFonts w:cs="Times New Roman"/>
          <w:color w:val="000000" w:themeColor="text1"/>
          <w:sz w:val="18"/>
        </w:rPr>
        <w:t>*percentages of relative abundances are presented in parentheses</w:t>
      </w:r>
      <w:r w:rsidR="00BA7374">
        <w:rPr>
          <w:rFonts w:cs="Times New Roman"/>
          <w:color w:val="000000" w:themeColor="text1"/>
          <w:sz w:val="18"/>
        </w:rPr>
        <w:t>,</w:t>
      </w:r>
      <w:r w:rsidRPr="0099499C">
        <w:rPr>
          <w:rFonts w:cs="Times New Roman"/>
          <w:color w:val="000000" w:themeColor="text1"/>
          <w:sz w:val="18"/>
        </w:rPr>
        <w:t xml:space="preserve"> and cluster-annotations of identified diazotrophs </w:t>
      </w:r>
      <w:r w:rsidR="00BA7374">
        <w:rPr>
          <w:rFonts w:cs="Times New Roman"/>
          <w:color w:val="000000" w:themeColor="text1"/>
          <w:sz w:val="18"/>
        </w:rPr>
        <w:t>specified</w:t>
      </w:r>
      <w:r w:rsidRPr="0099499C">
        <w:rPr>
          <w:rFonts w:cs="Times New Roman"/>
          <w:color w:val="000000" w:themeColor="text1"/>
          <w:sz w:val="18"/>
        </w:rPr>
        <w:t>, when stated in the original study.</w:t>
      </w:r>
      <w:r w:rsidRPr="0099499C">
        <w:rPr>
          <w:rFonts w:cs="Times New Roman"/>
          <w:color w:val="000000" w:themeColor="text1"/>
          <w:sz w:val="22"/>
        </w:rPr>
        <w:t xml:space="preserve"> </w:t>
      </w:r>
    </w:p>
    <w:p w14:paraId="5177ECEF" w14:textId="77777777" w:rsidR="000A07BE" w:rsidRPr="0099499C" w:rsidRDefault="000A07BE" w:rsidP="005122BC">
      <w:pPr>
        <w:pStyle w:val="Overskrift1"/>
        <w:numPr>
          <w:ilvl w:val="0"/>
          <w:numId w:val="0"/>
        </w:numPr>
        <w:ind w:left="567" w:hanging="567"/>
        <w:rPr>
          <w:color w:val="000000" w:themeColor="text1"/>
        </w:rPr>
      </w:pPr>
      <w:r w:rsidRPr="0099499C">
        <w:rPr>
          <w:color w:val="000000" w:themeColor="text1"/>
        </w:rPr>
        <w:br w:type="column"/>
      </w:r>
      <w:r w:rsidRPr="0099499C">
        <w:rPr>
          <w:color w:val="000000" w:themeColor="text1"/>
        </w:rPr>
        <w:lastRenderedPageBreak/>
        <w:t>References</w:t>
      </w:r>
    </w:p>
    <w:p w14:paraId="4D9E538A" w14:textId="66455B4F" w:rsidR="00B1431D" w:rsidRPr="00B1431D" w:rsidRDefault="000A07BE" w:rsidP="005122BC">
      <w:pPr>
        <w:widowControl w:val="0"/>
        <w:autoSpaceDE w:val="0"/>
        <w:autoSpaceDN w:val="0"/>
        <w:adjustRightInd w:val="0"/>
        <w:ind w:left="480" w:hanging="480"/>
        <w:rPr>
          <w:rFonts w:cs="Times New Roman"/>
          <w:noProof/>
          <w:sz w:val="22"/>
        </w:rPr>
      </w:pPr>
      <w:r>
        <w:rPr>
          <w:rFonts w:cs="Times New Roman"/>
          <w:color w:val="000000" w:themeColor="text1"/>
          <w:sz w:val="22"/>
        </w:rPr>
        <w:fldChar w:fldCharType="begin" w:fldLock="1"/>
      </w:r>
      <w:r>
        <w:rPr>
          <w:rFonts w:cs="Times New Roman"/>
          <w:color w:val="000000" w:themeColor="text1"/>
          <w:sz w:val="22"/>
        </w:rPr>
        <w:instrText xml:space="preserve">ADDIN Mendeley Bibliography CSL_BIBLIOGRAPHY </w:instrText>
      </w:r>
      <w:r>
        <w:rPr>
          <w:rFonts w:cs="Times New Roman"/>
          <w:color w:val="000000" w:themeColor="text1"/>
          <w:sz w:val="22"/>
        </w:rPr>
        <w:fldChar w:fldCharType="separate"/>
      </w:r>
      <w:r w:rsidR="00B1431D" w:rsidRPr="00B1431D">
        <w:rPr>
          <w:rFonts w:cs="Times New Roman"/>
          <w:noProof/>
          <w:sz w:val="22"/>
        </w:rPr>
        <w:t xml:space="preserve">Blais, M., Tremblay, J., Jungblut, A. D., Gagnon, J., Martin, J., Thaler, M., et al. (2012). Nitrogen fixation and identification of potential diazotrophs in the Canadian Arctic. </w:t>
      </w:r>
      <w:r w:rsidR="00B1431D" w:rsidRPr="00B1431D">
        <w:rPr>
          <w:rFonts w:cs="Times New Roman"/>
          <w:i/>
          <w:iCs/>
          <w:noProof/>
          <w:sz w:val="22"/>
        </w:rPr>
        <w:t>Global Biogeochem. Cycles</w:t>
      </w:r>
      <w:r w:rsidR="00B1431D" w:rsidRPr="00B1431D">
        <w:rPr>
          <w:rFonts w:cs="Times New Roman"/>
          <w:noProof/>
          <w:sz w:val="22"/>
        </w:rPr>
        <w:t xml:space="preserve"> 26, GB3022. doi:10.1029/2011GB004096.</w:t>
      </w:r>
    </w:p>
    <w:p w14:paraId="4DF7A9F3" w14:textId="77777777" w:rsidR="00B1431D" w:rsidRPr="00B1431D" w:rsidRDefault="00B1431D" w:rsidP="005122BC">
      <w:pPr>
        <w:widowControl w:val="0"/>
        <w:autoSpaceDE w:val="0"/>
        <w:autoSpaceDN w:val="0"/>
        <w:adjustRightInd w:val="0"/>
        <w:ind w:left="480" w:hanging="480"/>
        <w:rPr>
          <w:rFonts w:cs="Times New Roman"/>
          <w:noProof/>
          <w:sz w:val="22"/>
        </w:rPr>
      </w:pPr>
      <w:r w:rsidRPr="00B1431D">
        <w:rPr>
          <w:rFonts w:cs="Times New Roman"/>
          <w:noProof/>
          <w:sz w:val="22"/>
        </w:rPr>
        <w:t xml:space="preserve">Bowman, J. S., Berthiaume, C. T., Armbrust, E. V., and Deming, J. W. (2014). The genetic potential for key biogeochemical processes in Arctic frost flowers and young sea ice revealed by metagenomic analysis. </w:t>
      </w:r>
      <w:r w:rsidRPr="00B1431D">
        <w:rPr>
          <w:rFonts w:cs="Times New Roman"/>
          <w:i/>
          <w:iCs/>
          <w:noProof/>
          <w:sz w:val="22"/>
        </w:rPr>
        <w:t>FEMS Microbiol. Ecol.</w:t>
      </w:r>
      <w:r w:rsidRPr="00B1431D">
        <w:rPr>
          <w:rFonts w:cs="Times New Roman"/>
          <w:noProof/>
          <w:sz w:val="22"/>
        </w:rPr>
        <w:t xml:space="preserve"> 89, 376–387. doi:10.1111/1574-6941.12331.</w:t>
      </w:r>
    </w:p>
    <w:p w14:paraId="313FC0CC" w14:textId="77777777" w:rsidR="00B1431D" w:rsidRPr="00C371EE" w:rsidRDefault="00B1431D" w:rsidP="005122BC">
      <w:pPr>
        <w:widowControl w:val="0"/>
        <w:autoSpaceDE w:val="0"/>
        <w:autoSpaceDN w:val="0"/>
        <w:adjustRightInd w:val="0"/>
        <w:ind w:left="480" w:hanging="480"/>
        <w:rPr>
          <w:rFonts w:cs="Times New Roman"/>
          <w:noProof/>
          <w:sz w:val="22"/>
          <w:lang w:val="da-DK"/>
        </w:rPr>
      </w:pPr>
      <w:r w:rsidRPr="00B1431D">
        <w:rPr>
          <w:rFonts w:cs="Times New Roman"/>
          <w:noProof/>
          <w:sz w:val="22"/>
        </w:rPr>
        <w:t xml:space="preserve">Díez, B., Bergman, B., Pedrós-Alió, C., Antó, M., and Snoeijs, P. (2012). High cyanobacterial </w:t>
      </w:r>
      <w:r w:rsidRPr="00B1431D">
        <w:rPr>
          <w:rFonts w:cs="Times New Roman"/>
          <w:i/>
          <w:noProof/>
          <w:sz w:val="22"/>
        </w:rPr>
        <w:t>nifH</w:t>
      </w:r>
      <w:r w:rsidRPr="00B1431D">
        <w:rPr>
          <w:rFonts w:cs="Times New Roman"/>
          <w:noProof/>
          <w:sz w:val="22"/>
        </w:rPr>
        <w:t xml:space="preserve"> gene diversity in Arctic seawater and sea ice brine. </w:t>
      </w:r>
      <w:r w:rsidRPr="00C371EE">
        <w:rPr>
          <w:rFonts w:cs="Times New Roman"/>
          <w:i/>
          <w:iCs/>
          <w:noProof/>
          <w:sz w:val="22"/>
          <w:lang w:val="da-DK"/>
        </w:rPr>
        <w:t>Environ. Microbiol. Rep.</w:t>
      </w:r>
      <w:r w:rsidRPr="00C371EE">
        <w:rPr>
          <w:rFonts w:cs="Times New Roman"/>
          <w:noProof/>
          <w:sz w:val="22"/>
          <w:lang w:val="da-DK"/>
        </w:rPr>
        <w:t xml:space="preserve"> 4, 360–366. doi:10.1111/j.1758-2229.2012.00343.x.</w:t>
      </w:r>
    </w:p>
    <w:p w14:paraId="75D40CB3" w14:textId="1B80AD99" w:rsidR="00B1431D" w:rsidRPr="00B1431D" w:rsidRDefault="00B1431D" w:rsidP="005122BC">
      <w:pPr>
        <w:widowControl w:val="0"/>
        <w:autoSpaceDE w:val="0"/>
        <w:autoSpaceDN w:val="0"/>
        <w:adjustRightInd w:val="0"/>
        <w:ind w:left="480" w:hanging="480"/>
        <w:rPr>
          <w:rFonts w:cs="Times New Roman"/>
          <w:noProof/>
          <w:sz w:val="22"/>
        </w:rPr>
      </w:pPr>
      <w:r w:rsidRPr="00C371EE">
        <w:rPr>
          <w:rFonts w:cs="Times New Roman"/>
          <w:noProof/>
          <w:sz w:val="22"/>
          <w:lang w:val="da-DK"/>
        </w:rPr>
        <w:t xml:space="preserve">Farnelid, H., Andersson, A. F., Bertilsson, S., Al-Soud, W. A., Hansen, L. H., Sørensen, S., et al. </w:t>
      </w:r>
      <w:r w:rsidRPr="00B1431D">
        <w:rPr>
          <w:rFonts w:cs="Times New Roman"/>
          <w:noProof/>
          <w:sz w:val="22"/>
        </w:rPr>
        <w:t xml:space="preserve">(2011). Nitrogenase </w:t>
      </w:r>
      <w:r>
        <w:rPr>
          <w:rFonts w:cs="Times New Roman"/>
          <w:noProof/>
          <w:sz w:val="22"/>
        </w:rPr>
        <w:t>g</w:t>
      </w:r>
      <w:r w:rsidRPr="00B1431D">
        <w:rPr>
          <w:rFonts w:cs="Times New Roman"/>
          <w:noProof/>
          <w:sz w:val="22"/>
        </w:rPr>
        <w:t xml:space="preserve">ene </w:t>
      </w:r>
      <w:r>
        <w:rPr>
          <w:rFonts w:cs="Times New Roman"/>
          <w:noProof/>
          <w:sz w:val="22"/>
        </w:rPr>
        <w:t>a</w:t>
      </w:r>
      <w:r w:rsidRPr="00B1431D">
        <w:rPr>
          <w:rFonts w:cs="Times New Roman"/>
          <w:noProof/>
          <w:sz w:val="22"/>
        </w:rPr>
        <w:t xml:space="preserve">mplicons from </w:t>
      </w:r>
      <w:r>
        <w:rPr>
          <w:rFonts w:cs="Times New Roman"/>
          <w:noProof/>
          <w:sz w:val="22"/>
        </w:rPr>
        <w:t>g</w:t>
      </w:r>
      <w:r w:rsidRPr="00B1431D">
        <w:rPr>
          <w:rFonts w:cs="Times New Roman"/>
          <w:noProof/>
          <w:sz w:val="22"/>
        </w:rPr>
        <w:t xml:space="preserve">lobal </w:t>
      </w:r>
      <w:r>
        <w:rPr>
          <w:rFonts w:cs="Times New Roman"/>
          <w:noProof/>
          <w:sz w:val="22"/>
        </w:rPr>
        <w:t>m</w:t>
      </w:r>
      <w:r w:rsidRPr="00B1431D">
        <w:rPr>
          <w:rFonts w:cs="Times New Roman"/>
          <w:noProof/>
          <w:sz w:val="22"/>
        </w:rPr>
        <w:t xml:space="preserve">arine </w:t>
      </w:r>
      <w:r>
        <w:rPr>
          <w:rFonts w:cs="Times New Roman"/>
          <w:noProof/>
          <w:sz w:val="22"/>
        </w:rPr>
        <w:t>s</w:t>
      </w:r>
      <w:r w:rsidRPr="00B1431D">
        <w:rPr>
          <w:rFonts w:cs="Times New Roman"/>
          <w:noProof/>
          <w:sz w:val="22"/>
        </w:rPr>
        <w:t xml:space="preserve">urface </w:t>
      </w:r>
      <w:r>
        <w:rPr>
          <w:rFonts w:cs="Times New Roman"/>
          <w:noProof/>
          <w:sz w:val="22"/>
        </w:rPr>
        <w:t>w</w:t>
      </w:r>
      <w:r w:rsidRPr="00B1431D">
        <w:rPr>
          <w:rFonts w:cs="Times New Roman"/>
          <w:noProof/>
          <w:sz w:val="22"/>
        </w:rPr>
        <w:t xml:space="preserve">aters </w:t>
      </w:r>
      <w:r>
        <w:rPr>
          <w:rFonts w:cs="Times New Roman"/>
          <w:noProof/>
          <w:sz w:val="22"/>
        </w:rPr>
        <w:t>a</w:t>
      </w:r>
      <w:r w:rsidRPr="00B1431D">
        <w:rPr>
          <w:rFonts w:cs="Times New Roman"/>
          <w:noProof/>
          <w:sz w:val="22"/>
        </w:rPr>
        <w:t xml:space="preserve">re </w:t>
      </w:r>
      <w:r>
        <w:rPr>
          <w:rFonts w:cs="Times New Roman"/>
          <w:noProof/>
          <w:sz w:val="22"/>
        </w:rPr>
        <w:t>d</w:t>
      </w:r>
      <w:r w:rsidRPr="00B1431D">
        <w:rPr>
          <w:rFonts w:cs="Times New Roman"/>
          <w:noProof/>
          <w:sz w:val="22"/>
        </w:rPr>
        <w:t xml:space="preserve">ominated by </w:t>
      </w:r>
      <w:r>
        <w:rPr>
          <w:rFonts w:cs="Times New Roman"/>
          <w:noProof/>
          <w:sz w:val="22"/>
        </w:rPr>
        <w:t>g</w:t>
      </w:r>
      <w:r w:rsidRPr="00B1431D">
        <w:rPr>
          <w:rFonts w:cs="Times New Roman"/>
          <w:noProof/>
          <w:sz w:val="22"/>
        </w:rPr>
        <w:t xml:space="preserve">enes of </w:t>
      </w:r>
      <w:r>
        <w:rPr>
          <w:rFonts w:cs="Times New Roman"/>
          <w:noProof/>
          <w:sz w:val="22"/>
        </w:rPr>
        <w:t>n</w:t>
      </w:r>
      <w:r w:rsidRPr="00B1431D">
        <w:rPr>
          <w:rFonts w:cs="Times New Roman"/>
          <w:noProof/>
          <w:sz w:val="22"/>
        </w:rPr>
        <w:t>on-</w:t>
      </w:r>
      <w:r>
        <w:rPr>
          <w:rFonts w:cs="Times New Roman"/>
          <w:noProof/>
          <w:sz w:val="22"/>
        </w:rPr>
        <w:t>c</w:t>
      </w:r>
      <w:r w:rsidRPr="00B1431D">
        <w:rPr>
          <w:rFonts w:cs="Times New Roman"/>
          <w:noProof/>
          <w:sz w:val="22"/>
        </w:rPr>
        <w:t xml:space="preserve">yanobacteria. </w:t>
      </w:r>
      <w:r w:rsidRPr="00B1431D">
        <w:rPr>
          <w:rFonts w:cs="Times New Roman"/>
          <w:i/>
          <w:iCs/>
          <w:noProof/>
          <w:sz w:val="22"/>
        </w:rPr>
        <w:t>PLoS One</w:t>
      </w:r>
      <w:r w:rsidRPr="00B1431D">
        <w:rPr>
          <w:rFonts w:cs="Times New Roman"/>
          <w:noProof/>
          <w:sz w:val="22"/>
        </w:rPr>
        <w:t xml:space="preserve"> 6, e19223. doi:10.1371/journal.pone.0019223.</w:t>
      </w:r>
    </w:p>
    <w:p w14:paraId="62F830E0" w14:textId="420CDFEB" w:rsidR="00B1431D" w:rsidRPr="00B1431D" w:rsidRDefault="00B1431D" w:rsidP="005122BC">
      <w:pPr>
        <w:widowControl w:val="0"/>
        <w:autoSpaceDE w:val="0"/>
        <w:autoSpaceDN w:val="0"/>
        <w:adjustRightInd w:val="0"/>
        <w:ind w:left="480" w:hanging="480"/>
        <w:rPr>
          <w:rFonts w:cs="Times New Roman"/>
          <w:noProof/>
          <w:sz w:val="22"/>
        </w:rPr>
      </w:pPr>
      <w:r w:rsidRPr="00B1431D">
        <w:rPr>
          <w:rFonts w:cs="Times New Roman"/>
          <w:noProof/>
          <w:sz w:val="22"/>
        </w:rPr>
        <w:t xml:space="preserve">Fernández-Méndez, M., Turk-Kubo, K. A., Buttigieg, P. L., Rapp, J. Z., Krumpen, T., Zehr, J. P., et al. (2016). Diazotroph </w:t>
      </w:r>
      <w:r>
        <w:rPr>
          <w:rFonts w:cs="Times New Roman"/>
          <w:noProof/>
          <w:sz w:val="22"/>
        </w:rPr>
        <w:t>d</w:t>
      </w:r>
      <w:r w:rsidRPr="00B1431D">
        <w:rPr>
          <w:rFonts w:cs="Times New Roman"/>
          <w:noProof/>
          <w:sz w:val="22"/>
        </w:rPr>
        <w:t xml:space="preserve">iversity in the </w:t>
      </w:r>
      <w:r>
        <w:rPr>
          <w:rFonts w:cs="Times New Roman"/>
          <w:noProof/>
          <w:sz w:val="22"/>
        </w:rPr>
        <w:t>s</w:t>
      </w:r>
      <w:r w:rsidRPr="00B1431D">
        <w:rPr>
          <w:rFonts w:cs="Times New Roman"/>
          <w:noProof/>
          <w:sz w:val="22"/>
        </w:rPr>
        <w:t xml:space="preserve">ea </w:t>
      </w:r>
      <w:r>
        <w:rPr>
          <w:rFonts w:cs="Times New Roman"/>
          <w:noProof/>
          <w:sz w:val="22"/>
        </w:rPr>
        <w:t>i</w:t>
      </w:r>
      <w:r w:rsidRPr="00B1431D">
        <w:rPr>
          <w:rFonts w:cs="Times New Roman"/>
          <w:noProof/>
          <w:sz w:val="22"/>
        </w:rPr>
        <w:t xml:space="preserve">ce, </w:t>
      </w:r>
      <w:r>
        <w:rPr>
          <w:rFonts w:cs="Times New Roman"/>
          <w:noProof/>
          <w:sz w:val="22"/>
        </w:rPr>
        <w:t>m</w:t>
      </w:r>
      <w:r w:rsidRPr="00B1431D">
        <w:rPr>
          <w:rFonts w:cs="Times New Roman"/>
          <w:noProof/>
          <w:sz w:val="22"/>
        </w:rPr>
        <w:t xml:space="preserve">elt </w:t>
      </w:r>
      <w:r>
        <w:rPr>
          <w:rFonts w:cs="Times New Roman"/>
          <w:noProof/>
          <w:sz w:val="22"/>
        </w:rPr>
        <w:t>p</w:t>
      </w:r>
      <w:r w:rsidRPr="00B1431D">
        <w:rPr>
          <w:rFonts w:cs="Times New Roman"/>
          <w:noProof/>
          <w:sz w:val="22"/>
        </w:rPr>
        <w:t xml:space="preserve">onds, and </w:t>
      </w:r>
      <w:r>
        <w:rPr>
          <w:rFonts w:cs="Times New Roman"/>
          <w:noProof/>
          <w:sz w:val="22"/>
        </w:rPr>
        <w:t>s</w:t>
      </w:r>
      <w:r w:rsidRPr="00B1431D">
        <w:rPr>
          <w:rFonts w:cs="Times New Roman"/>
          <w:noProof/>
          <w:sz w:val="22"/>
        </w:rPr>
        <w:t xml:space="preserve">urface </w:t>
      </w:r>
      <w:r>
        <w:rPr>
          <w:rFonts w:cs="Times New Roman"/>
          <w:noProof/>
          <w:sz w:val="22"/>
        </w:rPr>
        <w:t>w</w:t>
      </w:r>
      <w:r w:rsidRPr="00B1431D">
        <w:rPr>
          <w:rFonts w:cs="Times New Roman"/>
          <w:noProof/>
          <w:sz w:val="22"/>
        </w:rPr>
        <w:t xml:space="preserve">aters of the Eurasian Basin of the Central Arctic Ocean. </w:t>
      </w:r>
      <w:r w:rsidRPr="00B1431D">
        <w:rPr>
          <w:rFonts w:cs="Times New Roman"/>
          <w:i/>
          <w:iCs/>
          <w:noProof/>
          <w:sz w:val="22"/>
        </w:rPr>
        <w:t>Front. Microbiol.</w:t>
      </w:r>
      <w:r w:rsidRPr="00B1431D">
        <w:rPr>
          <w:rFonts w:cs="Times New Roman"/>
          <w:noProof/>
          <w:sz w:val="22"/>
        </w:rPr>
        <w:t xml:space="preserve"> 7, 1–18. doi:10.3389/fmicb.2016.01884.</w:t>
      </w:r>
    </w:p>
    <w:p w14:paraId="6677F955" w14:textId="77777777" w:rsidR="00B1431D" w:rsidRPr="00B1431D" w:rsidRDefault="00B1431D" w:rsidP="005122BC">
      <w:pPr>
        <w:widowControl w:val="0"/>
        <w:autoSpaceDE w:val="0"/>
        <w:autoSpaceDN w:val="0"/>
        <w:adjustRightInd w:val="0"/>
        <w:ind w:left="480" w:hanging="480"/>
        <w:rPr>
          <w:rFonts w:cs="Times New Roman"/>
          <w:noProof/>
          <w:sz w:val="22"/>
        </w:rPr>
      </w:pPr>
      <w:r w:rsidRPr="00B1431D">
        <w:rPr>
          <w:rFonts w:cs="Times New Roman"/>
          <w:noProof/>
          <w:sz w:val="22"/>
        </w:rPr>
        <w:t xml:space="preserve">Harding, K., Turk-Kubo, K. A., Sipler, R. E., Mills, M. M., Bronk, D. A., and Zehr, J. P. (2018). Symbiotic unicellular cyanobacteria fix nitrogen in the Arctic Ocean. </w:t>
      </w:r>
      <w:r w:rsidRPr="00B1431D">
        <w:rPr>
          <w:rFonts w:cs="Times New Roman"/>
          <w:i/>
          <w:iCs/>
          <w:noProof/>
          <w:sz w:val="22"/>
        </w:rPr>
        <w:t>Proc. Natl. Acad. Sci.</w:t>
      </w:r>
      <w:r w:rsidRPr="00B1431D">
        <w:rPr>
          <w:rFonts w:cs="Times New Roman"/>
          <w:noProof/>
          <w:sz w:val="22"/>
        </w:rPr>
        <w:t xml:space="preserve"> 115, 13371–13375. doi:10.1073/pnas.1813658115.</w:t>
      </w:r>
    </w:p>
    <w:p w14:paraId="23A52AAA" w14:textId="77777777" w:rsidR="00B1431D" w:rsidRPr="00B1431D" w:rsidRDefault="00B1431D" w:rsidP="005122BC">
      <w:pPr>
        <w:widowControl w:val="0"/>
        <w:autoSpaceDE w:val="0"/>
        <w:autoSpaceDN w:val="0"/>
        <w:adjustRightInd w:val="0"/>
        <w:ind w:left="480" w:hanging="480"/>
        <w:rPr>
          <w:rFonts w:cs="Times New Roman"/>
          <w:noProof/>
          <w:sz w:val="22"/>
        </w:rPr>
      </w:pPr>
      <w:r w:rsidRPr="00B1431D">
        <w:rPr>
          <w:rFonts w:cs="Times New Roman"/>
          <w:noProof/>
          <w:sz w:val="22"/>
        </w:rPr>
        <w:t xml:space="preserve">Salazar, G., Paoli, L., Alberti, A., Huerta-Cepas, J., Ruscheweyh, H.-J., Cuenca, M., et al. (2019). Gene expression changes and community turnover differentially shape the global ocean metatranscriptome. </w:t>
      </w:r>
      <w:r w:rsidRPr="00B1431D">
        <w:rPr>
          <w:rFonts w:cs="Times New Roman"/>
          <w:i/>
          <w:iCs/>
          <w:noProof/>
          <w:sz w:val="22"/>
        </w:rPr>
        <w:t>Cell</w:t>
      </w:r>
      <w:r w:rsidRPr="00B1431D">
        <w:rPr>
          <w:rFonts w:cs="Times New Roman"/>
          <w:noProof/>
          <w:sz w:val="22"/>
        </w:rPr>
        <w:t xml:space="preserve"> 179, 1068–1083. doi:10.1016/j.cell.2019.10.014.</w:t>
      </w:r>
    </w:p>
    <w:p w14:paraId="12628E1B" w14:textId="77777777" w:rsidR="00B1431D" w:rsidRPr="00B1431D" w:rsidRDefault="00B1431D" w:rsidP="005122BC">
      <w:pPr>
        <w:widowControl w:val="0"/>
        <w:autoSpaceDE w:val="0"/>
        <w:autoSpaceDN w:val="0"/>
        <w:adjustRightInd w:val="0"/>
        <w:ind w:left="480" w:hanging="480"/>
        <w:rPr>
          <w:rFonts w:cs="Times New Roman"/>
          <w:noProof/>
          <w:sz w:val="22"/>
        </w:rPr>
      </w:pPr>
      <w:r w:rsidRPr="00B1431D">
        <w:rPr>
          <w:rFonts w:cs="Times New Roman"/>
          <w:noProof/>
          <w:sz w:val="22"/>
        </w:rPr>
        <w:t xml:space="preserve">Shiozaki, T., Bombar, D., Riemann, L., Hashihama, F., Takeda, S., Yamaguchi, T., et al. (2017). Basin scale variability of active diazotrophs and nitrogen fixation in the North Pacific, from the tropics to the subarctic Bering Sea. </w:t>
      </w:r>
      <w:r w:rsidRPr="00B1431D">
        <w:rPr>
          <w:rFonts w:cs="Times New Roman"/>
          <w:i/>
          <w:iCs/>
          <w:noProof/>
          <w:sz w:val="22"/>
        </w:rPr>
        <w:t>Global Biogeochem. Cycles</w:t>
      </w:r>
      <w:r w:rsidRPr="00B1431D">
        <w:rPr>
          <w:rFonts w:cs="Times New Roman"/>
          <w:noProof/>
          <w:sz w:val="22"/>
        </w:rPr>
        <w:t xml:space="preserve"> 31, 996–1009. doi:10.1002/2017GB005681.</w:t>
      </w:r>
    </w:p>
    <w:p w14:paraId="69F26D2F" w14:textId="77777777" w:rsidR="00B1431D" w:rsidRPr="00B1431D" w:rsidRDefault="00B1431D" w:rsidP="005122BC">
      <w:pPr>
        <w:widowControl w:val="0"/>
        <w:autoSpaceDE w:val="0"/>
        <w:autoSpaceDN w:val="0"/>
        <w:adjustRightInd w:val="0"/>
        <w:ind w:left="480" w:hanging="480"/>
        <w:rPr>
          <w:rFonts w:cs="Times New Roman"/>
          <w:noProof/>
          <w:sz w:val="22"/>
        </w:rPr>
      </w:pPr>
      <w:r w:rsidRPr="00B1431D">
        <w:rPr>
          <w:rFonts w:cs="Times New Roman"/>
          <w:noProof/>
          <w:sz w:val="22"/>
        </w:rPr>
        <w:t xml:space="preserve">Shiozaki, T., Fujiwara, A., Ijichi, M., Harada, N., Nishino, S., Nishi, S., et al. (2018). Diazotroph community structure and the role of nitrogen fixation in the nitrogen cycle in the Chukchi Sea (western Arctic Ocean). </w:t>
      </w:r>
      <w:r w:rsidRPr="00B1431D">
        <w:rPr>
          <w:rFonts w:cs="Times New Roman"/>
          <w:i/>
          <w:iCs/>
          <w:noProof/>
          <w:sz w:val="22"/>
        </w:rPr>
        <w:t>Limnol. Oceanogr.</w:t>
      </w:r>
      <w:r w:rsidRPr="00B1431D">
        <w:rPr>
          <w:rFonts w:cs="Times New Roman"/>
          <w:noProof/>
          <w:sz w:val="22"/>
        </w:rPr>
        <w:t xml:space="preserve"> 63, 2191–2205. doi:10.1002/lno.10933.</w:t>
      </w:r>
    </w:p>
    <w:p w14:paraId="145399F0" w14:textId="56DE182F" w:rsidR="00C371EE" w:rsidRDefault="00B1431D" w:rsidP="005122BC">
      <w:pPr>
        <w:widowControl w:val="0"/>
        <w:autoSpaceDE w:val="0"/>
        <w:autoSpaceDN w:val="0"/>
        <w:adjustRightInd w:val="0"/>
        <w:ind w:left="480" w:hanging="480"/>
        <w:rPr>
          <w:rFonts w:cs="Times New Roman"/>
          <w:noProof/>
          <w:sz w:val="22"/>
        </w:rPr>
      </w:pPr>
      <w:r w:rsidRPr="00C41A53">
        <w:rPr>
          <w:rFonts w:cs="Times New Roman"/>
          <w:noProof/>
          <w:sz w:val="22"/>
        </w:rPr>
        <w:t xml:space="preserve">Sipler, R. E., Gong, D., Baer, S. E., Sanderson, M. P., Roberts, Q. N., Mulholland, M. R., et al. </w:t>
      </w:r>
      <w:r w:rsidRPr="00B1431D">
        <w:rPr>
          <w:rFonts w:cs="Times New Roman"/>
          <w:noProof/>
          <w:sz w:val="22"/>
        </w:rPr>
        <w:t xml:space="preserve">(2017). Preliminary estimates of the contribution of Arctic nitrogen fixation to the global nitrogen budget. </w:t>
      </w:r>
      <w:r w:rsidRPr="00B1431D">
        <w:rPr>
          <w:rFonts w:cs="Times New Roman"/>
          <w:i/>
          <w:iCs/>
          <w:noProof/>
          <w:sz w:val="22"/>
        </w:rPr>
        <w:t>Limnol. Oceanogr. Lett.</w:t>
      </w:r>
      <w:r w:rsidRPr="00B1431D">
        <w:rPr>
          <w:rFonts w:cs="Times New Roman"/>
          <w:noProof/>
          <w:sz w:val="22"/>
        </w:rPr>
        <w:t xml:space="preserve"> 2, 159–166. doi:10.1002/lol2.10046.</w:t>
      </w:r>
    </w:p>
    <w:p w14:paraId="7B65BC41" w14:textId="3C0C2F09" w:rsidR="00DE23E8" w:rsidRPr="00C41A53" w:rsidRDefault="000A07BE" w:rsidP="00C41A53">
      <w:pPr>
        <w:widowControl w:val="0"/>
        <w:autoSpaceDE w:val="0"/>
        <w:autoSpaceDN w:val="0"/>
        <w:adjustRightInd w:val="0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fldChar w:fldCharType="end"/>
      </w:r>
    </w:p>
    <w:sectPr w:rsidR="00DE23E8" w:rsidRPr="00C41A53" w:rsidSect="000A07BE">
      <w:headerReference w:type="even" r:id="rId9"/>
      <w:footerReference w:type="even" r:id="rId10"/>
      <w:footerReference w:type="default" r:id="rId11"/>
      <w:headerReference w:type="first" r:id="rId12"/>
      <w:pgSz w:w="15840" w:h="12240" w:orient="landscape"/>
      <w:pgMar w:top="1181" w:right="1138" w:bottom="1282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224F63" w14:textId="77777777" w:rsidR="00FB401D" w:rsidRDefault="00FB401D" w:rsidP="00117666">
      <w:pPr>
        <w:spacing w:after="0"/>
      </w:pPr>
      <w:r>
        <w:separator/>
      </w:r>
    </w:p>
  </w:endnote>
  <w:endnote w:type="continuationSeparator" w:id="0">
    <w:p w14:paraId="229D56DE" w14:textId="77777777" w:rsidR="00FB401D" w:rsidRDefault="00FB401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65CBA1" w14:textId="77777777" w:rsidR="00FB401D" w:rsidRDefault="00FB401D" w:rsidP="00117666">
      <w:pPr>
        <w:spacing w:after="0"/>
      </w:pPr>
      <w:r>
        <w:separator/>
      </w:r>
    </w:p>
  </w:footnote>
  <w:footnote w:type="continuationSeparator" w:id="0">
    <w:p w14:paraId="3143D117" w14:textId="77777777" w:rsidR="00FB401D" w:rsidRDefault="00FB401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Oversk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afsni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A07BE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A21C6"/>
    <w:rsid w:val="002B4A57"/>
    <w:rsid w:val="002C74CA"/>
    <w:rsid w:val="003123F4"/>
    <w:rsid w:val="00343411"/>
    <w:rsid w:val="003544FB"/>
    <w:rsid w:val="0037714F"/>
    <w:rsid w:val="003D2F2D"/>
    <w:rsid w:val="00401590"/>
    <w:rsid w:val="00447801"/>
    <w:rsid w:val="00452E9C"/>
    <w:rsid w:val="004735C8"/>
    <w:rsid w:val="004947A6"/>
    <w:rsid w:val="004961FF"/>
    <w:rsid w:val="005122BC"/>
    <w:rsid w:val="00517A89"/>
    <w:rsid w:val="005250F2"/>
    <w:rsid w:val="00593EEA"/>
    <w:rsid w:val="005A5EEE"/>
    <w:rsid w:val="0063574C"/>
    <w:rsid w:val="006375C7"/>
    <w:rsid w:val="00645E97"/>
    <w:rsid w:val="00654E8F"/>
    <w:rsid w:val="00660D05"/>
    <w:rsid w:val="006617FD"/>
    <w:rsid w:val="00666014"/>
    <w:rsid w:val="006820B1"/>
    <w:rsid w:val="006B7D14"/>
    <w:rsid w:val="00701727"/>
    <w:rsid w:val="0070566C"/>
    <w:rsid w:val="00706435"/>
    <w:rsid w:val="00714C50"/>
    <w:rsid w:val="00725A7D"/>
    <w:rsid w:val="007501BE"/>
    <w:rsid w:val="00790BB3"/>
    <w:rsid w:val="007C206C"/>
    <w:rsid w:val="007D6D35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431D"/>
    <w:rsid w:val="00B1671E"/>
    <w:rsid w:val="00B25EB8"/>
    <w:rsid w:val="00B37F4D"/>
    <w:rsid w:val="00BA7374"/>
    <w:rsid w:val="00C371EE"/>
    <w:rsid w:val="00C41A53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B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Overskrift1">
    <w:name w:val="heading 1"/>
    <w:basedOn w:val="Listeafsnit"/>
    <w:next w:val="Normal"/>
    <w:link w:val="Overskrift1Teg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Overskrift2">
    <w:name w:val="heading 2"/>
    <w:basedOn w:val="Overskrift1"/>
    <w:next w:val="Normal"/>
    <w:link w:val="Overskrift2Teg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Overskrift3">
    <w:name w:val="heading 3"/>
    <w:basedOn w:val="Normal"/>
    <w:next w:val="Normal"/>
    <w:link w:val="Overskrift3Teg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Overskrift4">
    <w:name w:val="heading 4"/>
    <w:basedOn w:val="Overskrift3"/>
    <w:next w:val="Normal"/>
    <w:link w:val="Overskrift4Teg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Overskrift5">
    <w:name w:val="heading 5"/>
    <w:basedOn w:val="Overskrift4"/>
    <w:next w:val="Normal"/>
    <w:link w:val="Overskrift5Tegn"/>
    <w:uiPriority w:val="2"/>
    <w:qFormat/>
    <w:rsid w:val="00AB6715"/>
    <w:pPr>
      <w:numPr>
        <w:ilvl w:val="4"/>
      </w:numPr>
      <w:outlineLvl w:val="4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dertitel">
    <w:name w:val="Subtitle"/>
    <w:basedOn w:val="Normal"/>
    <w:next w:val="Normal"/>
    <w:link w:val="UndertitelTeg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dertitelTegn">
    <w:name w:val="Undertitel Tegn"/>
    <w:basedOn w:val="Standardskrifttypeiafsnit"/>
    <w:link w:val="Und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dertitel"/>
    <w:next w:val="Normal"/>
    <w:uiPriority w:val="1"/>
    <w:qFormat/>
    <w:rsid w:val="00AB6715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genstitel">
    <w:name w:val="Book Title"/>
    <w:basedOn w:val="Standardskrifttypeiafsni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illedtekst">
    <w:name w:val="caption"/>
    <w:basedOn w:val="Normal"/>
    <w:next w:val="Ingenafstand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Ingenafstand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B671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6715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671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Fremhv">
    <w:name w:val="Emphasis"/>
    <w:basedOn w:val="Standardskrifttypeiafsnit"/>
    <w:uiPriority w:val="20"/>
    <w:qFormat/>
    <w:rsid w:val="00AB6715"/>
    <w:rPr>
      <w:rFonts w:ascii="Times New Roman" w:hAnsi="Times New Roman"/>
      <w:i/>
      <w:iCs/>
    </w:rPr>
  </w:style>
  <w:style w:type="character" w:styleId="Slutnotehenvisning">
    <w:name w:val="endnote reference"/>
    <w:basedOn w:val="Standardskrifttypeiafsnit"/>
    <w:uiPriority w:val="99"/>
    <w:semiHidden/>
    <w:unhideWhenUsed/>
    <w:rsid w:val="00AB6715"/>
    <w:rPr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Sidefod">
    <w:name w:val="footer"/>
    <w:basedOn w:val="Normal"/>
    <w:link w:val="SidefodTeg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AB6715"/>
    <w:rPr>
      <w:rFonts w:ascii="Times New Roman" w:hAnsi="Times New Roman"/>
      <w:sz w:val="24"/>
    </w:rPr>
  </w:style>
  <w:style w:type="character" w:styleId="Fodnotehenvisning">
    <w:name w:val="footnote reference"/>
    <w:basedOn w:val="Standardskrifttypeiafsnit"/>
    <w:uiPriority w:val="99"/>
    <w:semiHidden/>
    <w:unhideWhenUsed/>
    <w:rsid w:val="00AB6715"/>
    <w:rPr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SidehovedTegn">
    <w:name w:val="Sidehoved Tegn"/>
    <w:basedOn w:val="Standardskrifttypeiafsnit"/>
    <w:link w:val="Sidehoved"/>
    <w:uiPriority w:val="99"/>
    <w:rsid w:val="00AB6715"/>
    <w:rPr>
      <w:rFonts w:ascii="Times New Roman" w:hAnsi="Times New Roman"/>
      <w:b/>
      <w:sz w:val="24"/>
    </w:rPr>
  </w:style>
  <w:style w:type="paragraph" w:styleId="Listeafsnit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Standardskrifttypeiafsnit"/>
    <w:uiPriority w:val="99"/>
    <w:unhideWhenUsed/>
    <w:rsid w:val="00AB6715"/>
    <w:rPr>
      <w:color w:val="0000FF"/>
      <w:u w:val="single"/>
    </w:rPr>
  </w:style>
  <w:style w:type="character" w:styleId="Kraftigfremhvning">
    <w:name w:val="Intense Emphasis"/>
    <w:basedOn w:val="Standardskrifttypeiafsni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Kraftighenvisning">
    <w:name w:val="Intense Reference"/>
    <w:basedOn w:val="Standardskrifttypeiafsnit"/>
    <w:uiPriority w:val="32"/>
    <w:qFormat/>
    <w:rsid w:val="00AB6715"/>
    <w:rPr>
      <w:b/>
      <w:bCs/>
      <w:smallCaps/>
      <w:color w:val="auto"/>
      <w:spacing w:val="5"/>
    </w:rPr>
  </w:style>
  <w:style w:type="character" w:styleId="Linjenummer">
    <w:name w:val="line number"/>
    <w:basedOn w:val="Standardskrifttypeiafsnit"/>
    <w:uiPriority w:val="99"/>
    <w:semiHidden/>
    <w:unhideWhenUsed/>
    <w:rsid w:val="00AB6715"/>
  </w:style>
  <w:style w:type="character" w:customStyle="1" w:styleId="Overskrift3Tegn">
    <w:name w:val="Overskrift 3 Tegn"/>
    <w:basedOn w:val="Standardskrifttypeiafsnit"/>
    <w:link w:val="Oversk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Overskrift5Tegn">
    <w:name w:val="Overskrift 5 Tegn"/>
    <w:basedOn w:val="Standardskrifttypeiafsnit"/>
    <w:link w:val="Oversk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k">
    <w:name w:val="Strong"/>
    <w:basedOn w:val="Standardskrifttypeiafsnit"/>
    <w:uiPriority w:val="22"/>
    <w:qFormat/>
    <w:rsid w:val="00AB6715"/>
    <w:rPr>
      <w:rFonts w:ascii="Times New Roman" w:hAnsi="Times New Roman"/>
      <w:b/>
      <w:bCs/>
    </w:rPr>
  </w:style>
  <w:style w:type="character" w:styleId="Svagfremhvning">
    <w:name w:val="Subtle Emphasis"/>
    <w:basedOn w:val="Standardskrifttypeiafsni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-Gitter">
    <w:name w:val="Table Grid"/>
    <w:basedOn w:val="Tabel-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Tegn">
    <w:name w:val="Titel Tegn"/>
    <w:basedOn w:val="Standardskrifttypeiafsni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8CD32B6-1279-F943-B288-804C47ADB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3</TotalTime>
  <Pages>3</Pages>
  <Words>462</Words>
  <Characters>2824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Lisa Winberg von Friesen</cp:lastModifiedBy>
  <cp:revision>4</cp:revision>
  <cp:lastPrinted>2013-10-03T12:51:00Z</cp:lastPrinted>
  <dcterms:created xsi:type="dcterms:W3CDTF">2020-12-06T12:41:00Z</dcterms:created>
  <dcterms:modified xsi:type="dcterms:W3CDTF">2020-12-06T12:57:00Z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http://www.zotero.org/styles/frontiers-in-microbiology</vt:lpwstr>
  </property>
  <property fmtid="{D5CDD505-2E9C-101B-9397-08002B2CF9AE}" pid="13" name="Mendeley Recent Style Name 5_1">
    <vt:lpwstr>Frontiers in Microbiology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http://www.zotero.org/styles/marine-pollution-bulletin</vt:lpwstr>
  </property>
  <property fmtid="{D5CDD505-2E9C-101B-9397-08002B2CF9AE}" pid="17" name="Mendeley Recent Style Name 7_1">
    <vt:lpwstr>Marine Pollution Bulletin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d1b64823-8390-3495-b511-9333df41d35e</vt:lpwstr>
  </property>
  <property fmtid="{D5CDD505-2E9C-101B-9397-08002B2CF9AE}" pid="24" name="Mendeley Citation Style_1">
    <vt:lpwstr>http://www.zotero.org/styles/frontiers-in-microbiology</vt:lpwstr>
  </property>
</Properties>
</file>