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7FE27" w14:textId="77777777" w:rsidR="00E44602" w:rsidRPr="003456EF" w:rsidRDefault="00E44602" w:rsidP="00E44602">
      <w:pPr>
        <w:keepNext/>
        <w:jc w:val="center"/>
        <w:rPr>
          <w:rFonts w:asciiTheme="minorHAnsi" w:hAnsiTheme="minorHAnsi" w:cstheme="minorHAnsi"/>
          <w:b/>
          <w:sz w:val="28"/>
          <w:szCs w:val="28"/>
        </w:rPr>
      </w:pPr>
      <w:r w:rsidRPr="003456EF">
        <w:rPr>
          <w:rFonts w:asciiTheme="minorHAnsi" w:hAnsiTheme="minorHAnsi" w:cstheme="minorHAnsi"/>
          <w:b/>
          <w:sz w:val="28"/>
          <w:szCs w:val="28"/>
        </w:rPr>
        <w:t>Supplementary Material</w:t>
      </w:r>
    </w:p>
    <w:p w14:paraId="502E04BE" w14:textId="77777777" w:rsidR="00E44602" w:rsidRPr="003456EF" w:rsidRDefault="00E44602" w:rsidP="00E44602">
      <w:pPr>
        <w:keepNext/>
        <w:jc w:val="center"/>
        <w:rPr>
          <w:rFonts w:asciiTheme="minorHAnsi" w:hAnsiTheme="minorHAnsi" w:cstheme="minorHAnsi"/>
          <w:b/>
          <w:sz w:val="28"/>
          <w:szCs w:val="28"/>
        </w:rPr>
      </w:pPr>
    </w:p>
    <w:p w14:paraId="084611DC" w14:textId="3EFEE76B" w:rsidR="00E44602" w:rsidRPr="003456EF" w:rsidRDefault="00EB61AB" w:rsidP="00EB61AB">
      <w:pPr>
        <w:keepNext/>
        <w:jc w:val="center"/>
        <w:rPr>
          <w:rFonts w:asciiTheme="minorHAnsi" w:hAnsiTheme="minorHAnsi" w:cstheme="minorHAnsi"/>
          <w:b/>
          <w:sz w:val="28"/>
          <w:szCs w:val="28"/>
        </w:rPr>
      </w:pPr>
      <w:r w:rsidRPr="003456EF">
        <w:rPr>
          <w:rFonts w:asciiTheme="minorHAnsi" w:hAnsiTheme="minorHAnsi" w:cstheme="minorHAnsi"/>
          <w:b/>
          <w:sz w:val="28"/>
          <w:szCs w:val="28"/>
        </w:rPr>
        <w:t xml:space="preserve">Further Development of Small Hydropower </w:t>
      </w:r>
      <w:r w:rsidR="008F3631">
        <w:rPr>
          <w:rFonts w:asciiTheme="minorHAnsi" w:hAnsiTheme="minorHAnsi" w:cstheme="minorHAnsi"/>
          <w:b/>
          <w:sz w:val="28"/>
          <w:szCs w:val="28"/>
        </w:rPr>
        <w:t>Ma</w:t>
      </w:r>
      <w:bookmarkStart w:id="0" w:name="_GoBack"/>
      <w:bookmarkEnd w:id="0"/>
      <w:r w:rsidR="008F3631">
        <w:rPr>
          <w:rFonts w:asciiTheme="minorHAnsi" w:hAnsiTheme="minorHAnsi" w:cstheme="minorHAnsi"/>
          <w:b/>
          <w:sz w:val="28"/>
          <w:szCs w:val="28"/>
        </w:rPr>
        <w:t>y</w:t>
      </w:r>
      <w:r w:rsidR="008F3631" w:rsidRPr="003456EF">
        <w:rPr>
          <w:rFonts w:asciiTheme="minorHAnsi" w:hAnsiTheme="minorHAnsi" w:cstheme="minorHAnsi"/>
          <w:b/>
          <w:sz w:val="28"/>
          <w:szCs w:val="28"/>
        </w:rPr>
        <w:t xml:space="preserve"> </w:t>
      </w:r>
      <w:r w:rsidRPr="003456EF">
        <w:rPr>
          <w:rFonts w:asciiTheme="minorHAnsi" w:hAnsiTheme="minorHAnsi" w:cstheme="minorHAnsi"/>
          <w:b/>
          <w:sz w:val="28"/>
          <w:szCs w:val="28"/>
        </w:rPr>
        <w:t>Alter Nutrient Transport to the Pantanal Wetland of Brazil</w:t>
      </w:r>
    </w:p>
    <w:p w14:paraId="33FBDF2F" w14:textId="6A93647F" w:rsidR="003607A9" w:rsidRDefault="0087230E" w:rsidP="003607A9">
      <w:pPr>
        <w:rPr>
          <w:rFonts w:asciiTheme="minorHAnsi" w:hAnsiTheme="minorHAnsi" w:cstheme="minorHAnsi"/>
          <w:szCs w:val="24"/>
        </w:rPr>
      </w:pPr>
      <w:r w:rsidRPr="003456EF">
        <w:rPr>
          <w:color w:val="FF0000"/>
          <w:sz w:val="28"/>
          <w:szCs w:val="28"/>
        </w:rPr>
        <w:br w:type="column"/>
      </w:r>
      <w:r w:rsidR="003607A9" w:rsidRPr="00BD0FAA">
        <w:rPr>
          <w:rFonts w:asciiTheme="minorHAnsi" w:hAnsiTheme="minorHAnsi" w:cstheme="minorHAnsi"/>
          <w:b/>
          <w:bCs/>
          <w:szCs w:val="24"/>
        </w:rPr>
        <w:lastRenderedPageBreak/>
        <w:t>Supplementa</w:t>
      </w:r>
      <w:r w:rsidR="00C321D3">
        <w:rPr>
          <w:rFonts w:asciiTheme="minorHAnsi" w:hAnsiTheme="minorHAnsi" w:cstheme="minorHAnsi"/>
          <w:b/>
          <w:bCs/>
          <w:szCs w:val="24"/>
        </w:rPr>
        <w:t>ry</w:t>
      </w:r>
      <w:r w:rsidR="003607A9" w:rsidRPr="00BD0FAA">
        <w:rPr>
          <w:rFonts w:asciiTheme="minorHAnsi" w:hAnsiTheme="minorHAnsi" w:cstheme="minorHAnsi"/>
          <w:b/>
          <w:bCs/>
          <w:szCs w:val="24"/>
        </w:rPr>
        <w:t xml:space="preserve"> Table </w:t>
      </w:r>
      <w:r w:rsidR="00E906C0">
        <w:rPr>
          <w:rFonts w:asciiTheme="minorHAnsi" w:hAnsiTheme="minorHAnsi" w:cstheme="minorHAnsi"/>
          <w:b/>
          <w:bCs/>
          <w:szCs w:val="24"/>
        </w:rPr>
        <w:t>S</w:t>
      </w:r>
      <w:r w:rsidR="003607A9" w:rsidRPr="00BD0FAA">
        <w:rPr>
          <w:rFonts w:asciiTheme="minorHAnsi" w:hAnsiTheme="minorHAnsi" w:cstheme="minorHAnsi"/>
          <w:b/>
          <w:bCs/>
          <w:szCs w:val="24"/>
        </w:rPr>
        <w:t>1.</w:t>
      </w:r>
      <w:r w:rsidR="003607A9" w:rsidRPr="00BD0FAA">
        <w:rPr>
          <w:rFonts w:asciiTheme="minorHAnsi" w:hAnsiTheme="minorHAnsi" w:cstheme="minorHAnsi"/>
          <w:szCs w:val="24"/>
        </w:rPr>
        <w:t xml:space="preserve"> Characteristics of current hydropower facilities in the studied reaches. In a few cases information was not available</w:t>
      </w:r>
      <w:r w:rsidR="00B868EC">
        <w:rPr>
          <w:rFonts w:asciiTheme="minorHAnsi" w:hAnsiTheme="minorHAnsi" w:cstheme="minorHAnsi"/>
          <w:szCs w:val="24"/>
        </w:rPr>
        <w:t xml:space="preserve"> (marked as no entry)</w:t>
      </w:r>
      <w:r w:rsidR="003607A9" w:rsidRPr="00BD0FAA">
        <w:rPr>
          <w:rFonts w:asciiTheme="minorHAnsi" w:hAnsiTheme="minorHAnsi" w:cstheme="minorHAnsi"/>
          <w:szCs w:val="24"/>
        </w:rPr>
        <w:t xml:space="preserve">. </w:t>
      </w:r>
    </w:p>
    <w:p w14:paraId="562845F0" w14:textId="6189F96A" w:rsidR="009D0DBD" w:rsidRDefault="001F76DC" w:rsidP="003607A9">
      <w:pPr>
        <w:rPr>
          <w:rFonts w:asciiTheme="minorHAnsi" w:hAnsiTheme="minorHAnsi" w:cstheme="minorHAnsi"/>
          <w:szCs w:val="24"/>
        </w:rPr>
      </w:pPr>
      <w:r w:rsidRPr="001F76DC">
        <w:rPr>
          <w:noProof/>
          <w:lang w:val="pt-BR" w:eastAsia="pt-BR"/>
        </w:rPr>
        <w:drawing>
          <wp:inline distT="0" distB="0" distL="0" distR="0" wp14:anchorId="04FABE01" wp14:editId="53CD227D">
            <wp:extent cx="5943600" cy="3208894"/>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208894"/>
                    </a:xfrm>
                    <a:prstGeom prst="rect">
                      <a:avLst/>
                    </a:prstGeom>
                    <a:noFill/>
                    <a:ln>
                      <a:noFill/>
                    </a:ln>
                  </pic:spPr>
                </pic:pic>
              </a:graphicData>
            </a:graphic>
          </wp:inline>
        </w:drawing>
      </w:r>
    </w:p>
    <w:p w14:paraId="7C191F7B" w14:textId="563F8C5F" w:rsidR="003C0C74" w:rsidRPr="00BD0FAA" w:rsidRDefault="003C0C74" w:rsidP="00560BB2">
      <w:pPr>
        <w:spacing w:before="0" w:after="0"/>
        <w:rPr>
          <w:rFonts w:asciiTheme="minorHAnsi" w:hAnsiTheme="minorHAnsi" w:cstheme="minorHAnsi"/>
          <w:sz w:val="20"/>
          <w:szCs w:val="20"/>
        </w:rPr>
      </w:pPr>
      <w:r w:rsidRPr="00BD0FAA">
        <w:rPr>
          <w:rFonts w:asciiTheme="minorHAnsi" w:hAnsiTheme="minorHAnsi" w:cstheme="minorHAnsi"/>
          <w:sz w:val="20"/>
          <w:szCs w:val="20"/>
        </w:rPr>
        <w:t xml:space="preserve">Sources of data on facilities: </w:t>
      </w:r>
      <w:r w:rsidRPr="00BD0FAA">
        <w:rPr>
          <w:rFonts w:asciiTheme="minorHAnsi" w:hAnsiTheme="minorHAnsi" w:cstheme="minorHAnsi"/>
          <w:sz w:val="20"/>
          <w:szCs w:val="20"/>
          <w:vertAlign w:val="superscript"/>
        </w:rPr>
        <w:t>1</w:t>
      </w:r>
      <w:r w:rsidRPr="00BD0FAA">
        <w:rPr>
          <w:rFonts w:asciiTheme="minorHAnsi" w:hAnsiTheme="minorHAnsi" w:cstheme="minorHAnsi"/>
          <w:sz w:val="20"/>
          <w:szCs w:val="20"/>
        </w:rPr>
        <w:t xml:space="preserve"> Hydropower companies; </w:t>
      </w:r>
      <w:r w:rsidRPr="00BD0FAA">
        <w:rPr>
          <w:rFonts w:asciiTheme="minorHAnsi" w:hAnsiTheme="minorHAnsi" w:cstheme="minorHAnsi"/>
          <w:sz w:val="20"/>
          <w:szCs w:val="20"/>
          <w:vertAlign w:val="superscript"/>
        </w:rPr>
        <w:t>2</w:t>
      </w:r>
      <w:r w:rsidRPr="00BD0FAA">
        <w:rPr>
          <w:rFonts w:asciiTheme="minorHAnsi" w:hAnsiTheme="minorHAnsi" w:cstheme="minorHAnsi"/>
          <w:sz w:val="20"/>
          <w:szCs w:val="20"/>
        </w:rPr>
        <w:t xml:space="preserve"> Brazilian National Agency for Electrical Energy (ANEEL). </w:t>
      </w:r>
      <w:r w:rsidRPr="00BD0FAA">
        <w:rPr>
          <w:rFonts w:asciiTheme="minorHAnsi" w:hAnsiTheme="minorHAnsi" w:cstheme="minorHAnsi"/>
          <w:sz w:val="20"/>
          <w:szCs w:val="20"/>
          <w:vertAlign w:val="superscript"/>
        </w:rPr>
        <w:t>3</w:t>
      </w:r>
      <w:r w:rsidRPr="00BD0FAA">
        <w:rPr>
          <w:rFonts w:asciiTheme="minorHAnsi" w:hAnsiTheme="minorHAnsi" w:cstheme="minorHAnsi"/>
          <w:sz w:val="20"/>
          <w:szCs w:val="20"/>
        </w:rPr>
        <w:t xml:space="preserve"> Installed potential &gt;30 MW.</w:t>
      </w:r>
    </w:p>
    <w:p w14:paraId="68E67855" w14:textId="77777777" w:rsidR="002657ED" w:rsidRPr="00BD0FAA" w:rsidRDefault="002657ED" w:rsidP="00560BB2">
      <w:pPr>
        <w:spacing w:before="0" w:after="0"/>
        <w:rPr>
          <w:rFonts w:asciiTheme="minorHAnsi" w:hAnsiTheme="minorHAnsi" w:cstheme="minorHAnsi"/>
          <w:sz w:val="20"/>
          <w:szCs w:val="20"/>
        </w:rPr>
      </w:pPr>
    </w:p>
    <w:p w14:paraId="6E5A00C2" w14:textId="77777777" w:rsidR="002657ED" w:rsidRPr="00BD0FAA" w:rsidRDefault="002657ED" w:rsidP="00560BB2">
      <w:pPr>
        <w:spacing w:before="0" w:after="0"/>
        <w:rPr>
          <w:rFonts w:asciiTheme="minorHAnsi" w:hAnsiTheme="minorHAnsi" w:cstheme="minorHAnsi"/>
          <w:sz w:val="20"/>
          <w:szCs w:val="20"/>
        </w:rPr>
      </w:pPr>
    </w:p>
    <w:p w14:paraId="4A12F5E6" w14:textId="77777777" w:rsidR="002657ED" w:rsidRPr="00BD0FAA" w:rsidRDefault="002657ED" w:rsidP="00560BB2">
      <w:pPr>
        <w:spacing w:before="0" w:after="0"/>
        <w:rPr>
          <w:rFonts w:asciiTheme="minorHAnsi" w:hAnsiTheme="minorHAnsi" w:cstheme="minorHAnsi"/>
          <w:sz w:val="20"/>
          <w:szCs w:val="20"/>
        </w:rPr>
      </w:pPr>
    </w:p>
    <w:p w14:paraId="7B22CBA9" w14:textId="77777777" w:rsidR="002657ED" w:rsidRPr="00BD0FAA" w:rsidRDefault="002657ED" w:rsidP="00560BB2">
      <w:pPr>
        <w:spacing w:before="0" w:after="0"/>
        <w:rPr>
          <w:rFonts w:asciiTheme="minorHAnsi" w:hAnsiTheme="minorHAnsi" w:cstheme="minorHAnsi"/>
          <w:sz w:val="20"/>
          <w:szCs w:val="20"/>
        </w:rPr>
      </w:pPr>
    </w:p>
    <w:p w14:paraId="00EC0138" w14:textId="77777777" w:rsidR="002657ED" w:rsidRPr="00BD0FAA" w:rsidRDefault="002657ED" w:rsidP="00560BB2">
      <w:pPr>
        <w:spacing w:before="0" w:after="0"/>
        <w:rPr>
          <w:rFonts w:asciiTheme="minorHAnsi" w:hAnsiTheme="minorHAnsi" w:cstheme="minorHAnsi"/>
          <w:sz w:val="20"/>
          <w:szCs w:val="20"/>
        </w:rPr>
      </w:pPr>
    </w:p>
    <w:p w14:paraId="0DDC0306" w14:textId="77777777" w:rsidR="002657ED" w:rsidRPr="00BD0FAA" w:rsidRDefault="002657ED" w:rsidP="00560BB2">
      <w:pPr>
        <w:spacing w:before="0" w:after="0"/>
        <w:rPr>
          <w:rFonts w:asciiTheme="minorHAnsi" w:hAnsiTheme="minorHAnsi" w:cstheme="minorHAnsi"/>
          <w:sz w:val="20"/>
          <w:szCs w:val="20"/>
        </w:rPr>
      </w:pPr>
    </w:p>
    <w:p w14:paraId="4A8690B6" w14:textId="3383597E" w:rsidR="00DE60F9" w:rsidRPr="00106A12" w:rsidRDefault="00B868EC" w:rsidP="00DE60F9">
      <w:pPr>
        <w:spacing w:after="120"/>
        <w:rPr>
          <w:rFonts w:asciiTheme="minorHAnsi" w:hAnsiTheme="minorHAnsi" w:cstheme="minorHAnsi"/>
          <w:i/>
          <w:iCs/>
          <w:szCs w:val="24"/>
        </w:rPr>
      </w:pPr>
      <w:r>
        <w:rPr>
          <w:rFonts w:asciiTheme="minorHAnsi" w:hAnsiTheme="minorHAnsi" w:cstheme="minorHAnsi"/>
          <w:b/>
          <w:szCs w:val="24"/>
        </w:rPr>
        <w:br w:type="column"/>
      </w:r>
      <w:r w:rsidR="002657ED" w:rsidRPr="00BD0FAA">
        <w:rPr>
          <w:rFonts w:asciiTheme="minorHAnsi" w:hAnsiTheme="minorHAnsi" w:cstheme="minorHAnsi"/>
          <w:b/>
          <w:szCs w:val="24"/>
        </w:rPr>
        <w:lastRenderedPageBreak/>
        <w:t>Supplementa</w:t>
      </w:r>
      <w:r w:rsidR="00C321D3">
        <w:rPr>
          <w:rFonts w:asciiTheme="minorHAnsi" w:hAnsiTheme="minorHAnsi" w:cstheme="minorHAnsi"/>
          <w:b/>
          <w:szCs w:val="24"/>
        </w:rPr>
        <w:t>ry</w:t>
      </w:r>
      <w:r w:rsidR="002657ED" w:rsidRPr="00BD0FAA">
        <w:rPr>
          <w:rFonts w:asciiTheme="minorHAnsi" w:hAnsiTheme="minorHAnsi" w:cstheme="minorHAnsi"/>
          <w:b/>
          <w:szCs w:val="24"/>
        </w:rPr>
        <w:t xml:space="preserve"> Table </w:t>
      </w:r>
      <w:r w:rsidR="00E906C0">
        <w:rPr>
          <w:rFonts w:asciiTheme="minorHAnsi" w:hAnsiTheme="minorHAnsi" w:cstheme="minorHAnsi"/>
          <w:b/>
          <w:szCs w:val="24"/>
        </w:rPr>
        <w:t>S</w:t>
      </w:r>
      <w:r w:rsidR="002657ED" w:rsidRPr="00BD0FAA">
        <w:rPr>
          <w:rFonts w:asciiTheme="minorHAnsi" w:hAnsiTheme="minorHAnsi" w:cstheme="minorHAnsi"/>
          <w:b/>
          <w:szCs w:val="24"/>
        </w:rPr>
        <w:t>2</w:t>
      </w:r>
      <w:r w:rsidR="009765B8" w:rsidRPr="009765B8">
        <w:rPr>
          <w:rFonts w:asciiTheme="minorHAnsi" w:hAnsiTheme="minorHAnsi" w:cstheme="minorHAnsi"/>
          <w:b/>
          <w:bCs/>
          <w:szCs w:val="24"/>
        </w:rPr>
        <w:t>.</w:t>
      </w:r>
      <w:r w:rsidR="009765B8" w:rsidRPr="009765B8">
        <w:rPr>
          <w:rFonts w:asciiTheme="minorHAnsi" w:hAnsiTheme="minorHAnsi" w:cstheme="minorHAnsi"/>
          <w:szCs w:val="24"/>
        </w:rPr>
        <w:t xml:space="preserve"> Locations of sampling sites for nutrients and the associated current and future hydropower facilities. Codes refer to labelled points in the figures. SHP = small hydropower facility (&lt;30 MW); UHE = facility &gt;30 MW</w:t>
      </w:r>
      <w:r w:rsidR="00620791">
        <w:rPr>
          <w:rFonts w:asciiTheme="minorHAnsi" w:hAnsiTheme="minorHAnsi" w:cstheme="minorHAnsi"/>
          <w:szCs w:val="24"/>
        </w:rPr>
        <w:t xml:space="preserve"> </w:t>
      </w:r>
      <w:r w:rsidR="00620791">
        <w:rPr>
          <w:rFonts w:asciiTheme="minorHAnsi" w:hAnsiTheme="minorHAnsi" w:cstheme="minorHAnsi"/>
        </w:rPr>
        <w:t>(</w:t>
      </w:r>
      <w:proofErr w:type="spellStart"/>
      <w:r w:rsidR="00620791">
        <w:rPr>
          <w:rFonts w:asciiTheme="minorHAnsi" w:hAnsiTheme="minorHAnsi" w:cstheme="minorHAnsi"/>
          <w:i/>
          <w:iCs/>
        </w:rPr>
        <w:t>usina</w:t>
      </w:r>
      <w:proofErr w:type="spellEnd"/>
      <w:r w:rsidR="00620791">
        <w:rPr>
          <w:rFonts w:asciiTheme="minorHAnsi" w:hAnsiTheme="minorHAnsi" w:cstheme="minorHAnsi"/>
          <w:i/>
          <w:iCs/>
        </w:rPr>
        <w:t xml:space="preserve"> </w:t>
      </w:r>
      <w:proofErr w:type="spellStart"/>
      <w:r w:rsidR="00620791">
        <w:rPr>
          <w:rFonts w:asciiTheme="minorHAnsi" w:hAnsiTheme="minorHAnsi" w:cstheme="minorHAnsi"/>
          <w:i/>
          <w:iCs/>
        </w:rPr>
        <w:t>hidreléctrica</w:t>
      </w:r>
      <w:proofErr w:type="spellEnd"/>
      <w:r w:rsidR="00620791">
        <w:rPr>
          <w:rFonts w:asciiTheme="minorHAnsi" w:hAnsiTheme="minorHAnsi" w:cstheme="minorHAnsi"/>
        </w:rPr>
        <w:t>)</w:t>
      </w:r>
      <w:r w:rsidR="00106A12" w:rsidRPr="00106A12">
        <w:rPr>
          <w:rFonts w:asciiTheme="minorHAnsi" w:hAnsiTheme="minorHAnsi" w:cstheme="minorHAnsi"/>
          <w:szCs w:val="24"/>
        </w:rPr>
        <w:t>.</w:t>
      </w:r>
    </w:p>
    <w:p w14:paraId="7FC4FA15" w14:textId="3EDD018D" w:rsidR="002657ED" w:rsidRDefault="00D05CF4" w:rsidP="00560BB2">
      <w:pPr>
        <w:spacing w:before="0" w:after="0"/>
        <w:rPr>
          <w:rFonts w:cs="Times New Roman"/>
        </w:rPr>
      </w:pPr>
      <w:r w:rsidRPr="00D05CF4">
        <w:rPr>
          <w:rFonts w:cs="Times New Roman"/>
        </w:rPr>
        <w:t xml:space="preserve"> </w:t>
      </w:r>
      <w:r w:rsidRPr="00D05CF4">
        <w:rPr>
          <w:noProof/>
          <w:lang w:val="pt-BR" w:eastAsia="pt-BR"/>
        </w:rPr>
        <w:drawing>
          <wp:inline distT="0" distB="0" distL="0" distR="0" wp14:anchorId="27FFB289" wp14:editId="45F66739">
            <wp:extent cx="6635400" cy="494187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8535" cy="4944205"/>
                    </a:xfrm>
                    <a:prstGeom prst="rect">
                      <a:avLst/>
                    </a:prstGeom>
                    <a:noFill/>
                    <a:ln>
                      <a:noFill/>
                    </a:ln>
                  </pic:spPr>
                </pic:pic>
              </a:graphicData>
            </a:graphic>
          </wp:inline>
        </w:drawing>
      </w:r>
    </w:p>
    <w:p w14:paraId="42BAE267" w14:textId="77777777" w:rsidR="002657ED" w:rsidRDefault="002657ED" w:rsidP="00560BB2">
      <w:pPr>
        <w:spacing w:before="0" w:after="0"/>
        <w:rPr>
          <w:rFonts w:cs="Times New Roman"/>
        </w:rPr>
      </w:pPr>
    </w:p>
    <w:p w14:paraId="21DCF741" w14:textId="5A4BDD70" w:rsidR="002657ED" w:rsidRPr="00DE60F9" w:rsidRDefault="00DE60F9" w:rsidP="00560BB2">
      <w:pPr>
        <w:spacing w:before="0" w:after="0"/>
        <w:rPr>
          <w:rFonts w:asciiTheme="minorHAnsi" w:hAnsiTheme="minorHAnsi" w:cstheme="minorHAnsi"/>
        </w:rPr>
      </w:pPr>
      <w:r w:rsidRPr="00DE60F9">
        <w:rPr>
          <w:rFonts w:asciiTheme="minorHAnsi" w:hAnsiTheme="minorHAnsi" w:cstheme="minorHAnsi"/>
          <w:vertAlign w:val="superscript"/>
        </w:rPr>
        <w:t>1</w:t>
      </w:r>
      <w:r w:rsidRPr="00DE60F9">
        <w:rPr>
          <w:rFonts w:asciiTheme="minorHAnsi" w:hAnsiTheme="minorHAnsi" w:cstheme="minorHAnsi"/>
        </w:rPr>
        <w:t xml:space="preserve"> primary data with bedload sampling</w:t>
      </w:r>
    </w:p>
    <w:p w14:paraId="5009C7AB" w14:textId="390168C9" w:rsidR="00DE60F9" w:rsidRPr="00DE60F9" w:rsidRDefault="00DE60F9" w:rsidP="00DE60F9">
      <w:pPr>
        <w:spacing w:before="0" w:after="0"/>
        <w:rPr>
          <w:rFonts w:asciiTheme="minorHAnsi" w:hAnsiTheme="minorHAnsi" w:cstheme="minorHAnsi"/>
        </w:rPr>
      </w:pPr>
      <w:r w:rsidRPr="00DE60F9">
        <w:rPr>
          <w:rFonts w:asciiTheme="minorHAnsi" w:hAnsiTheme="minorHAnsi" w:cstheme="minorHAnsi"/>
          <w:vertAlign w:val="superscript"/>
        </w:rPr>
        <w:t>1*</w:t>
      </w:r>
      <w:r w:rsidRPr="00DE60F9">
        <w:rPr>
          <w:rFonts w:asciiTheme="minorHAnsi" w:hAnsiTheme="minorHAnsi" w:cstheme="minorHAnsi"/>
        </w:rPr>
        <w:t xml:space="preserve"> primary data without bedload sampling</w:t>
      </w:r>
    </w:p>
    <w:p w14:paraId="061DC7D5" w14:textId="3F87DD91" w:rsidR="00DE60F9" w:rsidRPr="00DE60F9" w:rsidRDefault="00DE60F9" w:rsidP="00DE60F9">
      <w:pPr>
        <w:spacing w:before="0" w:after="0"/>
        <w:rPr>
          <w:rFonts w:asciiTheme="minorHAnsi" w:hAnsiTheme="minorHAnsi" w:cstheme="minorHAnsi"/>
        </w:rPr>
      </w:pPr>
      <w:r w:rsidRPr="00DE60F9">
        <w:rPr>
          <w:rFonts w:asciiTheme="minorHAnsi" w:hAnsiTheme="minorHAnsi" w:cstheme="minorHAnsi"/>
          <w:vertAlign w:val="superscript"/>
        </w:rPr>
        <w:t>2</w:t>
      </w:r>
      <w:r w:rsidRPr="00DE60F9">
        <w:rPr>
          <w:rFonts w:asciiTheme="minorHAnsi" w:hAnsiTheme="minorHAnsi" w:cstheme="minorHAnsi"/>
        </w:rPr>
        <w:t xml:space="preserve"> secondary data</w:t>
      </w:r>
    </w:p>
    <w:p w14:paraId="6AD313B0" w14:textId="510D0C31" w:rsidR="005F2993" w:rsidRPr="00BD0FAA" w:rsidRDefault="00B868EC" w:rsidP="005F2993">
      <w:pPr>
        <w:rPr>
          <w:rFonts w:asciiTheme="minorHAnsi" w:hAnsiTheme="minorHAnsi" w:cstheme="minorHAnsi"/>
          <w:bCs/>
          <w:szCs w:val="24"/>
        </w:rPr>
      </w:pPr>
      <w:r>
        <w:rPr>
          <w:rFonts w:asciiTheme="minorHAnsi" w:hAnsiTheme="minorHAnsi" w:cstheme="minorHAnsi"/>
          <w:b/>
          <w:bCs/>
          <w:szCs w:val="24"/>
        </w:rPr>
        <w:br w:type="column"/>
      </w:r>
      <w:r w:rsidR="005F2993" w:rsidRPr="003456EF">
        <w:rPr>
          <w:rFonts w:asciiTheme="minorHAnsi" w:hAnsiTheme="minorHAnsi" w:cstheme="minorHAnsi"/>
          <w:b/>
          <w:bCs/>
          <w:szCs w:val="24"/>
        </w:rPr>
        <w:lastRenderedPageBreak/>
        <w:t>Supplementa</w:t>
      </w:r>
      <w:r w:rsidR="005F2993">
        <w:rPr>
          <w:rFonts w:asciiTheme="minorHAnsi" w:hAnsiTheme="minorHAnsi" w:cstheme="minorHAnsi"/>
          <w:b/>
          <w:bCs/>
          <w:szCs w:val="24"/>
        </w:rPr>
        <w:t xml:space="preserve">ry </w:t>
      </w:r>
      <w:r w:rsidR="005F2993" w:rsidRPr="003456EF">
        <w:rPr>
          <w:rFonts w:asciiTheme="minorHAnsi" w:hAnsiTheme="minorHAnsi" w:cstheme="minorHAnsi"/>
          <w:b/>
          <w:bCs/>
          <w:szCs w:val="24"/>
        </w:rPr>
        <w:t xml:space="preserve">Table </w:t>
      </w:r>
      <w:r w:rsidR="00E906C0">
        <w:rPr>
          <w:rFonts w:asciiTheme="minorHAnsi" w:hAnsiTheme="minorHAnsi" w:cstheme="minorHAnsi"/>
          <w:b/>
          <w:bCs/>
          <w:szCs w:val="24"/>
        </w:rPr>
        <w:t>S</w:t>
      </w:r>
      <w:r w:rsidR="005F2993">
        <w:rPr>
          <w:rFonts w:asciiTheme="minorHAnsi" w:hAnsiTheme="minorHAnsi" w:cstheme="minorHAnsi"/>
          <w:b/>
          <w:bCs/>
          <w:szCs w:val="24"/>
        </w:rPr>
        <w:t>3</w:t>
      </w:r>
      <w:r w:rsidR="005F2993" w:rsidRPr="00BD0FAA">
        <w:rPr>
          <w:rFonts w:asciiTheme="minorHAnsi" w:hAnsiTheme="minorHAnsi" w:cstheme="minorHAnsi"/>
          <w:bCs/>
          <w:szCs w:val="24"/>
        </w:rPr>
        <w:t>. Summary of primary data on water quality and nutrient concentrations and transport in rivers of the upper Paraguay River basin. Values are medians from multiple sampling dates (usually 13). Codes refer to labelled points in the figures. Nutrients include total nitrogen (TN), dissolved inorganic N (DIN), total phosphorus (TP), dissolved P (DP), suspended particulate organic carbon (POC). Bedload transport of TN, TP, and POC is also included. Specific conductance values corrected to 25°C. MT = Mato Grosso; MS = Mato Grosso do Sul states.</w:t>
      </w:r>
    </w:p>
    <w:p w14:paraId="3EA73D1A" w14:textId="18B9F86C" w:rsidR="005F2993" w:rsidRDefault="00E66FA1" w:rsidP="005F2993">
      <w:pPr>
        <w:rPr>
          <w:rFonts w:cs="Times New Roman"/>
        </w:rPr>
      </w:pPr>
      <w:r w:rsidRPr="00E66FA1">
        <w:rPr>
          <w:noProof/>
          <w:lang w:val="pt-BR" w:eastAsia="pt-BR"/>
        </w:rPr>
        <w:drawing>
          <wp:inline distT="0" distB="0" distL="0" distR="0" wp14:anchorId="2BA0DB8A" wp14:editId="005963F2">
            <wp:extent cx="5943600" cy="2867172"/>
            <wp:effectExtent l="0" t="0" r="0" b="9525"/>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867172"/>
                    </a:xfrm>
                    <a:prstGeom prst="rect">
                      <a:avLst/>
                    </a:prstGeom>
                    <a:noFill/>
                    <a:ln>
                      <a:noFill/>
                    </a:ln>
                  </pic:spPr>
                </pic:pic>
              </a:graphicData>
            </a:graphic>
          </wp:inline>
        </w:drawing>
      </w:r>
    </w:p>
    <w:p w14:paraId="30DFD328" w14:textId="081327E6" w:rsidR="005F2993" w:rsidRDefault="005F2993" w:rsidP="005F2993">
      <w:pPr>
        <w:rPr>
          <w:rFonts w:cs="Times New Roman"/>
        </w:rPr>
      </w:pPr>
    </w:p>
    <w:p w14:paraId="005BE6E7" w14:textId="77777777" w:rsidR="00E66FA1" w:rsidRDefault="00E66FA1" w:rsidP="005F2993">
      <w:pPr>
        <w:rPr>
          <w:rFonts w:cs="Times New Roman"/>
        </w:rPr>
      </w:pPr>
    </w:p>
    <w:p w14:paraId="60B5D0EF" w14:textId="77777777" w:rsidR="00E66FA1" w:rsidRDefault="00E66FA1" w:rsidP="005F2993">
      <w:pPr>
        <w:rPr>
          <w:rFonts w:cs="Times New Roman"/>
        </w:rPr>
      </w:pPr>
    </w:p>
    <w:p w14:paraId="3A1D3EB3" w14:textId="77777777" w:rsidR="00E66FA1" w:rsidRDefault="00E66FA1" w:rsidP="005F2993">
      <w:pPr>
        <w:rPr>
          <w:rFonts w:cs="Times New Roman"/>
        </w:rPr>
      </w:pPr>
    </w:p>
    <w:p w14:paraId="0EFB1DBD" w14:textId="77777777" w:rsidR="00E66FA1" w:rsidRDefault="00E66FA1" w:rsidP="005F2993">
      <w:pPr>
        <w:rPr>
          <w:rFonts w:cs="Times New Roman"/>
        </w:rPr>
      </w:pPr>
    </w:p>
    <w:p w14:paraId="52B0A4CA" w14:textId="77777777" w:rsidR="00E66FA1" w:rsidRDefault="00E66FA1" w:rsidP="005F2993">
      <w:pPr>
        <w:rPr>
          <w:rFonts w:cs="Times New Roman"/>
        </w:rPr>
      </w:pPr>
    </w:p>
    <w:p w14:paraId="5DAEBE03" w14:textId="77777777" w:rsidR="00E66FA1" w:rsidRDefault="00E66FA1" w:rsidP="005F2993">
      <w:pPr>
        <w:rPr>
          <w:rFonts w:cs="Times New Roman"/>
        </w:rPr>
      </w:pPr>
    </w:p>
    <w:p w14:paraId="15B46EAA" w14:textId="77777777" w:rsidR="005F2993" w:rsidRDefault="005F2993" w:rsidP="005F2993">
      <w:pPr>
        <w:rPr>
          <w:rFonts w:cs="Times New Roman"/>
        </w:rPr>
      </w:pPr>
    </w:p>
    <w:p w14:paraId="0AF8F91D" w14:textId="6CFE175C" w:rsidR="00AA1CA5" w:rsidRPr="00BD0FAA" w:rsidRDefault="00AA1CA5" w:rsidP="005F2993">
      <w:pPr>
        <w:ind w:left="720"/>
        <w:rPr>
          <w:rFonts w:asciiTheme="minorHAnsi" w:hAnsiTheme="minorHAnsi" w:cstheme="minorHAnsi"/>
          <w:b/>
          <w:bCs/>
        </w:rPr>
      </w:pPr>
    </w:p>
    <w:p w14:paraId="556E00F9" w14:textId="7C999055" w:rsidR="00C8146D" w:rsidRDefault="00BD0FAA" w:rsidP="00BD0FAA">
      <w:pPr>
        <w:ind w:left="720"/>
        <w:rPr>
          <w:rFonts w:asciiTheme="minorHAnsi" w:hAnsiTheme="minorHAnsi" w:cstheme="minorHAnsi"/>
        </w:rPr>
      </w:pPr>
      <w:r w:rsidRPr="00BD0FAA">
        <w:rPr>
          <w:rFonts w:asciiTheme="minorHAnsi" w:hAnsiTheme="minorHAnsi" w:cstheme="minorHAnsi"/>
          <w:b/>
          <w:bCs/>
        </w:rPr>
        <w:t>Supplementa</w:t>
      </w:r>
      <w:r w:rsidR="00C321D3">
        <w:rPr>
          <w:rFonts w:asciiTheme="minorHAnsi" w:hAnsiTheme="minorHAnsi" w:cstheme="minorHAnsi"/>
          <w:b/>
          <w:bCs/>
        </w:rPr>
        <w:t xml:space="preserve">ry </w:t>
      </w:r>
      <w:r w:rsidRPr="00BD0FAA">
        <w:rPr>
          <w:rFonts w:asciiTheme="minorHAnsi" w:hAnsiTheme="minorHAnsi" w:cstheme="minorHAnsi"/>
          <w:b/>
          <w:bCs/>
        </w:rPr>
        <w:t xml:space="preserve">Table </w:t>
      </w:r>
      <w:r w:rsidR="00E906C0">
        <w:rPr>
          <w:rFonts w:asciiTheme="minorHAnsi" w:hAnsiTheme="minorHAnsi" w:cstheme="minorHAnsi"/>
          <w:b/>
          <w:bCs/>
        </w:rPr>
        <w:t>S</w:t>
      </w:r>
      <w:r w:rsidR="005F2993">
        <w:rPr>
          <w:rFonts w:asciiTheme="minorHAnsi" w:hAnsiTheme="minorHAnsi" w:cstheme="minorHAnsi"/>
          <w:b/>
          <w:bCs/>
        </w:rPr>
        <w:t>4</w:t>
      </w:r>
      <w:r w:rsidRPr="00BD0FAA">
        <w:rPr>
          <w:rFonts w:asciiTheme="minorHAnsi" w:hAnsiTheme="minorHAnsi" w:cstheme="minorHAnsi"/>
          <w:b/>
          <w:bCs/>
        </w:rPr>
        <w:t>.</w:t>
      </w:r>
      <w:r w:rsidRPr="00BD0FAA">
        <w:rPr>
          <w:rFonts w:asciiTheme="minorHAnsi" w:hAnsiTheme="minorHAnsi" w:cstheme="minorHAnsi"/>
        </w:rPr>
        <w:t xml:space="preserve"> Discharge and concentrations and transport of total nitrogen (TN) and total phosphorus (TP) measured upstream and downstream of river reaches with current hydropower facilities. Discharge and concentration values are medians </w:t>
      </w:r>
      <w:r w:rsidRPr="00BD0FAA">
        <w:rPr>
          <w:rFonts w:asciiTheme="minorHAnsi" w:hAnsiTheme="minorHAnsi" w:cstheme="minorHAnsi"/>
        </w:rPr>
        <w:lastRenderedPageBreak/>
        <w:t>from multiple sampling dates (usually 13). Codes refer to labelled points in the figures. SHP = small hydropower facility (&lt;30 MW); UHE = facility &gt;30 MW</w:t>
      </w:r>
      <w:r w:rsidR="00620791">
        <w:rPr>
          <w:rFonts w:asciiTheme="minorHAnsi" w:hAnsiTheme="minorHAnsi" w:cstheme="minorHAnsi"/>
        </w:rPr>
        <w:t xml:space="preserve"> (</w:t>
      </w:r>
      <w:proofErr w:type="spellStart"/>
      <w:r w:rsidR="00620791">
        <w:rPr>
          <w:rFonts w:asciiTheme="minorHAnsi" w:hAnsiTheme="minorHAnsi" w:cstheme="minorHAnsi"/>
          <w:i/>
          <w:iCs/>
        </w:rPr>
        <w:t>usina</w:t>
      </w:r>
      <w:proofErr w:type="spellEnd"/>
      <w:r w:rsidR="00620791">
        <w:rPr>
          <w:rFonts w:asciiTheme="minorHAnsi" w:hAnsiTheme="minorHAnsi" w:cstheme="minorHAnsi"/>
          <w:i/>
          <w:iCs/>
        </w:rPr>
        <w:t xml:space="preserve"> </w:t>
      </w:r>
      <w:proofErr w:type="spellStart"/>
      <w:r w:rsidR="00620791">
        <w:rPr>
          <w:rFonts w:asciiTheme="minorHAnsi" w:hAnsiTheme="minorHAnsi" w:cstheme="minorHAnsi"/>
          <w:i/>
          <w:iCs/>
        </w:rPr>
        <w:t>hidreléctrica</w:t>
      </w:r>
      <w:proofErr w:type="spellEnd"/>
      <w:r w:rsidR="00620791">
        <w:rPr>
          <w:rFonts w:asciiTheme="minorHAnsi" w:hAnsiTheme="minorHAnsi" w:cstheme="minorHAnsi"/>
        </w:rPr>
        <w:t>)</w:t>
      </w:r>
      <w:r w:rsidR="00AA5781">
        <w:rPr>
          <w:rFonts w:asciiTheme="minorHAnsi" w:hAnsiTheme="minorHAnsi" w:cstheme="minorHAnsi"/>
        </w:rPr>
        <w:t>.</w:t>
      </w:r>
    </w:p>
    <w:p w14:paraId="6FD7ED7D" w14:textId="4EC5605A" w:rsidR="00EB61AB" w:rsidRDefault="00C8146D" w:rsidP="00C8146D">
      <w:pPr>
        <w:ind w:left="720"/>
        <w:rPr>
          <w:rFonts w:cs="Times New Roman"/>
        </w:rPr>
      </w:pPr>
      <w:r>
        <w:rPr>
          <w:rFonts w:cs="Times New Roman"/>
        </w:rPr>
        <w:br w:type="column"/>
      </w:r>
      <w:r w:rsidR="00406640" w:rsidRPr="00406640">
        <w:rPr>
          <w:noProof/>
          <w:lang w:val="pt-BR" w:eastAsia="pt-BR"/>
        </w:rPr>
        <w:lastRenderedPageBreak/>
        <w:drawing>
          <wp:inline distT="0" distB="0" distL="0" distR="0" wp14:anchorId="669183E0" wp14:editId="050E4B12">
            <wp:extent cx="8562702" cy="3488050"/>
            <wp:effectExtent l="0" t="254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6200000">
                      <a:off x="0" y="0"/>
                      <a:ext cx="8623311" cy="3512739"/>
                    </a:xfrm>
                    <a:prstGeom prst="rect">
                      <a:avLst/>
                    </a:prstGeom>
                    <a:noFill/>
                    <a:ln>
                      <a:noFill/>
                    </a:ln>
                  </pic:spPr>
                </pic:pic>
              </a:graphicData>
            </a:graphic>
          </wp:inline>
        </w:drawing>
      </w:r>
    </w:p>
    <w:p w14:paraId="13B8A536" w14:textId="2A431999" w:rsidR="00BD0FAA" w:rsidRPr="00B868EC" w:rsidRDefault="00BD0FAA" w:rsidP="00BD0FAA">
      <w:pPr>
        <w:ind w:left="720"/>
        <w:rPr>
          <w:rFonts w:asciiTheme="minorHAnsi" w:hAnsiTheme="minorHAnsi" w:cstheme="minorHAnsi"/>
        </w:rPr>
      </w:pPr>
      <w:r w:rsidRPr="00BD0FAA">
        <w:rPr>
          <w:rFonts w:asciiTheme="minorHAnsi" w:hAnsiTheme="minorHAnsi" w:cstheme="minorHAnsi"/>
          <w:b/>
          <w:bCs/>
        </w:rPr>
        <w:lastRenderedPageBreak/>
        <w:t>Supplementa</w:t>
      </w:r>
      <w:r w:rsidR="00C321D3">
        <w:rPr>
          <w:rFonts w:asciiTheme="minorHAnsi" w:hAnsiTheme="minorHAnsi" w:cstheme="minorHAnsi"/>
          <w:b/>
          <w:bCs/>
        </w:rPr>
        <w:t xml:space="preserve">ry </w:t>
      </w:r>
      <w:r w:rsidRPr="00BD0FAA">
        <w:rPr>
          <w:rFonts w:asciiTheme="minorHAnsi" w:hAnsiTheme="minorHAnsi" w:cstheme="minorHAnsi"/>
          <w:b/>
          <w:bCs/>
        </w:rPr>
        <w:t xml:space="preserve">Table </w:t>
      </w:r>
      <w:r w:rsidR="00E906C0">
        <w:rPr>
          <w:rFonts w:asciiTheme="minorHAnsi" w:hAnsiTheme="minorHAnsi" w:cstheme="minorHAnsi"/>
          <w:b/>
          <w:bCs/>
        </w:rPr>
        <w:t>S</w:t>
      </w:r>
      <w:r w:rsidR="005F2993">
        <w:rPr>
          <w:rFonts w:asciiTheme="minorHAnsi" w:hAnsiTheme="minorHAnsi" w:cstheme="minorHAnsi"/>
          <w:b/>
          <w:bCs/>
        </w:rPr>
        <w:t>5</w:t>
      </w:r>
      <w:r w:rsidRPr="00B868EC">
        <w:rPr>
          <w:rFonts w:asciiTheme="minorHAnsi" w:hAnsiTheme="minorHAnsi" w:cstheme="minorHAnsi"/>
          <w:b/>
          <w:bCs/>
        </w:rPr>
        <w:t>.</w:t>
      </w:r>
      <w:r w:rsidRPr="00B868EC">
        <w:rPr>
          <w:rFonts w:asciiTheme="minorHAnsi" w:hAnsiTheme="minorHAnsi" w:cstheme="minorHAnsi"/>
        </w:rPr>
        <w:t xml:space="preserve"> Discharge and concentrations and transport of total nitrogen (TN) and total phosphorus (TP) measured upstream and downstream of river reaches where future small hydropower (SHP) facilities may be built. Discharge and concentration values are medians from multiple sampling dates (usually 13). Codes refer to labelled points in the figures. MT = Mato Grosso; MS = Mato Grosso do Sul states.</w:t>
      </w:r>
    </w:p>
    <w:p w14:paraId="3A7BDCC2" w14:textId="68B87086" w:rsidR="00EE29AB" w:rsidRDefault="001C3DCD" w:rsidP="00BD0FAA">
      <w:pPr>
        <w:ind w:left="720"/>
      </w:pPr>
      <w:r w:rsidRPr="001C3DCD">
        <w:lastRenderedPageBreak/>
        <w:t xml:space="preserve"> </w:t>
      </w:r>
      <w:r w:rsidRPr="001C3DCD">
        <w:rPr>
          <w:noProof/>
          <w:lang w:val="pt-BR" w:eastAsia="pt-BR"/>
        </w:rPr>
        <w:drawing>
          <wp:inline distT="0" distB="0" distL="0" distR="0" wp14:anchorId="5966507C" wp14:editId="2B069BDE">
            <wp:extent cx="5943600" cy="798386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983862"/>
                    </a:xfrm>
                    <a:prstGeom prst="rect">
                      <a:avLst/>
                    </a:prstGeom>
                    <a:noFill/>
                    <a:ln>
                      <a:noFill/>
                    </a:ln>
                  </pic:spPr>
                </pic:pic>
              </a:graphicData>
            </a:graphic>
          </wp:inline>
        </w:drawing>
      </w:r>
    </w:p>
    <w:p w14:paraId="3CD0D8EA" w14:textId="76C2B19F" w:rsidR="00981C5B" w:rsidRDefault="00981C5B" w:rsidP="00AA1CA5">
      <w:pPr>
        <w:spacing w:line="360" w:lineRule="auto"/>
      </w:pPr>
      <w:r>
        <w:rPr>
          <w:noProof/>
          <w:lang w:val="pt-BR" w:eastAsia="pt-BR"/>
        </w:rPr>
        <w:lastRenderedPageBreak/>
        <w:drawing>
          <wp:inline distT="0" distB="0" distL="0" distR="0" wp14:anchorId="48A5A15F" wp14:editId="152C8D22">
            <wp:extent cx="5598417" cy="3356658"/>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0643" cy="3423946"/>
                    </a:xfrm>
                    <a:prstGeom prst="rect">
                      <a:avLst/>
                    </a:prstGeom>
                  </pic:spPr>
                </pic:pic>
              </a:graphicData>
            </a:graphic>
          </wp:inline>
        </w:drawing>
      </w:r>
    </w:p>
    <w:p w14:paraId="331E6C10" w14:textId="5657DFBE" w:rsidR="00981C5B" w:rsidRPr="00981C5B" w:rsidRDefault="00981C5B" w:rsidP="00981C5B">
      <w:r>
        <w:rPr>
          <w:b/>
        </w:rPr>
        <w:t xml:space="preserve">Supplementary </w:t>
      </w:r>
      <w:r w:rsidRPr="004A4CE9">
        <w:rPr>
          <w:b/>
        </w:rPr>
        <w:t xml:space="preserve">Figure </w:t>
      </w:r>
      <w:r w:rsidR="00E91B14">
        <w:rPr>
          <w:b/>
        </w:rPr>
        <w:t>S</w:t>
      </w:r>
      <w:r>
        <w:rPr>
          <w:b/>
          <w:noProof/>
        </w:rPr>
        <w:t>1</w:t>
      </w:r>
      <w:r w:rsidRPr="004A4CE9">
        <w:rPr>
          <w:b/>
        </w:rPr>
        <w:t xml:space="preserve">. </w:t>
      </w:r>
      <w:r w:rsidRPr="00981C5B">
        <w:t>Architecture of the artificial neural network model employed to project the impacts of new hydropower facilities on total suspended sediments, total nitrogen, and total phosphorus transport by upland rivers to the Pantanal (from Campos 2019).</w:t>
      </w:r>
    </w:p>
    <w:p w14:paraId="60663ECD" w14:textId="717A6273" w:rsidR="00981C5B" w:rsidRDefault="00EE29AB" w:rsidP="00981C5B">
      <w:pPr>
        <w:ind w:left="720" w:hanging="720"/>
        <w:rPr>
          <w:color w:val="000000" w:themeColor="text1"/>
        </w:rPr>
      </w:pPr>
      <w:r>
        <w:br w:type="column"/>
      </w:r>
      <w:r>
        <w:rPr>
          <w:color w:val="000000" w:themeColor="text1"/>
        </w:rPr>
        <w:lastRenderedPageBreak/>
        <w:t xml:space="preserve"> </w:t>
      </w:r>
      <w:r w:rsidR="00301626">
        <w:rPr>
          <w:noProof/>
          <w:color w:val="000000" w:themeColor="text1"/>
          <w:lang w:val="pt-BR" w:eastAsia="pt-BR"/>
        </w:rPr>
        <w:drawing>
          <wp:inline distT="0" distB="0" distL="0" distR="0" wp14:anchorId="50FBCBA9" wp14:editId="5E4F78CD">
            <wp:extent cx="4953072" cy="4592472"/>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59839" cy="4598746"/>
                    </a:xfrm>
                    <a:prstGeom prst="rect">
                      <a:avLst/>
                    </a:prstGeom>
                    <a:noFill/>
                  </pic:spPr>
                </pic:pic>
              </a:graphicData>
            </a:graphic>
          </wp:inline>
        </w:drawing>
      </w:r>
    </w:p>
    <w:p w14:paraId="4D843AC7" w14:textId="042F527F" w:rsidR="00EE29AB" w:rsidRDefault="00EE29AB" w:rsidP="00981C5B">
      <w:pPr>
        <w:spacing w:before="0" w:after="0"/>
      </w:pPr>
      <w:r w:rsidRPr="00EE29AB">
        <w:rPr>
          <w:b/>
          <w:color w:val="000000" w:themeColor="text1"/>
        </w:rPr>
        <w:t xml:space="preserve">Supplementary Figure </w:t>
      </w:r>
      <w:r w:rsidR="00E91B14">
        <w:rPr>
          <w:b/>
          <w:color w:val="000000" w:themeColor="text1"/>
        </w:rPr>
        <w:t>S</w:t>
      </w:r>
      <w:r w:rsidRPr="00EE29AB">
        <w:rPr>
          <w:b/>
          <w:color w:val="000000" w:themeColor="text1"/>
        </w:rPr>
        <w:t xml:space="preserve">2. </w:t>
      </w:r>
      <w:r>
        <w:rPr>
          <w:color w:val="000000" w:themeColor="text1"/>
        </w:rPr>
        <w:t xml:space="preserve">TN and TP concentrations by river system and hydropower facility (codes refer to Table 1) during the wet season (A) and dry season (B). </w:t>
      </w:r>
      <w:r>
        <w:t>Observations were divided into seasons based on mean monthly rainfall, with May-Oct and Nov-Apr as the dry and wet seasons, respectively.</w:t>
      </w:r>
    </w:p>
    <w:p w14:paraId="64CFCB3E" w14:textId="4D3EE5B6" w:rsidR="00537594" w:rsidRDefault="00305E1C">
      <w:r>
        <w:br w:type="column"/>
      </w:r>
      <w:r>
        <w:rPr>
          <w:noProof/>
          <w:lang w:val="pt-BR" w:eastAsia="pt-BR"/>
        </w:rPr>
        <w:lastRenderedPageBreak/>
        <w:drawing>
          <wp:inline distT="0" distB="0" distL="0" distR="0" wp14:anchorId="1D569F11" wp14:editId="00FF57B4">
            <wp:extent cx="5943600" cy="202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2020570"/>
                    </a:xfrm>
                    <a:prstGeom prst="rect">
                      <a:avLst/>
                    </a:prstGeom>
                  </pic:spPr>
                </pic:pic>
              </a:graphicData>
            </a:graphic>
          </wp:inline>
        </w:drawing>
      </w:r>
    </w:p>
    <w:p w14:paraId="69B5DC20" w14:textId="187AE078" w:rsidR="00305E1C" w:rsidRDefault="00305E1C"/>
    <w:p w14:paraId="382E203A" w14:textId="267C76C7" w:rsidR="00697AB7" w:rsidRDefault="00697AB7" w:rsidP="00697AB7">
      <w:pPr>
        <w:spacing w:before="0" w:after="0"/>
        <w:rPr>
          <w:b/>
          <w:color w:val="000000" w:themeColor="text1"/>
        </w:rPr>
      </w:pPr>
      <w:r w:rsidRPr="00EE29AB">
        <w:rPr>
          <w:b/>
          <w:color w:val="000000" w:themeColor="text1"/>
        </w:rPr>
        <w:t xml:space="preserve">Supplementary Figure </w:t>
      </w:r>
      <w:r w:rsidR="00E91B14">
        <w:rPr>
          <w:b/>
          <w:color w:val="000000" w:themeColor="text1"/>
        </w:rPr>
        <w:t>S</w:t>
      </w:r>
      <w:r>
        <w:rPr>
          <w:b/>
          <w:color w:val="000000" w:themeColor="text1"/>
        </w:rPr>
        <w:t>3</w:t>
      </w:r>
      <w:r w:rsidRPr="00EE29AB">
        <w:rPr>
          <w:b/>
          <w:color w:val="000000" w:themeColor="text1"/>
        </w:rPr>
        <w:t xml:space="preserve">. </w:t>
      </w:r>
      <w:r>
        <w:rPr>
          <w:rFonts w:cs="Times New Roman"/>
        </w:rPr>
        <w:t>Relative importance of the input variables in the artificial neural network models that predict nutrient retention</w:t>
      </w:r>
      <w:r w:rsidRPr="007D0357">
        <w:rPr>
          <w:rFonts w:cs="Times New Roman"/>
        </w:rPr>
        <w:t xml:space="preserve">. </w:t>
      </w:r>
      <w:r w:rsidRPr="00F62464">
        <w:rPr>
          <w:rFonts w:cs="Times New Roman"/>
        </w:rPr>
        <w:t>The relative importance of each input variable was evaluated through alternative ANN models in which one variable was left out at a time, keeping the rest of the model settings the same. The reduction in the N</w:t>
      </w:r>
      <w:r>
        <w:rPr>
          <w:rFonts w:cs="Times New Roman"/>
        </w:rPr>
        <w:t>ash-</w:t>
      </w:r>
      <w:r w:rsidRPr="00F62464">
        <w:rPr>
          <w:rFonts w:cs="Times New Roman"/>
        </w:rPr>
        <w:t>S</w:t>
      </w:r>
      <w:r>
        <w:rPr>
          <w:rFonts w:cs="Times New Roman"/>
        </w:rPr>
        <w:t>utcliffe</w:t>
      </w:r>
      <w:r w:rsidRPr="00F62464">
        <w:rPr>
          <w:rFonts w:cs="Times New Roman"/>
        </w:rPr>
        <w:t xml:space="preserve"> coefficient of the verification upon deletion of an input variable was used to calculate the relative importance of each input variable.</w:t>
      </w:r>
    </w:p>
    <w:p w14:paraId="3D022878" w14:textId="77777777" w:rsidR="00305E1C" w:rsidRDefault="00305E1C"/>
    <w:p w14:paraId="79716EE9" w14:textId="77777777" w:rsidR="00305E1C" w:rsidRDefault="00305E1C"/>
    <w:sectPr w:rsidR="00305E1C" w:rsidSect="00EB61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6" w:nlCheck="1" w:checkStyle="0"/>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602"/>
    <w:rsid w:val="00023A92"/>
    <w:rsid w:val="0008282A"/>
    <w:rsid w:val="000968FB"/>
    <w:rsid w:val="000C7342"/>
    <w:rsid w:val="000D2647"/>
    <w:rsid w:val="001031DB"/>
    <w:rsid w:val="00106A12"/>
    <w:rsid w:val="00154652"/>
    <w:rsid w:val="001C3DCD"/>
    <w:rsid w:val="001E21C5"/>
    <w:rsid w:val="001F2FC1"/>
    <w:rsid w:val="001F76DC"/>
    <w:rsid w:val="00217C2A"/>
    <w:rsid w:val="0023565C"/>
    <w:rsid w:val="002657ED"/>
    <w:rsid w:val="00271B7C"/>
    <w:rsid w:val="002A12CF"/>
    <w:rsid w:val="002A681B"/>
    <w:rsid w:val="002A6B37"/>
    <w:rsid w:val="002B1EE1"/>
    <w:rsid w:val="002B6D7D"/>
    <w:rsid w:val="002C4BB3"/>
    <w:rsid w:val="002D3E6E"/>
    <w:rsid w:val="002D5983"/>
    <w:rsid w:val="00301626"/>
    <w:rsid w:val="00305E1C"/>
    <w:rsid w:val="00322BC5"/>
    <w:rsid w:val="003456EF"/>
    <w:rsid w:val="003607A9"/>
    <w:rsid w:val="00387F76"/>
    <w:rsid w:val="003B597F"/>
    <w:rsid w:val="003C0C74"/>
    <w:rsid w:val="003F0CF2"/>
    <w:rsid w:val="00406640"/>
    <w:rsid w:val="00425B64"/>
    <w:rsid w:val="0042669A"/>
    <w:rsid w:val="00437795"/>
    <w:rsid w:val="00447A5D"/>
    <w:rsid w:val="00470D74"/>
    <w:rsid w:val="004B14B8"/>
    <w:rsid w:val="004D5C4E"/>
    <w:rsid w:val="004F0481"/>
    <w:rsid w:val="0051535B"/>
    <w:rsid w:val="00537594"/>
    <w:rsid w:val="00560BB2"/>
    <w:rsid w:val="005A44FC"/>
    <w:rsid w:val="005E7FEB"/>
    <w:rsid w:val="005F2993"/>
    <w:rsid w:val="005F3B18"/>
    <w:rsid w:val="006152E1"/>
    <w:rsid w:val="00620791"/>
    <w:rsid w:val="00621ABE"/>
    <w:rsid w:val="0066200E"/>
    <w:rsid w:val="00670B85"/>
    <w:rsid w:val="00673731"/>
    <w:rsid w:val="00673A88"/>
    <w:rsid w:val="00681E9F"/>
    <w:rsid w:val="00697AB7"/>
    <w:rsid w:val="006D3903"/>
    <w:rsid w:val="00713C19"/>
    <w:rsid w:val="00721771"/>
    <w:rsid w:val="007248FD"/>
    <w:rsid w:val="0073039D"/>
    <w:rsid w:val="007C71B9"/>
    <w:rsid w:val="007D18C2"/>
    <w:rsid w:val="007E1584"/>
    <w:rsid w:val="00801912"/>
    <w:rsid w:val="00816F2A"/>
    <w:rsid w:val="00827C28"/>
    <w:rsid w:val="008529B1"/>
    <w:rsid w:val="0087230E"/>
    <w:rsid w:val="00882839"/>
    <w:rsid w:val="008972AF"/>
    <w:rsid w:val="008C620F"/>
    <w:rsid w:val="008E1202"/>
    <w:rsid w:val="008F3631"/>
    <w:rsid w:val="009030DE"/>
    <w:rsid w:val="00943948"/>
    <w:rsid w:val="00950100"/>
    <w:rsid w:val="009566DA"/>
    <w:rsid w:val="009765B8"/>
    <w:rsid w:val="00981C5B"/>
    <w:rsid w:val="009A1810"/>
    <w:rsid w:val="009D0041"/>
    <w:rsid w:val="009D0DBD"/>
    <w:rsid w:val="00A64FF7"/>
    <w:rsid w:val="00A875D5"/>
    <w:rsid w:val="00A87999"/>
    <w:rsid w:val="00A91BC5"/>
    <w:rsid w:val="00AA1CA5"/>
    <w:rsid w:val="00AA5781"/>
    <w:rsid w:val="00AB0ACA"/>
    <w:rsid w:val="00AD55B9"/>
    <w:rsid w:val="00AE3DC3"/>
    <w:rsid w:val="00AF210B"/>
    <w:rsid w:val="00B40A2A"/>
    <w:rsid w:val="00B868EC"/>
    <w:rsid w:val="00BB3585"/>
    <w:rsid w:val="00BD0FAA"/>
    <w:rsid w:val="00BE7265"/>
    <w:rsid w:val="00C2660F"/>
    <w:rsid w:val="00C321D3"/>
    <w:rsid w:val="00C636DC"/>
    <w:rsid w:val="00C8146D"/>
    <w:rsid w:val="00C91883"/>
    <w:rsid w:val="00CA1F72"/>
    <w:rsid w:val="00CE2335"/>
    <w:rsid w:val="00CF6ECA"/>
    <w:rsid w:val="00D05CF4"/>
    <w:rsid w:val="00D06F14"/>
    <w:rsid w:val="00D4029D"/>
    <w:rsid w:val="00D437B8"/>
    <w:rsid w:val="00D52E4B"/>
    <w:rsid w:val="00D63959"/>
    <w:rsid w:val="00D63C9F"/>
    <w:rsid w:val="00D70D3C"/>
    <w:rsid w:val="00DE60F9"/>
    <w:rsid w:val="00E44602"/>
    <w:rsid w:val="00E515E1"/>
    <w:rsid w:val="00E66FA1"/>
    <w:rsid w:val="00E73922"/>
    <w:rsid w:val="00E906C0"/>
    <w:rsid w:val="00E91B14"/>
    <w:rsid w:val="00EA32DA"/>
    <w:rsid w:val="00EB61AB"/>
    <w:rsid w:val="00EE29AB"/>
    <w:rsid w:val="00EF2108"/>
    <w:rsid w:val="00F06147"/>
    <w:rsid w:val="00F22B3A"/>
    <w:rsid w:val="00F50D9D"/>
    <w:rsid w:val="00F561D8"/>
    <w:rsid w:val="00F90BA1"/>
    <w:rsid w:val="00F92BA2"/>
    <w:rsid w:val="00FB6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E7C9"/>
  <w15:chartTrackingRefBased/>
  <w15:docId w15:val="{C75FFE13-794C-6441-AC9F-56914A66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602"/>
    <w:pPr>
      <w:spacing w:before="120" w:after="240"/>
    </w:pPr>
    <w:rPr>
      <w:rFonts w:ascii="Times New Roman" w:eastAsiaTheme="minorEastAsia" w:hAnsi="Times New Roman"/>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981C5B"/>
    <w:rPr>
      <w:sz w:val="16"/>
      <w:szCs w:val="16"/>
    </w:rPr>
  </w:style>
  <w:style w:type="paragraph" w:styleId="Textodecomentrio">
    <w:name w:val="annotation text"/>
    <w:basedOn w:val="Normal"/>
    <w:link w:val="TextodecomentrioChar"/>
    <w:uiPriority w:val="99"/>
    <w:unhideWhenUsed/>
    <w:rsid w:val="00981C5B"/>
    <w:pPr>
      <w:spacing w:before="0" w:after="0"/>
    </w:pPr>
    <w:rPr>
      <w:rFonts w:asciiTheme="minorHAnsi" w:hAnsiTheme="minorHAnsi"/>
      <w:sz w:val="20"/>
      <w:szCs w:val="20"/>
    </w:rPr>
  </w:style>
  <w:style w:type="character" w:customStyle="1" w:styleId="TextodecomentrioChar">
    <w:name w:val="Texto de comentário Char"/>
    <w:basedOn w:val="Fontepargpadro"/>
    <w:link w:val="Textodecomentrio"/>
    <w:uiPriority w:val="99"/>
    <w:rsid w:val="00981C5B"/>
    <w:rPr>
      <w:sz w:val="20"/>
      <w:szCs w:val="20"/>
    </w:rPr>
  </w:style>
  <w:style w:type="paragraph" w:styleId="Textodebalo">
    <w:name w:val="Balloon Text"/>
    <w:basedOn w:val="Normal"/>
    <w:link w:val="TextodebaloChar"/>
    <w:uiPriority w:val="99"/>
    <w:semiHidden/>
    <w:unhideWhenUsed/>
    <w:rsid w:val="00981C5B"/>
    <w:pPr>
      <w:spacing w:before="0" w:after="0"/>
    </w:pPr>
    <w:rPr>
      <w:rFonts w:cs="Times New Roman"/>
      <w:sz w:val="18"/>
      <w:szCs w:val="18"/>
    </w:rPr>
  </w:style>
  <w:style w:type="character" w:customStyle="1" w:styleId="TextodebaloChar">
    <w:name w:val="Texto de balão Char"/>
    <w:basedOn w:val="Fontepargpadro"/>
    <w:link w:val="Textodebalo"/>
    <w:uiPriority w:val="99"/>
    <w:semiHidden/>
    <w:rsid w:val="00981C5B"/>
    <w:rPr>
      <w:rFonts w:ascii="Times New Roman" w:hAnsi="Times New Roman" w:cs="Times New Roman"/>
      <w:sz w:val="18"/>
      <w:szCs w:val="18"/>
    </w:rPr>
  </w:style>
  <w:style w:type="paragraph" w:styleId="Assuntodocomentrio">
    <w:name w:val="annotation subject"/>
    <w:basedOn w:val="Textodecomentrio"/>
    <w:next w:val="Textodecomentrio"/>
    <w:link w:val="AssuntodocomentrioChar"/>
    <w:uiPriority w:val="99"/>
    <w:semiHidden/>
    <w:unhideWhenUsed/>
    <w:rsid w:val="002A12CF"/>
    <w:pPr>
      <w:spacing w:before="120" w:after="240"/>
    </w:pPr>
    <w:rPr>
      <w:rFonts w:ascii="Times New Roman" w:hAnsi="Times New Roman"/>
      <w:b/>
      <w:bCs/>
    </w:rPr>
  </w:style>
  <w:style w:type="character" w:customStyle="1" w:styleId="AssuntodocomentrioChar">
    <w:name w:val="Assunto do comentário Char"/>
    <w:basedOn w:val="TextodecomentrioChar"/>
    <w:link w:val="Assuntodocomentrio"/>
    <w:uiPriority w:val="99"/>
    <w:semiHidden/>
    <w:rsid w:val="002A12CF"/>
    <w:rPr>
      <w:rFonts w:ascii="Times New Roman" w:hAnsi="Times New Roman"/>
      <w:b/>
      <w:bCs/>
      <w:sz w:val="20"/>
      <w:szCs w:val="20"/>
    </w:rPr>
  </w:style>
  <w:style w:type="table" w:styleId="Tabelacomgrade">
    <w:name w:val="Table Grid"/>
    <w:basedOn w:val="Tabelanormal"/>
    <w:uiPriority w:val="39"/>
    <w:rsid w:val="00D52E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D0FAA"/>
    <w:pPr>
      <w:spacing w:before="100" w:beforeAutospacing="1" w:after="100" w:afterAutospacing="1"/>
    </w:pPr>
    <w:rPr>
      <w:rFonts w:eastAsia="Times New Roman" w:cs="Times New Roman"/>
      <w:szCs w:val="24"/>
      <w:lang w:val="pt-BR" w:eastAsia="pt-BR"/>
    </w:rPr>
  </w:style>
  <w:style w:type="paragraph" w:styleId="Reviso">
    <w:name w:val="Revision"/>
    <w:hidden/>
    <w:uiPriority w:val="99"/>
    <w:semiHidden/>
    <w:rsid w:val="002D5983"/>
    <w:rPr>
      <w:rFonts w:ascii="Times New Roman" w:eastAsiaTheme="minorEastAsia"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40828">
      <w:bodyDiv w:val="1"/>
      <w:marLeft w:val="0"/>
      <w:marRight w:val="0"/>
      <w:marTop w:val="0"/>
      <w:marBottom w:val="0"/>
      <w:divBdr>
        <w:top w:val="none" w:sz="0" w:space="0" w:color="auto"/>
        <w:left w:val="none" w:sz="0" w:space="0" w:color="auto"/>
        <w:bottom w:val="none" w:sz="0" w:space="0" w:color="auto"/>
        <w:right w:val="none" w:sz="0" w:space="0" w:color="auto"/>
      </w:divBdr>
    </w:div>
    <w:div w:id="595137893">
      <w:bodyDiv w:val="1"/>
      <w:marLeft w:val="0"/>
      <w:marRight w:val="0"/>
      <w:marTop w:val="0"/>
      <w:marBottom w:val="0"/>
      <w:divBdr>
        <w:top w:val="none" w:sz="0" w:space="0" w:color="auto"/>
        <w:left w:val="none" w:sz="0" w:space="0" w:color="auto"/>
        <w:bottom w:val="none" w:sz="0" w:space="0" w:color="auto"/>
        <w:right w:val="none" w:sz="0" w:space="0" w:color="auto"/>
      </w:divBdr>
    </w:div>
    <w:div w:id="780998166">
      <w:bodyDiv w:val="1"/>
      <w:marLeft w:val="0"/>
      <w:marRight w:val="0"/>
      <w:marTop w:val="0"/>
      <w:marBottom w:val="0"/>
      <w:divBdr>
        <w:top w:val="none" w:sz="0" w:space="0" w:color="auto"/>
        <w:left w:val="none" w:sz="0" w:space="0" w:color="auto"/>
        <w:bottom w:val="none" w:sz="0" w:space="0" w:color="auto"/>
        <w:right w:val="none" w:sz="0" w:space="0" w:color="auto"/>
      </w:divBdr>
    </w:div>
    <w:div w:id="1174804767">
      <w:bodyDiv w:val="1"/>
      <w:marLeft w:val="0"/>
      <w:marRight w:val="0"/>
      <w:marTop w:val="0"/>
      <w:marBottom w:val="0"/>
      <w:divBdr>
        <w:top w:val="none" w:sz="0" w:space="0" w:color="auto"/>
        <w:left w:val="none" w:sz="0" w:space="0" w:color="auto"/>
        <w:bottom w:val="none" w:sz="0" w:space="0" w:color="auto"/>
        <w:right w:val="none" w:sz="0" w:space="0" w:color="auto"/>
      </w:divBdr>
    </w:div>
    <w:div w:id="1259950214">
      <w:bodyDiv w:val="1"/>
      <w:marLeft w:val="0"/>
      <w:marRight w:val="0"/>
      <w:marTop w:val="0"/>
      <w:marBottom w:val="0"/>
      <w:divBdr>
        <w:top w:val="none" w:sz="0" w:space="0" w:color="auto"/>
        <w:left w:val="none" w:sz="0" w:space="0" w:color="auto"/>
        <w:bottom w:val="none" w:sz="0" w:space="0" w:color="auto"/>
        <w:right w:val="none" w:sz="0" w:space="0" w:color="auto"/>
      </w:divBdr>
    </w:div>
    <w:div w:id="1878001794">
      <w:bodyDiv w:val="1"/>
      <w:marLeft w:val="0"/>
      <w:marRight w:val="0"/>
      <w:marTop w:val="0"/>
      <w:marBottom w:val="0"/>
      <w:divBdr>
        <w:top w:val="none" w:sz="0" w:space="0" w:color="auto"/>
        <w:left w:val="none" w:sz="0" w:space="0" w:color="auto"/>
        <w:bottom w:val="none" w:sz="0" w:space="0" w:color="auto"/>
        <w:right w:val="none" w:sz="0" w:space="0" w:color="auto"/>
      </w:divBdr>
    </w:div>
    <w:div w:id="203692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jpeg"/><Relationship Id="rId5" Type="http://schemas.openxmlformats.org/officeDocument/2006/relationships/image" Target="media/image2.emf"/><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Words>
  <Characters>2793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Marcia Oliveira</cp:lastModifiedBy>
  <cp:revision>2</cp:revision>
  <dcterms:created xsi:type="dcterms:W3CDTF">2020-09-15T18:57:00Z</dcterms:created>
  <dcterms:modified xsi:type="dcterms:W3CDTF">2020-09-15T18:57:00Z</dcterms:modified>
</cp:coreProperties>
</file>