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65580" w14:textId="00807341" w:rsidR="005E6ABA" w:rsidRDefault="002D7B57">
      <w:r>
        <w:rPr>
          <w:b/>
        </w:rPr>
        <w:t>Table 7</w:t>
      </w:r>
      <w:r w:rsidR="00CA4D95">
        <w:t xml:space="preserve">. </w:t>
      </w:r>
      <w:r w:rsidR="00CA4D95" w:rsidRPr="00CA4D95">
        <w:t xml:space="preserve">Association </w:t>
      </w:r>
      <w:r w:rsidR="00CA4D95">
        <w:t>between the main lipid fractions</w:t>
      </w:r>
      <w:r w:rsidR="003B1553">
        <w:t>, obtained by metabolomics analysis,</w:t>
      </w:r>
      <w:r w:rsidR="00CA4D95">
        <w:t xml:space="preserve"> and</w:t>
      </w:r>
      <w:r w:rsidR="00CA4D95" w:rsidRPr="00CA4D95">
        <w:t xml:space="preserve"> </w:t>
      </w:r>
      <w:r w:rsidR="003B1553">
        <w:t>the occurrence of adverse drug reactions in 26 out of 28 patients with ED included in the analysis</w:t>
      </w:r>
      <w:r w:rsidR="00CA4D95">
        <w:t>. Risk threshold for each lipid fractions were arbitrarily set at each median value.</w:t>
      </w:r>
    </w:p>
    <w:p w14:paraId="29B3B3F6" w14:textId="77777777" w:rsidR="00080E9C" w:rsidRDefault="00080E9C"/>
    <w:tbl>
      <w:tblPr>
        <w:tblStyle w:val="Grigliatabellachiara1"/>
        <w:tblW w:w="5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000"/>
        <w:gridCol w:w="1000"/>
      </w:tblGrid>
      <w:tr w:rsidR="00080E9C" w:rsidRPr="00C66F83" w14:paraId="4CB644C7" w14:textId="77777777" w:rsidTr="002C594C">
        <w:trPr>
          <w:trHeight w:val="348"/>
          <w:jc w:val="center"/>
        </w:trPr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58684C3" w14:textId="6D201ACD" w:rsidR="00080E9C" w:rsidRPr="00C66F83" w:rsidRDefault="003B1553" w:rsidP="003B155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Main</w:t>
            </w:r>
            <w:r w:rsidRPr="00C66F83">
              <w:rPr>
                <w:rFonts w:eastAsia="Times New Roman" w:cs="Times New Roman"/>
                <w:b/>
                <w:bCs/>
              </w:rPr>
              <w:t xml:space="preserve"> </w:t>
            </w:r>
            <w:r w:rsidR="00080E9C" w:rsidRPr="00C66F83">
              <w:rPr>
                <w:rFonts w:eastAsia="Times New Roman" w:cs="Times New Roman"/>
                <w:b/>
                <w:bCs/>
              </w:rPr>
              <w:t xml:space="preserve">Lipid </w:t>
            </w:r>
            <w:r w:rsidR="00080E9C">
              <w:rPr>
                <w:rFonts w:eastAsia="Times New Roman" w:cs="Times New Roman"/>
                <w:b/>
                <w:bCs/>
              </w:rPr>
              <w:t>Fraction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49FE02B" w14:textId="53458EE0" w:rsidR="00080E9C" w:rsidRPr="00C66F83" w:rsidRDefault="00080E9C" w:rsidP="007D523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HR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467955B" w14:textId="09C12B8C" w:rsidR="00080E9C" w:rsidRPr="00C66F83" w:rsidRDefault="00080E9C" w:rsidP="007D523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66F83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p</w:t>
            </w:r>
            <w:r w:rsidRPr="00C66F83">
              <w:rPr>
                <w:rFonts w:eastAsia="Times New Roman" w:cs="Times New Roman"/>
                <w:b/>
                <w:bCs/>
                <w:color w:val="000000"/>
              </w:rPr>
              <w:t>-value</w:t>
            </w:r>
          </w:p>
        </w:tc>
      </w:tr>
      <w:tr w:rsidR="00080E9C" w:rsidRPr="00C66F83" w14:paraId="664A63C5" w14:textId="77777777" w:rsidTr="002C594C">
        <w:trPr>
          <w:trHeight w:val="288"/>
          <w:jc w:val="center"/>
        </w:trPr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795918" w14:textId="21D797DA" w:rsidR="00080E9C" w:rsidRPr="00C66F83" w:rsidRDefault="00080E9C" w:rsidP="00080E9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080E9C">
              <w:rPr>
                <w:b/>
                <w:bCs/>
              </w:rPr>
              <w:t>Triglycerides</w:t>
            </w:r>
            <w:r>
              <w:rPr>
                <w:b/>
                <w:bCs/>
              </w:rPr>
              <w:t xml:space="preserve">, </w:t>
            </w:r>
            <w:r w:rsidRPr="00080E9C">
              <w:rPr>
                <w:b/>
                <w:bCs/>
              </w:rPr>
              <w:t>TG ≥ 80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5B962E" w14:textId="262C72B9" w:rsidR="00080E9C" w:rsidRPr="00C66F83" w:rsidRDefault="00080E9C" w:rsidP="00080E9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0E9C">
              <w:rPr>
                <w:b/>
                <w:bCs/>
              </w:rPr>
              <w:t>7.111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9D3FD9" w14:textId="539F7EB2" w:rsidR="00080E9C" w:rsidRPr="00C66F83" w:rsidRDefault="00080E9C" w:rsidP="00080E9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0E9C">
              <w:rPr>
                <w:b/>
                <w:bCs/>
              </w:rPr>
              <w:t>0.040</w:t>
            </w:r>
          </w:p>
        </w:tc>
      </w:tr>
      <w:tr w:rsidR="00080E9C" w:rsidRPr="00C66F83" w14:paraId="0E5837F6" w14:textId="77777777" w:rsidTr="002C594C">
        <w:trPr>
          <w:trHeight w:val="288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EE25B5A" w14:textId="06056378" w:rsidR="00080E9C" w:rsidRPr="00C66F83" w:rsidRDefault="00080E9C" w:rsidP="00080E9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080E9C">
              <w:rPr>
                <w:b/>
                <w:bCs/>
              </w:rPr>
              <w:t>Cholesterol</w:t>
            </w:r>
            <w:r>
              <w:rPr>
                <w:b/>
                <w:bCs/>
              </w:rPr>
              <w:t xml:space="preserve">, </w:t>
            </w:r>
            <w:r w:rsidRPr="00080E9C">
              <w:rPr>
                <w:b/>
                <w:bCs/>
              </w:rPr>
              <w:t>Chol ≥ 190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CD75CEB" w14:textId="445737BA" w:rsidR="00080E9C" w:rsidRPr="00C66F83" w:rsidRDefault="00080E9C" w:rsidP="00080E9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0E9C">
              <w:rPr>
                <w:b/>
                <w:bCs/>
              </w:rPr>
              <w:t>7.111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D147950" w14:textId="1BEE353D" w:rsidR="00080E9C" w:rsidRPr="00C66F83" w:rsidRDefault="00080E9C" w:rsidP="00080E9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0E9C">
              <w:rPr>
                <w:b/>
                <w:bCs/>
              </w:rPr>
              <w:t>0.040</w:t>
            </w:r>
          </w:p>
        </w:tc>
      </w:tr>
      <w:tr w:rsidR="00080E9C" w:rsidRPr="00C66F83" w14:paraId="0112FCD7" w14:textId="77777777" w:rsidTr="002C594C">
        <w:trPr>
          <w:trHeight w:val="288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967931C" w14:textId="220DD660" w:rsidR="00080E9C" w:rsidRPr="00C66F83" w:rsidRDefault="00080E9C" w:rsidP="00080E9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080E9C">
              <w:rPr>
                <w:b/>
                <w:bCs/>
              </w:rPr>
              <w:t>LDL</w:t>
            </w:r>
            <w:r w:rsidR="006A0CE3">
              <w:rPr>
                <w:b/>
                <w:bCs/>
              </w:rPr>
              <w:t xml:space="preserve"> </w:t>
            </w:r>
            <w:r w:rsidRPr="00080E9C">
              <w:rPr>
                <w:b/>
                <w:bCs/>
              </w:rPr>
              <w:t>Cholesterol</w:t>
            </w:r>
            <w:r>
              <w:rPr>
                <w:b/>
                <w:bCs/>
              </w:rPr>
              <w:t xml:space="preserve">, </w:t>
            </w:r>
            <w:r w:rsidRPr="00080E9C">
              <w:rPr>
                <w:b/>
                <w:bCs/>
              </w:rPr>
              <w:t>LDL</w:t>
            </w:r>
            <w:r>
              <w:rPr>
                <w:b/>
                <w:bCs/>
              </w:rPr>
              <w:t xml:space="preserve"> </w:t>
            </w:r>
            <w:r w:rsidRPr="00080E9C">
              <w:rPr>
                <w:b/>
                <w:bCs/>
              </w:rPr>
              <w:t>Chol ≥ 100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5838299" w14:textId="07940677" w:rsidR="00080E9C" w:rsidRPr="00C66F83" w:rsidRDefault="00080E9C" w:rsidP="00080E9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0E9C">
              <w:rPr>
                <w:b/>
                <w:bCs/>
              </w:rPr>
              <w:t>17.500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135F0DC" w14:textId="3512D889" w:rsidR="00080E9C" w:rsidRPr="00C66F83" w:rsidRDefault="00080E9C" w:rsidP="00080E9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0E9C">
              <w:rPr>
                <w:b/>
                <w:bCs/>
              </w:rPr>
              <w:t>0.019</w:t>
            </w:r>
          </w:p>
        </w:tc>
      </w:tr>
      <w:tr w:rsidR="00080E9C" w:rsidRPr="00C66F83" w14:paraId="1B5BB789" w14:textId="77777777" w:rsidTr="002C594C">
        <w:trPr>
          <w:trHeight w:val="288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07A65E6" w14:textId="1A210F10" w:rsidR="00080E9C" w:rsidRPr="00C66F83" w:rsidRDefault="00080E9C" w:rsidP="00080E9C">
            <w:pPr>
              <w:rPr>
                <w:rFonts w:eastAsia="Times New Roman" w:cs="Times New Roman"/>
                <w:color w:val="000000"/>
              </w:rPr>
            </w:pPr>
            <w:r w:rsidRPr="00080E9C">
              <w:rPr>
                <w:lang w:val="da-DK"/>
              </w:rPr>
              <w:t>HDL</w:t>
            </w:r>
            <w:r w:rsidR="006A0CE3">
              <w:rPr>
                <w:lang w:val="da-DK"/>
              </w:rPr>
              <w:t xml:space="preserve"> </w:t>
            </w:r>
            <w:r w:rsidRPr="00080E9C">
              <w:rPr>
                <w:lang w:val="da-DK"/>
              </w:rPr>
              <w:t>Cholesterol</w:t>
            </w:r>
            <w:r>
              <w:rPr>
                <w:lang w:val="da-DK"/>
              </w:rPr>
              <w:t xml:space="preserve">, </w:t>
            </w:r>
            <w:r w:rsidRPr="00080E9C">
              <w:rPr>
                <w:lang w:val="da-DK"/>
              </w:rPr>
              <w:t>HDL</w:t>
            </w:r>
            <w:r>
              <w:rPr>
                <w:lang w:val="da-DK"/>
              </w:rPr>
              <w:t xml:space="preserve"> </w:t>
            </w:r>
            <w:r w:rsidRPr="00080E9C">
              <w:rPr>
                <w:lang w:val="da-DK"/>
              </w:rPr>
              <w:t>Chol ≥ 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2A3FF54" w14:textId="27C8A907" w:rsidR="00080E9C" w:rsidRPr="00C66F83" w:rsidRDefault="00080E9C" w:rsidP="00080E9C">
            <w:pPr>
              <w:jc w:val="center"/>
              <w:rPr>
                <w:rFonts w:eastAsia="Times New Roman" w:cs="Times New Roman"/>
                <w:color w:val="000000"/>
              </w:rPr>
            </w:pPr>
            <w:r w:rsidRPr="00080E9C">
              <w:t>0.686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886DF21" w14:textId="74144902" w:rsidR="00080E9C" w:rsidRPr="00C66F83" w:rsidRDefault="00080E9C" w:rsidP="00080E9C">
            <w:pPr>
              <w:jc w:val="center"/>
              <w:rPr>
                <w:rFonts w:eastAsia="Times New Roman" w:cs="Times New Roman"/>
                <w:color w:val="000000"/>
              </w:rPr>
            </w:pPr>
            <w:r w:rsidRPr="00080E9C">
              <w:t>0.665</w:t>
            </w:r>
          </w:p>
        </w:tc>
      </w:tr>
      <w:tr w:rsidR="00080E9C" w:rsidRPr="00C66F83" w14:paraId="517245D2" w14:textId="77777777" w:rsidTr="002C594C">
        <w:trPr>
          <w:trHeight w:val="288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89CCF59" w14:textId="2C8199A6" w:rsidR="00080E9C" w:rsidRPr="00C66F83" w:rsidRDefault="00080E9C" w:rsidP="00080E9C">
            <w:pPr>
              <w:rPr>
                <w:rFonts w:eastAsia="Times New Roman" w:cs="Times New Roman"/>
                <w:color w:val="000000"/>
              </w:rPr>
            </w:pPr>
            <w:r w:rsidRPr="00080E9C">
              <w:t>Apo</w:t>
            </w:r>
            <w:r>
              <w:t xml:space="preserve"> </w:t>
            </w:r>
            <w:r w:rsidRPr="00080E9C">
              <w:t>A1</w:t>
            </w:r>
            <w:r>
              <w:t xml:space="preserve">, </w:t>
            </w:r>
            <w:r w:rsidRPr="00080E9C">
              <w:t>Apo</w:t>
            </w:r>
            <w:r>
              <w:t xml:space="preserve"> </w:t>
            </w:r>
            <w:r w:rsidRPr="00080E9C">
              <w:t>A1 ≥ 140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2CB553D" w14:textId="7C1F94CA" w:rsidR="00080E9C" w:rsidRPr="00C66F83" w:rsidRDefault="00080E9C" w:rsidP="00080E9C">
            <w:pPr>
              <w:jc w:val="center"/>
              <w:rPr>
                <w:rFonts w:eastAsia="Times New Roman" w:cs="Times New Roman"/>
                <w:color w:val="000000"/>
              </w:rPr>
            </w:pPr>
            <w:r w:rsidRPr="00080E9C">
              <w:t>1.458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D91B8B5" w14:textId="16A73723" w:rsidR="00080E9C" w:rsidRPr="00C66F83" w:rsidRDefault="00080E9C" w:rsidP="00080E9C">
            <w:pPr>
              <w:jc w:val="center"/>
              <w:rPr>
                <w:rFonts w:eastAsia="Times New Roman" w:cs="Times New Roman"/>
                <w:color w:val="000000"/>
              </w:rPr>
            </w:pPr>
            <w:r w:rsidRPr="00080E9C">
              <w:t>0.665</w:t>
            </w:r>
          </w:p>
        </w:tc>
      </w:tr>
      <w:tr w:rsidR="00080E9C" w:rsidRPr="00C66F83" w14:paraId="4ED48FAE" w14:textId="77777777" w:rsidTr="002C594C">
        <w:trPr>
          <w:trHeight w:val="288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7ED5EDC" w14:textId="58584D44" w:rsidR="00080E9C" w:rsidRPr="00C66F83" w:rsidRDefault="00080E9C" w:rsidP="00080E9C">
            <w:pPr>
              <w:rPr>
                <w:rFonts w:eastAsia="Times New Roman" w:cs="Times New Roman"/>
                <w:color w:val="000000"/>
              </w:rPr>
            </w:pPr>
            <w:r w:rsidRPr="00080E9C">
              <w:t>Apo</w:t>
            </w:r>
            <w:r>
              <w:t xml:space="preserve"> </w:t>
            </w:r>
            <w:r w:rsidRPr="00080E9C">
              <w:t>A2</w:t>
            </w:r>
            <w:r>
              <w:t xml:space="preserve">, </w:t>
            </w:r>
            <w:r w:rsidRPr="00080E9C">
              <w:t>Apo</w:t>
            </w:r>
            <w:r>
              <w:t xml:space="preserve"> </w:t>
            </w:r>
            <w:r w:rsidRPr="00080E9C">
              <w:t>A2 ≥ 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85CE208" w14:textId="617B562F" w:rsidR="00080E9C" w:rsidRPr="00C66F83" w:rsidRDefault="00080E9C" w:rsidP="00080E9C">
            <w:pPr>
              <w:jc w:val="center"/>
              <w:rPr>
                <w:rFonts w:eastAsia="Times New Roman" w:cs="Times New Roman"/>
                <w:color w:val="000000"/>
              </w:rPr>
            </w:pPr>
            <w:r w:rsidRPr="00080E9C">
              <w:t>1.458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E582B03" w14:textId="2C16E8D2" w:rsidR="00080E9C" w:rsidRPr="00C66F83" w:rsidRDefault="00080E9C" w:rsidP="00080E9C">
            <w:pPr>
              <w:jc w:val="center"/>
              <w:rPr>
                <w:rFonts w:eastAsia="Times New Roman" w:cs="Times New Roman"/>
                <w:color w:val="000000"/>
              </w:rPr>
            </w:pPr>
            <w:r w:rsidRPr="00080E9C">
              <w:t>0.665</w:t>
            </w:r>
          </w:p>
        </w:tc>
      </w:tr>
      <w:tr w:rsidR="00080E9C" w:rsidRPr="00C66F83" w14:paraId="60840F98" w14:textId="77777777" w:rsidTr="002C594C">
        <w:trPr>
          <w:trHeight w:val="288"/>
          <w:jc w:val="center"/>
        </w:trPr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98F0C2" w14:textId="62C1AAC9" w:rsidR="00080E9C" w:rsidRPr="00C66F83" w:rsidRDefault="00080E9C" w:rsidP="00080E9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080E9C">
              <w:t>Apo</w:t>
            </w:r>
            <w:r>
              <w:t xml:space="preserve"> </w:t>
            </w:r>
            <w:r w:rsidRPr="00080E9C">
              <w:t>B100</w:t>
            </w:r>
            <w:r>
              <w:t xml:space="preserve">, </w:t>
            </w:r>
            <w:r w:rsidRPr="00080E9C">
              <w:t>Apo</w:t>
            </w:r>
            <w:r>
              <w:t xml:space="preserve"> </w:t>
            </w:r>
            <w:r w:rsidRPr="00080E9C">
              <w:t>B100 ≥ 80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59278E" w14:textId="2D1A5B7B" w:rsidR="00080E9C" w:rsidRPr="00C66F83" w:rsidRDefault="00080E9C" w:rsidP="00080E9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0E9C">
              <w:t>3.200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4F4DB4" w14:textId="5D08ED1E" w:rsidR="00080E9C" w:rsidRPr="00C66F83" w:rsidRDefault="00080E9C" w:rsidP="00080E9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0E9C">
              <w:t>0.200</w:t>
            </w:r>
          </w:p>
        </w:tc>
      </w:tr>
    </w:tbl>
    <w:p w14:paraId="0B1025CB" w14:textId="77777777" w:rsidR="00080E9C" w:rsidRDefault="00080E9C"/>
    <w:p w14:paraId="42C96005" w14:textId="5A38D0C0" w:rsidR="003B1553" w:rsidRDefault="003B1553">
      <w:r>
        <w:t>Abbreviations: HR, hazard ratio</w:t>
      </w:r>
      <w:bookmarkStart w:id="0" w:name="_GoBack"/>
      <w:bookmarkEnd w:id="0"/>
    </w:p>
    <w:sectPr w:rsidR="003B1553" w:rsidSect="000C3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32"/>
    <w:rsid w:val="00080E9C"/>
    <w:rsid w:val="000A3232"/>
    <w:rsid w:val="000C32FE"/>
    <w:rsid w:val="002C594C"/>
    <w:rsid w:val="002D7B57"/>
    <w:rsid w:val="00305EF1"/>
    <w:rsid w:val="003B1553"/>
    <w:rsid w:val="005E6ABA"/>
    <w:rsid w:val="00625861"/>
    <w:rsid w:val="006A0CE3"/>
    <w:rsid w:val="006F67AF"/>
    <w:rsid w:val="009355C5"/>
    <w:rsid w:val="00C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37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chiara1">
    <w:name w:val="Griglia tabella chiara1"/>
    <w:basedOn w:val="Tabellanormale"/>
    <w:uiPriority w:val="40"/>
    <w:rsid w:val="00080E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C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chiara1">
    <w:name w:val="Griglia tabella chiara1"/>
    <w:basedOn w:val="Tabellanormale"/>
    <w:uiPriority w:val="40"/>
    <w:rsid w:val="00080E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V.</dc:creator>
  <cp:lastModifiedBy>utente</cp:lastModifiedBy>
  <cp:revision>6</cp:revision>
  <dcterms:created xsi:type="dcterms:W3CDTF">2020-06-15T09:10:00Z</dcterms:created>
  <dcterms:modified xsi:type="dcterms:W3CDTF">2020-10-23T11:21:00Z</dcterms:modified>
</cp:coreProperties>
</file>