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6B" w:rsidRDefault="00A3696B" w:rsidP="00790399">
      <w:pPr>
        <w:jc w:val="center"/>
        <w:outlineLvl w:val="0"/>
        <w:rPr>
          <w:b/>
          <w:sz w:val="28"/>
        </w:rPr>
      </w:pPr>
      <w:r>
        <w:rPr>
          <w:rFonts w:hint="eastAsia"/>
          <w:b/>
          <w:sz w:val="28"/>
        </w:rPr>
        <w:t>Supplementary informations</w:t>
      </w:r>
    </w:p>
    <w:p w:rsidR="00947EF6" w:rsidRDefault="00E36F12" w:rsidP="006A5144">
      <w:pPr>
        <w:jc w:val="both"/>
      </w:pPr>
      <w:bookmarkStart w:id="0" w:name="OLE_LINK261"/>
      <w:bookmarkStart w:id="1" w:name="OLE_LINK262"/>
      <w:bookmarkStart w:id="2" w:name="OLE_LINK60"/>
      <w:bookmarkStart w:id="3" w:name="_GoBack"/>
      <w:r>
        <w:rPr>
          <w:rFonts w:hint="eastAsia"/>
          <w:b/>
        </w:rPr>
        <w:t xml:space="preserve">Systematically </w:t>
      </w:r>
      <w:r>
        <w:rPr>
          <w:rFonts w:hint="eastAsia"/>
          <w:b/>
          <w:color w:val="000000"/>
        </w:rPr>
        <w:t>C</w:t>
      </w:r>
      <w:r>
        <w:rPr>
          <w:b/>
          <w:color w:val="000000"/>
        </w:rPr>
        <w:t>haracterizing</w:t>
      </w:r>
      <w:r>
        <w:rPr>
          <w:rFonts w:hint="eastAsia"/>
          <w:b/>
        </w:rPr>
        <w:t xml:space="preserve"> A-to-I RNA Editing</w:t>
      </w:r>
      <w:r>
        <w:rPr>
          <w:b/>
        </w:rPr>
        <w:t xml:space="preserve"> Neoantigens in Cancer</w:t>
      </w:r>
      <w:bookmarkStart w:id="4" w:name="OLE_LINK569"/>
      <w:bookmarkStart w:id="5" w:name="OLE_LINK570"/>
      <w:bookmarkStart w:id="6" w:name="OLE_LINK28"/>
      <w:bookmarkStart w:id="7" w:name="OLE_LINK38"/>
      <w:bookmarkEnd w:id="0"/>
      <w:bookmarkEnd w:id="1"/>
      <w:bookmarkEnd w:id="2"/>
    </w:p>
    <w:bookmarkEnd w:id="3"/>
    <w:p w:rsidR="00947EF6" w:rsidRDefault="00947EF6" w:rsidP="00947EF6"/>
    <w:bookmarkEnd w:id="4"/>
    <w:bookmarkEnd w:id="5"/>
    <w:bookmarkEnd w:id="6"/>
    <w:bookmarkEnd w:id="7"/>
    <w:p w:rsidR="00AA0BFD" w:rsidRDefault="00AA0BFD" w:rsidP="00AA0BFD">
      <w:pPr>
        <w:rPr>
          <w:lang w:val="en-GB"/>
        </w:rPr>
      </w:pPr>
      <w:r>
        <w:t>Chi Zhou</w:t>
      </w:r>
      <w:r>
        <w:rPr>
          <w:vertAlign w:val="superscript"/>
          <w:lang w:val="en-GB"/>
        </w:rPr>
        <w:t>1</w:t>
      </w:r>
      <w:r>
        <w:rPr>
          <w:rFonts w:hint="eastAsia"/>
          <w:vertAlign w:val="superscript"/>
          <w:lang w:val="en-GB"/>
        </w:rPr>
        <w:t>,</w:t>
      </w:r>
      <w:r>
        <w:rPr>
          <w:vertAlign w:val="superscript"/>
          <w:lang w:val="en-GB"/>
        </w:rPr>
        <w:t xml:space="preserve"> #</w:t>
      </w:r>
      <w:r>
        <w:rPr>
          <w:lang w:val="en-GB"/>
        </w:rPr>
        <w:t>, Zhiting Wei</w:t>
      </w:r>
      <w:r>
        <w:rPr>
          <w:vertAlign w:val="superscript"/>
          <w:lang w:val="en-GB"/>
        </w:rPr>
        <w:t>1,</w:t>
      </w:r>
      <w:r>
        <w:rPr>
          <w:rFonts w:hint="eastAsia"/>
          <w:vertAlign w:val="superscript"/>
          <w:lang w:val="en-GB"/>
        </w:rPr>
        <w:t xml:space="preserve"> </w:t>
      </w:r>
      <w:r>
        <w:rPr>
          <w:vertAlign w:val="superscript"/>
          <w:lang w:val="en-GB"/>
        </w:rPr>
        <w:t>#</w:t>
      </w:r>
      <w:r>
        <w:rPr>
          <w:lang w:val="en-GB"/>
        </w:rPr>
        <w:t>, Liye Zhang</w:t>
      </w:r>
      <w:r>
        <w:rPr>
          <w:rFonts w:hint="eastAsia"/>
          <w:vertAlign w:val="superscript"/>
          <w:lang w:val="en-GB"/>
        </w:rPr>
        <w:t>3</w:t>
      </w:r>
      <w:r>
        <w:rPr>
          <w:lang w:val="en-GB"/>
        </w:rPr>
        <w:t>, Zhaoyi Yang</w:t>
      </w:r>
      <w:r>
        <w:rPr>
          <w:vertAlign w:val="superscript"/>
          <w:lang w:val="en-GB"/>
        </w:rPr>
        <w:t>2,*</w:t>
      </w:r>
      <w:r>
        <w:rPr>
          <w:lang w:val="en-GB"/>
        </w:rPr>
        <w:t>, Qi Liu</w:t>
      </w:r>
      <w:r>
        <w:rPr>
          <w:vertAlign w:val="superscript"/>
          <w:lang w:val="en-GB"/>
        </w:rPr>
        <w:t>1,*</w:t>
      </w:r>
    </w:p>
    <w:p w:rsidR="00AA0BFD" w:rsidRDefault="00AA0BFD" w:rsidP="00AA0B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szCs w:val="21"/>
        </w:rPr>
      </w:pPr>
    </w:p>
    <w:p w:rsidR="00AA0BFD" w:rsidRPr="009662BC" w:rsidRDefault="00AA0BFD" w:rsidP="00AA0B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szCs w:val="21"/>
        </w:rPr>
      </w:pPr>
      <w:r w:rsidRPr="009662BC">
        <w:rPr>
          <w:szCs w:val="21"/>
          <w:vertAlign w:val="superscript"/>
        </w:rPr>
        <w:t xml:space="preserve">1 </w:t>
      </w:r>
      <w:r w:rsidRPr="009662BC">
        <w:rPr>
          <w:szCs w:val="21"/>
        </w:rPr>
        <w:t>Translational Medical Center for Stem Cell Therapy and Institute for Regenerative</w:t>
      </w:r>
    </w:p>
    <w:p w:rsidR="00AA0BFD" w:rsidRPr="009662BC" w:rsidRDefault="00AA0BFD" w:rsidP="00AA0B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szCs w:val="21"/>
        </w:rPr>
      </w:pPr>
      <w:r w:rsidRPr="009662BC">
        <w:rPr>
          <w:szCs w:val="21"/>
        </w:rPr>
        <w:t>Medicine, Shanghai East Hospital, Bioinformatics Department, School of Life Sciences</w:t>
      </w:r>
    </w:p>
    <w:p w:rsidR="00AA0BFD" w:rsidRPr="009662BC" w:rsidRDefault="00AA0BFD" w:rsidP="00AA0B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szCs w:val="21"/>
        </w:rPr>
      </w:pPr>
      <w:r w:rsidRPr="009662BC">
        <w:rPr>
          <w:szCs w:val="21"/>
        </w:rPr>
        <w:t>and Technology, Tongji University, Shanghai 200092, China.</w:t>
      </w:r>
    </w:p>
    <w:p w:rsidR="00AA0BFD" w:rsidRDefault="00AA0BFD" w:rsidP="00AA0B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szCs w:val="21"/>
          <w:lang w:val="en-GB"/>
        </w:rPr>
      </w:pPr>
      <w:r>
        <w:rPr>
          <w:rFonts w:hint="eastAsia"/>
          <w:szCs w:val="21"/>
          <w:vertAlign w:val="superscript"/>
          <w:lang w:val="en-GB"/>
        </w:rPr>
        <w:t>2</w:t>
      </w:r>
      <w:r>
        <w:rPr>
          <w:szCs w:val="21"/>
        </w:rPr>
        <w:t>Department of Pharmacy, The First Affiliated Hospital of University of Science and Technology of China, Hefei, China</w:t>
      </w:r>
      <w:r>
        <w:rPr>
          <w:rFonts w:hint="eastAsia"/>
          <w:szCs w:val="21"/>
        </w:rPr>
        <w:t>.</w:t>
      </w:r>
    </w:p>
    <w:p w:rsidR="00AA0BFD" w:rsidRPr="00631AF3" w:rsidRDefault="00AA0BFD" w:rsidP="00AA0B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szCs w:val="21"/>
          <w:lang w:val="en-GB"/>
        </w:rPr>
      </w:pPr>
      <w:r>
        <w:rPr>
          <w:rFonts w:hint="eastAsia"/>
          <w:szCs w:val="21"/>
          <w:vertAlign w:val="superscript"/>
          <w:lang w:val="en-GB"/>
        </w:rPr>
        <w:t>3</w:t>
      </w:r>
      <w:r>
        <w:rPr>
          <w:szCs w:val="21"/>
          <w:lang w:val="en-GB"/>
        </w:rPr>
        <w:t>School of Life Science and Technology, ShanghaiTech University, Shanghai, China.</w:t>
      </w:r>
    </w:p>
    <w:p w:rsidR="00AA0BFD" w:rsidRPr="00D72F81" w:rsidRDefault="00AA0BFD" w:rsidP="00AA0BFD">
      <w:pPr>
        <w:rPr>
          <w:szCs w:val="21"/>
        </w:rPr>
      </w:pPr>
      <w:r>
        <w:rPr>
          <w:rFonts w:hint="eastAsia"/>
          <w:szCs w:val="21"/>
        </w:rPr>
        <w:t>#</w:t>
      </w:r>
      <w:r>
        <w:rPr>
          <w:szCs w:val="21"/>
        </w:rPr>
        <w:t xml:space="preserve"> Contribute equally</w:t>
      </w:r>
    </w:p>
    <w:p w:rsidR="00AA0BFD" w:rsidRDefault="00AA0BFD" w:rsidP="00AA0B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Style w:val="a5"/>
          <w:szCs w:val="21"/>
        </w:rPr>
      </w:pPr>
      <w:r>
        <w:rPr>
          <w:rFonts w:hint="eastAsia"/>
          <w:szCs w:val="21"/>
          <w:lang w:val="en-GB"/>
        </w:rPr>
        <w:t>Correspondence:</w:t>
      </w:r>
      <w:r>
        <w:rPr>
          <w:szCs w:val="21"/>
          <w:lang w:val="en-GB"/>
        </w:rPr>
        <w:t xml:space="preserve"> Qi Liu; </w:t>
      </w:r>
      <w:hyperlink r:id="rId5" w:history="1">
        <w:r w:rsidRPr="00591673">
          <w:rPr>
            <w:rStyle w:val="a5"/>
            <w:rFonts w:hint="eastAsia"/>
            <w:szCs w:val="21"/>
          </w:rPr>
          <w:t>qiliu@tongji.edu.cn</w:t>
        </w:r>
      </w:hyperlink>
    </w:p>
    <w:p w:rsidR="00AA0BFD" w:rsidRPr="002C1736" w:rsidRDefault="00AA0BFD" w:rsidP="00AA0B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szCs w:val="21"/>
          <w:lang w:val="en-GB"/>
        </w:rPr>
      </w:pPr>
      <w:r w:rsidRPr="009662BC">
        <w:rPr>
          <w:rStyle w:val="a5"/>
          <w:szCs w:val="21"/>
        </w:rPr>
        <w:t xml:space="preserve">              </w:t>
      </w:r>
      <w:r>
        <w:rPr>
          <w:rStyle w:val="a5"/>
          <w:szCs w:val="21"/>
        </w:rPr>
        <w:t xml:space="preserve">Zhaoyi Yang; </w:t>
      </w:r>
      <w:r w:rsidRPr="00840267">
        <w:rPr>
          <w:rStyle w:val="a5"/>
          <w:szCs w:val="21"/>
        </w:rPr>
        <w:t>young2382@163.com</w:t>
      </w:r>
    </w:p>
    <w:p w:rsidR="00407F54" w:rsidRDefault="00407F54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9002B" w:rsidP="00B9310D">
      <w:pPr>
        <w:jc w:val="both"/>
        <w:rPr>
          <w:lang w:val="en-GB"/>
        </w:rPr>
      </w:pPr>
    </w:p>
    <w:p w:rsidR="0099002B" w:rsidRDefault="009A1003" w:rsidP="00B9310D">
      <w:pPr>
        <w:jc w:val="both"/>
        <w:rPr>
          <w:lang w:val="en-GB"/>
        </w:rPr>
      </w:pPr>
      <w:r>
        <w:rPr>
          <w:rFonts w:hint="eastAsia"/>
          <w:noProof/>
          <w:lang w:val="en-GB"/>
        </w:rPr>
        <w:drawing>
          <wp:inline distT="0" distB="0" distL="0" distR="0">
            <wp:extent cx="5270500" cy="3448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36" w:rsidRDefault="00EB7E9E" w:rsidP="000A1FA5">
      <w:pPr>
        <w:jc w:val="both"/>
        <w:rPr>
          <w:sz w:val="16"/>
          <w:szCs w:val="16"/>
        </w:rPr>
      </w:pPr>
      <w:bookmarkStart w:id="8" w:name="OLE_LINK113"/>
      <w:bookmarkStart w:id="9" w:name="OLE_LINK134"/>
      <w:r>
        <w:rPr>
          <w:rFonts w:hint="eastAsia"/>
          <w:b/>
          <w:sz w:val="16"/>
          <w:szCs w:val="16"/>
        </w:rPr>
        <w:t xml:space="preserve">Figure </w:t>
      </w:r>
      <w:r w:rsidR="00EE59F6">
        <w:rPr>
          <w:b/>
          <w:sz w:val="16"/>
          <w:szCs w:val="16"/>
        </w:rPr>
        <w:t>S1</w:t>
      </w:r>
      <w:r>
        <w:rPr>
          <w:b/>
          <w:sz w:val="16"/>
          <w:szCs w:val="16"/>
        </w:rPr>
        <w:t xml:space="preserve"> </w:t>
      </w:r>
      <w:r w:rsidR="00831536">
        <w:rPr>
          <w:rFonts w:ascii="Times" w:hAnsi="Times" w:cs="Times"/>
          <w:color w:val="000000"/>
          <w:sz w:val="16"/>
          <w:szCs w:val="16"/>
        </w:rPr>
        <w:t xml:space="preserve">Univariate Cox regression survival analysis of </w:t>
      </w:r>
      <w:r w:rsidR="00831536">
        <w:rPr>
          <w:rFonts w:ascii="Times" w:hAnsi="Times" w:cs="Times" w:hint="eastAsia"/>
          <w:color w:val="000000"/>
          <w:sz w:val="16"/>
          <w:szCs w:val="16"/>
        </w:rPr>
        <w:t xml:space="preserve">9 biomarkers including </w:t>
      </w:r>
      <w:r w:rsidR="00831536">
        <w:rPr>
          <w:sz w:val="16"/>
          <w:szCs w:val="16"/>
        </w:rPr>
        <w:t>RE</w:t>
      </w:r>
      <w:r w:rsidR="00831536">
        <w:rPr>
          <w:rFonts w:ascii="Times" w:hAnsi="Times" w:cs="Times" w:hint="eastAsia"/>
          <w:color w:val="000000"/>
          <w:sz w:val="16"/>
          <w:szCs w:val="16"/>
        </w:rPr>
        <w:t xml:space="preserve"> neoantigen burden (RNB), somatic neoantigen burden (SNB), expression of immune markers, cytolytic activity (CYT), cytotoxic T lymphocyte abundance (CTL) and clinical covariates (age and gender) in 12 cancer types.</w:t>
      </w:r>
    </w:p>
    <w:p w:rsidR="00EB7E9E" w:rsidRDefault="00EB7E9E" w:rsidP="00831536">
      <w:pPr>
        <w:jc w:val="both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>.</w:t>
      </w:r>
      <w:bookmarkEnd w:id="8"/>
      <w:bookmarkEnd w:id="9"/>
      <w:r>
        <w:rPr>
          <w:sz w:val="16"/>
          <w:szCs w:val="16"/>
        </w:rPr>
        <w:t xml:space="preserve"> </w:t>
      </w:r>
    </w:p>
    <w:p w:rsidR="007B3A72" w:rsidRDefault="007B3A72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</w:p>
    <w:p w:rsidR="00FC2E9F" w:rsidRDefault="00FC2E9F" w:rsidP="00B9310D">
      <w:pPr>
        <w:jc w:val="both"/>
        <w:rPr>
          <w:lang w:val="en-GB"/>
        </w:rPr>
      </w:pPr>
      <w:r>
        <w:rPr>
          <w:rFonts w:hint="eastAsia"/>
          <w:noProof/>
          <w:lang w:val="en-GB"/>
        </w:rPr>
        <w:drawing>
          <wp:inline distT="0" distB="0" distL="0" distR="0">
            <wp:extent cx="5270500" cy="38423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3F" w:rsidRDefault="001D1B3F" w:rsidP="00831536">
      <w:pPr>
        <w:jc w:val="both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Figure </w:t>
      </w:r>
      <w:r>
        <w:rPr>
          <w:b/>
          <w:sz w:val="16"/>
          <w:szCs w:val="16"/>
        </w:rPr>
        <w:t xml:space="preserve">S2 </w:t>
      </w:r>
      <w:bookmarkStart w:id="10" w:name="OLE_LINK153"/>
      <w:bookmarkStart w:id="11" w:name="OLE_LINK160"/>
      <w:r w:rsidRPr="00324271">
        <w:rPr>
          <w:b/>
          <w:sz w:val="16"/>
          <w:szCs w:val="16"/>
        </w:rPr>
        <w:t xml:space="preserve">Association between </w:t>
      </w:r>
      <w:r>
        <w:rPr>
          <w:sz w:val="16"/>
          <w:szCs w:val="16"/>
        </w:rPr>
        <w:t>RE</w:t>
      </w:r>
      <w:r w:rsidRPr="00324271">
        <w:rPr>
          <w:b/>
          <w:sz w:val="16"/>
          <w:szCs w:val="16"/>
        </w:rPr>
        <w:t xml:space="preserve"> neoantigen </w:t>
      </w:r>
      <w:r w:rsidRPr="00324271">
        <w:rPr>
          <w:rFonts w:hint="eastAsia"/>
          <w:b/>
          <w:sz w:val="16"/>
          <w:szCs w:val="16"/>
        </w:rPr>
        <w:t>burden</w:t>
      </w:r>
      <w:r>
        <w:rPr>
          <w:b/>
          <w:sz w:val="16"/>
          <w:szCs w:val="16"/>
        </w:rPr>
        <w:t xml:space="preserve"> (RNB) </w:t>
      </w:r>
      <w:r w:rsidRPr="00324271">
        <w:rPr>
          <w:b/>
          <w:sz w:val="16"/>
          <w:szCs w:val="16"/>
        </w:rPr>
        <w:t>and patient clinical characteristics.</w:t>
      </w:r>
      <w:r>
        <w:rPr>
          <w:sz w:val="16"/>
          <w:szCs w:val="16"/>
        </w:rPr>
        <w:t xml:space="preserve"> (A)</w:t>
      </w:r>
      <w:bookmarkStart w:id="12" w:name="OLE_LINK274"/>
      <w:bookmarkStart w:id="13" w:name="OLE_LINK273"/>
      <w:r>
        <w:rPr>
          <w:sz w:val="16"/>
          <w:szCs w:val="16"/>
        </w:rPr>
        <w:t xml:space="preserve"> Correlation between somatic neoantigen burden (SNB), RE</w:t>
      </w:r>
      <w:r w:rsidDel="006438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neoantigen </w:t>
      </w:r>
      <w:r>
        <w:rPr>
          <w:rFonts w:hint="eastAsia"/>
          <w:sz w:val="16"/>
          <w:szCs w:val="16"/>
        </w:rPr>
        <w:t>burden</w:t>
      </w:r>
      <w:r>
        <w:rPr>
          <w:sz w:val="16"/>
          <w:szCs w:val="16"/>
        </w:rPr>
        <w:t xml:space="preserve"> (RNB), cytolytic activity. Spearman rank corraltion and corresponding p value showed. (B)</w:t>
      </w:r>
      <w:bookmarkStart w:id="14" w:name="OLE_LINK135"/>
      <w:bookmarkStart w:id="15" w:name="OLE_LINK142"/>
      <w:r>
        <w:rPr>
          <w:sz w:val="16"/>
          <w:szCs w:val="16"/>
        </w:rPr>
        <w:t xml:space="preserve"> Association between</w:t>
      </w:r>
      <w:r w:rsidRPr="001B5DB6">
        <w:rPr>
          <w:sz w:val="16"/>
          <w:szCs w:val="16"/>
        </w:rPr>
        <w:t xml:space="preserve"> </w:t>
      </w:r>
      <w:r>
        <w:rPr>
          <w:sz w:val="16"/>
          <w:szCs w:val="16"/>
        </w:rPr>
        <w:t>RE</w:t>
      </w:r>
      <w:r w:rsidDel="006438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neoantigen </w:t>
      </w:r>
      <w:r>
        <w:rPr>
          <w:rFonts w:hint="eastAsia"/>
          <w:sz w:val="16"/>
          <w:szCs w:val="16"/>
        </w:rPr>
        <w:t>burden</w:t>
      </w:r>
      <w:r>
        <w:rPr>
          <w:sz w:val="16"/>
          <w:szCs w:val="16"/>
        </w:rPr>
        <w:t xml:space="preserve"> (RNB) and</w:t>
      </w:r>
      <w:bookmarkEnd w:id="14"/>
      <w:bookmarkEnd w:id="15"/>
      <w:r>
        <w:rPr>
          <w:sz w:val="16"/>
          <w:szCs w:val="16"/>
        </w:rPr>
        <w:t xml:space="preserve"> age. (C) Association between RE</w:t>
      </w:r>
      <w:r w:rsidDel="006438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neoantigen </w:t>
      </w:r>
      <w:r>
        <w:rPr>
          <w:rFonts w:hint="eastAsia"/>
          <w:sz w:val="16"/>
          <w:szCs w:val="16"/>
        </w:rPr>
        <w:t>burden</w:t>
      </w:r>
      <w:r>
        <w:rPr>
          <w:sz w:val="16"/>
          <w:szCs w:val="16"/>
        </w:rPr>
        <w:t xml:space="preserve"> (RNB) and disease status. (D) </w:t>
      </w:r>
      <w:bookmarkStart w:id="16" w:name="OLE_LINK143"/>
      <w:bookmarkStart w:id="17" w:name="OLE_LINK144"/>
      <w:r>
        <w:rPr>
          <w:sz w:val="16"/>
          <w:szCs w:val="16"/>
        </w:rPr>
        <w:t>Association between RE</w:t>
      </w:r>
      <w:r w:rsidDel="006438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neoantigen </w:t>
      </w:r>
      <w:r>
        <w:rPr>
          <w:rFonts w:hint="eastAsia"/>
          <w:sz w:val="16"/>
          <w:szCs w:val="16"/>
        </w:rPr>
        <w:t>burden</w:t>
      </w:r>
      <w:r>
        <w:rPr>
          <w:sz w:val="16"/>
          <w:szCs w:val="16"/>
        </w:rPr>
        <w:t xml:space="preserve"> (RNB) and</w:t>
      </w:r>
      <w:bookmarkEnd w:id="16"/>
      <w:bookmarkEnd w:id="17"/>
      <w:r>
        <w:rPr>
          <w:sz w:val="16"/>
          <w:szCs w:val="16"/>
        </w:rPr>
        <w:t xml:space="preserve"> gender. (E) </w:t>
      </w:r>
      <w:bookmarkStart w:id="18" w:name="OLE_LINK147"/>
      <w:bookmarkStart w:id="19" w:name="OLE_LINK148"/>
      <w:r>
        <w:rPr>
          <w:sz w:val="16"/>
          <w:szCs w:val="16"/>
        </w:rPr>
        <w:t xml:space="preserve">Association between RE neoantigen </w:t>
      </w:r>
      <w:r>
        <w:rPr>
          <w:rFonts w:hint="eastAsia"/>
          <w:sz w:val="16"/>
          <w:szCs w:val="16"/>
        </w:rPr>
        <w:t>burden</w:t>
      </w:r>
      <w:r>
        <w:rPr>
          <w:sz w:val="16"/>
          <w:szCs w:val="16"/>
        </w:rPr>
        <w:t xml:space="preserve"> (RNB) and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MAPKi therapy status </w:t>
      </w:r>
      <w:r>
        <w:rPr>
          <w:rFonts w:hint="eastAsia"/>
          <w:sz w:val="16"/>
          <w:szCs w:val="16"/>
        </w:rPr>
        <w:t>in Hugo cohort</w:t>
      </w:r>
      <w:bookmarkEnd w:id="18"/>
      <w:bookmarkEnd w:id="19"/>
      <w:r>
        <w:rPr>
          <w:rFonts w:hint="eastAsia"/>
          <w:sz w:val="16"/>
          <w:szCs w:val="16"/>
        </w:rPr>
        <w:t xml:space="preserve">. (F) </w:t>
      </w:r>
      <w:r>
        <w:rPr>
          <w:sz w:val="16"/>
          <w:szCs w:val="16"/>
        </w:rPr>
        <w:t>Association between RE</w:t>
      </w:r>
      <w:r w:rsidDel="006438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neoantigen </w:t>
      </w:r>
      <w:r>
        <w:rPr>
          <w:rFonts w:hint="eastAsia"/>
          <w:sz w:val="16"/>
          <w:szCs w:val="16"/>
        </w:rPr>
        <w:t>burden</w:t>
      </w:r>
      <w:r>
        <w:rPr>
          <w:sz w:val="16"/>
          <w:szCs w:val="16"/>
        </w:rPr>
        <w:t xml:space="preserve"> (RNB) and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MAPKi therapy status </w:t>
      </w:r>
      <w:r>
        <w:rPr>
          <w:rFonts w:hint="eastAsia"/>
          <w:sz w:val="16"/>
          <w:szCs w:val="16"/>
        </w:rPr>
        <w:t>in Van Allen cohort</w:t>
      </w:r>
      <w:r>
        <w:rPr>
          <w:sz w:val="16"/>
          <w:szCs w:val="16"/>
        </w:rPr>
        <w:t>. Two-side Mann-Whiney U test p-values &gt; 0.05.</w:t>
      </w:r>
      <w:bookmarkEnd w:id="12"/>
      <w:bookmarkEnd w:id="13"/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G</w:t>
      </w:r>
      <w:r>
        <w:rPr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 xml:space="preserve">Univariate and multivariate Cox regression survival analysis somatic neoantigen burden (SNB), </w:t>
      </w:r>
      <w:r>
        <w:rPr>
          <w:sz w:val="16"/>
          <w:szCs w:val="16"/>
        </w:rPr>
        <w:t>RE</w:t>
      </w:r>
      <w:r w:rsidDel="006438E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neoantigen burden (RNB), </w:t>
      </w:r>
      <w:r>
        <w:rPr>
          <w:sz w:val="16"/>
          <w:szCs w:val="16"/>
        </w:rPr>
        <w:t>RE</w:t>
      </w:r>
      <w:r w:rsidDel="006438E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neoantigen immunogenicity score (RENIS) and immune cell abundance (</w:t>
      </w:r>
      <w:r>
        <w:rPr>
          <w:sz w:val="16"/>
        </w:rPr>
        <w:t>cytotoxic T lymphocytes</w:t>
      </w:r>
      <w:r>
        <w:rPr>
          <w:color w:val="000000"/>
          <w:sz w:val="16"/>
          <w:szCs w:val="16"/>
        </w:rPr>
        <w:t xml:space="preserve"> and CD8+ T cells) </w:t>
      </w:r>
      <w:r>
        <w:rPr>
          <w:sz w:val="16"/>
          <w:szCs w:val="16"/>
        </w:rPr>
        <w:t xml:space="preserve">in </w:t>
      </w:r>
      <w:r>
        <w:rPr>
          <w:rFonts w:eastAsia="Times New Roman"/>
          <w:color w:val="000000" w:themeColor="text1"/>
          <w:spacing w:val="3"/>
          <w:kern w:val="36"/>
          <w:sz w:val="16"/>
          <w:szCs w:val="16"/>
        </w:rPr>
        <w:t xml:space="preserve">Hugo and Van Allen patient cohorts. </w:t>
      </w:r>
      <w:r>
        <w:rPr>
          <w:sz w:val="16"/>
          <w:szCs w:val="16"/>
        </w:rPr>
        <w:t xml:space="preserve">SNB: Somatic neoantigen burden; RNB: RE neoantigen burden; RENIS: RE neoantigen immunogenicity score; CTL: </w:t>
      </w:r>
      <w:r>
        <w:rPr>
          <w:rFonts w:eastAsia="Times New Roman"/>
          <w:color w:val="000000"/>
          <w:sz w:val="16"/>
          <w:szCs w:val="16"/>
        </w:rPr>
        <w:t>Cytotoxic T lymphocyte</w:t>
      </w:r>
    </w:p>
    <w:bookmarkEnd w:id="10"/>
    <w:bookmarkEnd w:id="11"/>
    <w:p w:rsidR="00FD3457" w:rsidRPr="001D1B3F" w:rsidRDefault="00FD3457" w:rsidP="00B9310D">
      <w:pPr>
        <w:jc w:val="both"/>
      </w:pPr>
    </w:p>
    <w:p w:rsidR="00FD3457" w:rsidRPr="00947EF6" w:rsidRDefault="00FD3457" w:rsidP="00B9310D">
      <w:pPr>
        <w:jc w:val="both"/>
        <w:rPr>
          <w:lang w:val="en-GB"/>
        </w:rPr>
      </w:pPr>
    </w:p>
    <w:sectPr w:rsidR="00FD3457" w:rsidRPr="00947EF6" w:rsidSect="003443D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9DA"/>
    <w:multiLevelType w:val="hybridMultilevel"/>
    <w:tmpl w:val="BD585698"/>
    <w:lvl w:ilvl="0" w:tplc="F5020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86"/>
    <w:rsid w:val="00000015"/>
    <w:rsid w:val="00004BCD"/>
    <w:rsid w:val="00005A06"/>
    <w:rsid w:val="000111B6"/>
    <w:rsid w:val="0005196E"/>
    <w:rsid w:val="0006304B"/>
    <w:rsid w:val="00071175"/>
    <w:rsid w:val="0008338F"/>
    <w:rsid w:val="000855EC"/>
    <w:rsid w:val="000873E0"/>
    <w:rsid w:val="000874EB"/>
    <w:rsid w:val="000919CE"/>
    <w:rsid w:val="000A1FA5"/>
    <w:rsid w:val="000B0619"/>
    <w:rsid w:val="000B08E9"/>
    <w:rsid w:val="000B6F0A"/>
    <w:rsid w:val="000B7172"/>
    <w:rsid w:val="000C7705"/>
    <w:rsid w:val="000D05B1"/>
    <w:rsid w:val="000D7C02"/>
    <w:rsid w:val="000F25BC"/>
    <w:rsid w:val="000F4AD0"/>
    <w:rsid w:val="001005DE"/>
    <w:rsid w:val="001113E1"/>
    <w:rsid w:val="00115F11"/>
    <w:rsid w:val="0012633D"/>
    <w:rsid w:val="00131AFE"/>
    <w:rsid w:val="00141CB1"/>
    <w:rsid w:val="00147096"/>
    <w:rsid w:val="00150C2D"/>
    <w:rsid w:val="001523F3"/>
    <w:rsid w:val="00162588"/>
    <w:rsid w:val="0016756E"/>
    <w:rsid w:val="00175446"/>
    <w:rsid w:val="001852B4"/>
    <w:rsid w:val="00187657"/>
    <w:rsid w:val="00191BB4"/>
    <w:rsid w:val="00196B1E"/>
    <w:rsid w:val="001A143E"/>
    <w:rsid w:val="001A2179"/>
    <w:rsid w:val="001B5C06"/>
    <w:rsid w:val="001B7B98"/>
    <w:rsid w:val="001C0C7A"/>
    <w:rsid w:val="001C7AE4"/>
    <w:rsid w:val="001D1B3F"/>
    <w:rsid w:val="001D4688"/>
    <w:rsid w:val="001E446C"/>
    <w:rsid w:val="001E44F4"/>
    <w:rsid w:val="001E5791"/>
    <w:rsid w:val="001F389E"/>
    <w:rsid w:val="00203A94"/>
    <w:rsid w:val="002220C8"/>
    <w:rsid w:val="002226A1"/>
    <w:rsid w:val="00226E3F"/>
    <w:rsid w:val="002277C0"/>
    <w:rsid w:val="00231D88"/>
    <w:rsid w:val="002364A3"/>
    <w:rsid w:val="002447D5"/>
    <w:rsid w:val="0026086D"/>
    <w:rsid w:val="002640FC"/>
    <w:rsid w:val="0027248F"/>
    <w:rsid w:val="0027306C"/>
    <w:rsid w:val="00280DA7"/>
    <w:rsid w:val="0028115D"/>
    <w:rsid w:val="00282C2A"/>
    <w:rsid w:val="00284CE1"/>
    <w:rsid w:val="00293E87"/>
    <w:rsid w:val="002A2595"/>
    <w:rsid w:val="002A562B"/>
    <w:rsid w:val="002A5BCA"/>
    <w:rsid w:val="002B10C3"/>
    <w:rsid w:val="002B78C7"/>
    <w:rsid w:val="002C5488"/>
    <w:rsid w:val="002D68CE"/>
    <w:rsid w:val="002D770B"/>
    <w:rsid w:val="002E5423"/>
    <w:rsid w:val="002E7265"/>
    <w:rsid w:val="002E7BEE"/>
    <w:rsid w:val="002F0B77"/>
    <w:rsid w:val="002F0C08"/>
    <w:rsid w:val="002F527E"/>
    <w:rsid w:val="002F7F93"/>
    <w:rsid w:val="0030429E"/>
    <w:rsid w:val="00304FA0"/>
    <w:rsid w:val="00307A99"/>
    <w:rsid w:val="003136AE"/>
    <w:rsid w:val="00314B3E"/>
    <w:rsid w:val="00321C9C"/>
    <w:rsid w:val="00322919"/>
    <w:rsid w:val="003443D3"/>
    <w:rsid w:val="003625FF"/>
    <w:rsid w:val="00362B47"/>
    <w:rsid w:val="00367FDB"/>
    <w:rsid w:val="00370156"/>
    <w:rsid w:val="0037561D"/>
    <w:rsid w:val="003767CC"/>
    <w:rsid w:val="00380291"/>
    <w:rsid w:val="003847B4"/>
    <w:rsid w:val="00395BBD"/>
    <w:rsid w:val="003B3396"/>
    <w:rsid w:val="003B4266"/>
    <w:rsid w:val="003B606F"/>
    <w:rsid w:val="003C1307"/>
    <w:rsid w:val="003C28BF"/>
    <w:rsid w:val="003C3748"/>
    <w:rsid w:val="003C3E14"/>
    <w:rsid w:val="003D4315"/>
    <w:rsid w:val="003E78DF"/>
    <w:rsid w:val="003F64EB"/>
    <w:rsid w:val="004018B2"/>
    <w:rsid w:val="00402529"/>
    <w:rsid w:val="00403FA2"/>
    <w:rsid w:val="00405E68"/>
    <w:rsid w:val="00407F54"/>
    <w:rsid w:val="004336D1"/>
    <w:rsid w:val="00436BCC"/>
    <w:rsid w:val="00462BBC"/>
    <w:rsid w:val="00472466"/>
    <w:rsid w:val="00476844"/>
    <w:rsid w:val="00477B5C"/>
    <w:rsid w:val="00480F25"/>
    <w:rsid w:val="00490365"/>
    <w:rsid w:val="00491A53"/>
    <w:rsid w:val="00492A39"/>
    <w:rsid w:val="00492A82"/>
    <w:rsid w:val="004A0D25"/>
    <w:rsid w:val="004A3FAF"/>
    <w:rsid w:val="004A731F"/>
    <w:rsid w:val="004A7494"/>
    <w:rsid w:val="004B7136"/>
    <w:rsid w:val="004D79D0"/>
    <w:rsid w:val="004E251A"/>
    <w:rsid w:val="004F23DF"/>
    <w:rsid w:val="004F6371"/>
    <w:rsid w:val="004F703F"/>
    <w:rsid w:val="005000C6"/>
    <w:rsid w:val="0050245C"/>
    <w:rsid w:val="005055E3"/>
    <w:rsid w:val="00513323"/>
    <w:rsid w:val="00515EB8"/>
    <w:rsid w:val="00516F96"/>
    <w:rsid w:val="0052240A"/>
    <w:rsid w:val="005306FA"/>
    <w:rsid w:val="0053424E"/>
    <w:rsid w:val="00534584"/>
    <w:rsid w:val="00544523"/>
    <w:rsid w:val="00554E78"/>
    <w:rsid w:val="00561058"/>
    <w:rsid w:val="005618C5"/>
    <w:rsid w:val="00561C04"/>
    <w:rsid w:val="005654C8"/>
    <w:rsid w:val="00567F81"/>
    <w:rsid w:val="00570031"/>
    <w:rsid w:val="005729AA"/>
    <w:rsid w:val="00574FEA"/>
    <w:rsid w:val="0057507F"/>
    <w:rsid w:val="0057705C"/>
    <w:rsid w:val="00586D14"/>
    <w:rsid w:val="005A49D7"/>
    <w:rsid w:val="005B0001"/>
    <w:rsid w:val="005C7138"/>
    <w:rsid w:val="005D1C08"/>
    <w:rsid w:val="005D52F8"/>
    <w:rsid w:val="005E1C45"/>
    <w:rsid w:val="005E2E34"/>
    <w:rsid w:val="005F167B"/>
    <w:rsid w:val="005F690B"/>
    <w:rsid w:val="005F6CBC"/>
    <w:rsid w:val="00606FF5"/>
    <w:rsid w:val="00615DFA"/>
    <w:rsid w:val="0062008A"/>
    <w:rsid w:val="0063244E"/>
    <w:rsid w:val="00635298"/>
    <w:rsid w:val="00661945"/>
    <w:rsid w:val="00666A05"/>
    <w:rsid w:val="006701CF"/>
    <w:rsid w:val="00694349"/>
    <w:rsid w:val="00694A37"/>
    <w:rsid w:val="00696764"/>
    <w:rsid w:val="006A31B9"/>
    <w:rsid w:val="006A5144"/>
    <w:rsid w:val="006B17F3"/>
    <w:rsid w:val="006B6B95"/>
    <w:rsid w:val="006C3C82"/>
    <w:rsid w:val="006D7FD3"/>
    <w:rsid w:val="006F4BBF"/>
    <w:rsid w:val="0070127E"/>
    <w:rsid w:val="0071476F"/>
    <w:rsid w:val="007231FE"/>
    <w:rsid w:val="007314CA"/>
    <w:rsid w:val="00732479"/>
    <w:rsid w:val="0073672B"/>
    <w:rsid w:val="00744534"/>
    <w:rsid w:val="00745B98"/>
    <w:rsid w:val="00745FD5"/>
    <w:rsid w:val="00752343"/>
    <w:rsid w:val="0075519A"/>
    <w:rsid w:val="007553D1"/>
    <w:rsid w:val="007659E9"/>
    <w:rsid w:val="00766D00"/>
    <w:rsid w:val="00790399"/>
    <w:rsid w:val="00790EDD"/>
    <w:rsid w:val="007B3A72"/>
    <w:rsid w:val="007B55F1"/>
    <w:rsid w:val="007B62CC"/>
    <w:rsid w:val="007C26F5"/>
    <w:rsid w:val="007C5C0D"/>
    <w:rsid w:val="007D1A46"/>
    <w:rsid w:val="007D640A"/>
    <w:rsid w:val="007D67BD"/>
    <w:rsid w:val="007D7A2F"/>
    <w:rsid w:val="007E1D4D"/>
    <w:rsid w:val="007E36DB"/>
    <w:rsid w:val="007E5AFA"/>
    <w:rsid w:val="007E5B1B"/>
    <w:rsid w:val="007E5B20"/>
    <w:rsid w:val="007F3AFA"/>
    <w:rsid w:val="007F5CD1"/>
    <w:rsid w:val="007F77C9"/>
    <w:rsid w:val="00801F2A"/>
    <w:rsid w:val="00802B0B"/>
    <w:rsid w:val="00816E38"/>
    <w:rsid w:val="00820E27"/>
    <w:rsid w:val="00831536"/>
    <w:rsid w:val="00835423"/>
    <w:rsid w:val="008445CC"/>
    <w:rsid w:val="0084651D"/>
    <w:rsid w:val="00846887"/>
    <w:rsid w:val="008543E0"/>
    <w:rsid w:val="00855A06"/>
    <w:rsid w:val="00855FE9"/>
    <w:rsid w:val="00856C48"/>
    <w:rsid w:val="00856C4A"/>
    <w:rsid w:val="00864A1F"/>
    <w:rsid w:val="0086601A"/>
    <w:rsid w:val="0086791D"/>
    <w:rsid w:val="00867CEF"/>
    <w:rsid w:val="00871CA1"/>
    <w:rsid w:val="008762D6"/>
    <w:rsid w:val="00882FA9"/>
    <w:rsid w:val="008863D6"/>
    <w:rsid w:val="00897D0F"/>
    <w:rsid w:val="008B09A2"/>
    <w:rsid w:val="008B20EA"/>
    <w:rsid w:val="008B2168"/>
    <w:rsid w:val="008B48AB"/>
    <w:rsid w:val="008B606C"/>
    <w:rsid w:val="008E2E1D"/>
    <w:rsid w:val="0091070E"/>
    <w:rsid w:val="00917EE9"/>
    <w:rsid w:val="00920BFA"/>
    <w:rsid w:val="00934EDD"/>
    <w:rsid w:val="00937781"/>
    <w:rsid w:val="00940182"/>
    <w:rsid w:val="00947EF6"/>
    <w:rsid w:val="00953CA9"/>
    <w:rsid w:val="00956F28"/>
    <w:rsid w:val="0096178A"/>
    <w:rsid w:val="00963AAF"/>
    <w:rsid w:val="00966FFE"/>
    <w:rsid w:val="009751B7"/>
    <w:rsid w:val="00975E8D"/>
    <w:rsid w:val="009834DD"/>
    <w:rsid w:val="00986DFA"/>
    <w:rsid w:val="0099002B"/>
    <w:rsid w:val="009929D6"/>
    <w:rsid w:val="009941AD"/>
    <w:rsid w:val="00994A71"/>
    <w:rsid w:val="00994FB4"/>
    <w:rsid w:val="009A1003"/>
    <w:rsid w:val="009A18DA"/>
    <w:rsid w:val="009A45EF"/>
    <w:rsid w:val="009A473D"/>
    <w:rsid w:val="009A500E"/>
    <w:rsid w:val="009B507D"/>
    <w:rsid w:val="009C2996"/>
    <w:rsid w:val="009C4BE1"/>
    <w:rsid w:val="009D1C94"/>
    <w:rsid w:val="009F1402"/>
    <w:rsid w:val="00A048B0"/>
    <w:rsid w:val="00A04D16"/>
    <w:rsid w:val="00A06FAF"/>
    <w:rsid w:val="00A10083"/>
    <w:rsid w:val="00A1316D"/>
    <w:rsid w:val="00A164CF"/>
    <w:rsid w:val="00A1671D"/>
    <w:rsid w:val="00A201DE"/>
    <w:rsid w:val="00A239A4"/>
    <w:rsid w:val="00A313B6"/>
    <w:rsid w:val="00A352B3"/>
    <w:rsid w:val="00A3538A"/>
    <w:rsid w:val="00A3696B"/>
    <w:rsid w:val="00A407A3"/>
    <w:rsid w:val="00A5273C"/>
    <w:rsid w:val="00A63212"/>
    <w:rsid w:val="00A64D98"/>
    <w:rsid w:val="00A67AAB"/>
    <w:rsid w:val="00A73A7E"/>
    <w:rsid w:val="00A74C56"/>
    <w:rsid w:val="00A75101"/>
    <w:rsid w:val="00A80194"/>
    <w:rsid w:val="00A94852"/>
    <w:rsid w:val="00A95121"/>
    <w:rsid w:val="00A97D94"/>
    <w:rsid w:val="00AA0BFD"/>
    <w:rsid w:val="00AA3E36"/>
    <w:rsid w:val="00AA5173"/>
    <w:rsid w:val="00AB45C5"/>
    <w:rsid w:val="00AB6F7F"/>
    <w:rsid w:val="00AD325A"/>
    <w:rsid w:val="00AD6A08"/>
    <w:rsid w:val="00AE2C3C"/>
    <w:rsid w:val="00AE4DA7"/>
    <w:rsid w:val="00AF10E1"/>
    <w:rsid w:val="00AF15C4"/>
    <w:rsid w:val="00AF2427"/>
    <w:rsid w:val="00AF3935"/>
    <w:rsid w:val="00AF64A5"/>
    <w:rsid w:val="00B0547C"/>
    <w:rsid w:val="00B102AB"/>
    <w:rsid w:val="00B30EA1"/>
    <w:rsid w:val="00B5163E"/>
    <w:rsid w:val="00B532E3"/>
    <w:rsid w:val="00B67B8E"/>
    <w:rsid w:val="00B71E7B"/>
    <w:rsid w:val="00B805CA"/>
    <w:rsid w:val="00B86424"/>
    <w:rsid w:val="00B9207F"/>
    <w:rsid w:val="00B92C92"/>
    <w:rsid w:val="00B92D47"/>
    <w:rsid w:val="00B9310D"/>
    <w:rsid w:val="00BA118A"/>
    <w:rsid w:val="00BA464B"/>
    <w:rsid w:val="00BB048F"/>
    <w:rsid w:val="00BB4EEF"/>
    <w:rsid w:val="00BB54AA"/>
    <w:rsid w:val="00BC0B87"/>
    <w:rsid w:val="00BC3B13"/>
    <w:rsid w:val="00BC71F7"/>
    <w:rsid w:val="00BC7D4D"/>
    <w:rsid w:val="00BE0208"/>
    <w:rsid w:val="00BF0BC6"/>
    <w:rsid w:val="00BF0D98"/>
    <w:rsid w:val="00BF29DA"/>
    <w:rsid w:val="00BF4C44"/>
    <w:rsid w:val="00BF707C"/>
    <w:rsid w:val="00C00993"/>
    <w:rsid w:val="00C05008"/>
    <w:rsid w:val="00C10A13"/>
    <w:rsid w:val="00C10E86"/>
    <w:rsid w:val="00C1663C"/>
    <w:rsid w:val="00C24AE0"/>
    <w:rsid w:val="00C3513A"/>
    <w:rsid w:val="00C35A4D"/>
    <w:rsid w:val="00C460B9"/>
    <w:rsid w:val="00C517F9"/>
    <w:rsid w:val="00C51993"/>
    <w:rsid w:val="00C51F6E"/>
    <w:rsid w:val="00C5516C"/>
    <w:rsid w:val="00C55B05"/>
    <w:rsid w:val="00C65AC3"/>
    <w:rsid w:val="00C67DAD"/>
    <w:rsid w:val="00C87428"/>
    <w:rsid w:val="00C8787F"/>
    <w:rsid w:val="00C966FD"/>
    <w:rsid w:val="00C973D6"/>
    <w:rsid w:val="00CA50FA"/>
    <w:rsid w:val="00CB52CA"/>
    <w:rsid w:val="00CC0F0D"/>
    <w:rsid w:val="00CC37F9"/>
    <w:rsid w:val="00CC63F1"/>
    <w:rsid w:val="00CC74EC"/>
    <w:rsid w:val="00CD2EBC"/>
    <w:rsid w:val="00CD3934"/>
    <w:rsid w:val="00CD66D1"/>
    <w:rsid w:val="00CE4270"/>
    <w:rsid w:val="00CE78F0"/>
    <w:rsid w:val="00CF0EE6"/>
    <w:rsid w:val="00CF1DA0"/>
    <w:rsid w:val="00D10755"/>
    <w:rsid w:val="00D111B4"/>
    <w:rsid w:val="00D148FA"/>
    <w:rsid w:val="00D14DA0"/>
    <w:rsid w:val="00D2052A"/>
    <w:rsid w:val="00D231C2"/>
    <w:rsid w:val="00D31D80"/>
    <w:rsid w:val="00D33D16"/>
    <w:rsid w:val="00D340B6"/>
    <w:rsid w:val="00D40F2A"/>
    <w:rsid w:val="00D42F84"/>
    <w:rsid w:val="00D43DB2"/>
    <w:rsid w:val="00D441AC"/>
    <w:rsid w:val="00D5374C"/>
    <w:rsid w:val="00D56334"/>
    <w:rsid w:val="00D60FC8"/>
    <w:rsid w:val="00D649AB"/>
    <w:rsid w:val="00D711FB"/>
    <w:rsid w:val="00D7455E"/>
    <w:rsid w:val="00D8067C"/>
    <w:rsid w:val="00D87230"/>
    <w:rsid w:val="00D932D6"/>
    <w:rsid w:val="00DA4E33"/>
    <w:rsid w:val="00DA7B83"/>
    <w:rsid w:val="00DB75C7"/>
    <w:rsid w:val="00DC3051"/>
    <w:rsid w:val="00DC5BA6"/>
    <w:rsid w:val="00DD0147"/>
    <w:rsid w:val="00DD2778"/>
    <w:rsid w:val="00DD3B46"/>
    <w:rsid w:val="00DE7F27"/>
    <w:rsid w:val="00E05ACC"/>
    <w:rsid w:val="00E1315E"/>
    <w:rsid w:val="00E133BC"/>
    <w:rsid w:val="00E176A3"/>
    <w:rsid w:val="00E211E6"/>
    <w:rsid w:val="00E25561"/>
    <w:rsid w:val="00E36F12"/>
    <w:rsid w:val="00E42A04"/>
    <w:rsid w:val="00E455B9"/>
    <w:rsid w:val="00E50423"/>
    <w:rsid w:val="00E602A6"/>
    <w:rsid w:val="00E62CA7"/>
    <w:rsid w:val="00E63829"/>
    <w:rsid w:val="00E664E6"/>
    <w:rsid w:val="00E67537"/>
    <w:rsid w:val="00E74390"/>
    <w:rsid w:val="00E82969"/>
    <w:rsid w:val="00E8342D"/>
    <w:rsid w:val="00E87F3C"/>
    <w:rsid w:val="00E90F64"/>
    <w:rsid w:val="00EA6EC7"/>
    <w:rsid w:val="00EB3581"/>
    <w:rsid w:val="00EB4132"/>
    <w:rsid w:val="00EB7E9E"/>
    <w:rsid w:val="00EC0AF1"/>
    <w:rsid w:val="00EC7DF0"/>
    <w:rsid w:val="00EE2230"/>
    <w:rsid w:val="00EE470A"/>
    <w:rsid w:val="00EE59F6"/>
    <w:rsid w:val="00EF4B65"/>
    <w:rsid w:val="00EF75DC"/>
    <w:rsid w:val="00F24A9A"/>
    <w:rsid w:val="00F26994"/>
    <w:rsid w:val="00F30307"/>
    <w:rsid w:val="00F33842"/>
    <w:rsid w:val="00F33963"/>
    <w:rsid w:val="00F339DF"/>
    <w:rsid w:val="00F42DFC"/>
    <w:rsid w:val="00F4501A"/>
    <w:rsid w:val="00F5287E"/>
    <w:rsid w:val="00F56F07"/>
    <w:rsid w:val="00F722CC"/>
    <w:rsid w:val="00F822E4"/>
    <w:rsid w:val="00F82BDF"/>
    <w:rsid w:val="00F83EE1"/>
    <w:rsid w:val="00F84B34"/>
    <w:rsid w:val="00F87A4C"/>
    <w:rsid w:val="00F87C35"/>
    <w:rsid w:val="00F92543"/>
    <w:rsid w:val="00F93358"/>
    <w:rsid w:val="00FA0BDA"/>
    <w:rsid w:val="00FA521C"/>
    <w:rsid w:val="00FA69C8"/>
    <w:rsid w:val="00FC2E9F"/>
    <w:rsid w:val="00FC696E"/>
    <w:rsid w:val="00FD0B1D"/>
    <w:rsid w:val="00FD3457"/>
    <w:rsid w:val="00FD6044"/>
    <w:rsid w:val="00FD71F0"/>
    <w:rsid w:val="00FE0457"/>
    <w:rsid w:val="00FE0F16"/>
    <w:rsid w:val="00FE232F"/>
    <w:rsid w:val="00FE4ADE"/>
    <w:rsid w:val="00FE63C5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EC824BA-290B-CD42-A175-F89571D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696B"/>
    <w:rPr>
      <w:rFonts w:ascii="Times New Roman" w:eastAsia="DengXi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le">
    <w:name w:val="role"/>
    <w:basedOn w:val="a0"/>
    <w:rsid w:val="00C10E86"/>
  </w:style>
  <w:style w:type="character" w:styleId="a3">
    <w:name w:val="Strong"/>
    <w:basedOn w:val="a0"/>
    <w:uiPriority w:val="22"/>
    <w:qFormat/>
    <w:rsid w:val="00C10E86"/>
    <w:rPr>
      <w:b/>
      <w:bCs/>
    </w:rPr>
  </w:style>
  <w:style w:type="paragraph" w:styleId="a4">
    <w:name w:val="List Paragraph"/>
    <w:basedOn w:val="a"/>
    <w:uiPriority w:val="34"/>
    <w:qFormat/>
    <w:rsid w:val="009A45E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styleId="a5">
    <w:name w:val="Hyperlink"/>
    <w:basedOn w:val="a0"/>
    <w:uiPriority w:val="99"/>
    <w:unhideWhenUsed/>
    <w:qFormat/>
    <w:rsid w:val="00947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12">
          <w:marLeft w:val="225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71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32966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6151">
          <w:marLeft w:val="225"/>
          <w:marRight w:val="0"/>
          <w:marTop w:val="0"/>
          <w:marBottom w:val="390"/>
          <w:divBdr>
            <w:top w:val="single" w:sz="6" w:space="5" w:color="70717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3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984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780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3566">
          <w:marLeft w:val="225"/>
          <w:marRight w:val="0"/>
          <w:marTop w:val="0"/>
          <w:marBottom w:val="390"/>
          <w:divBdr>
            <w:top w:val="single" w:sz="6" w:space="5" w:color="70717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8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32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866454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6491">
          <w:marLeft w:val="225"/>
          <w:marRight w:val="0"/>
          <w:marTop w:val="0"/>
          <w:marBottom w:val="390"/>
          <w:divBdr>
            <w:top w:val="single" w:sz="6" w:space="5" w:color="70717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8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75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459559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5897">
          <w:marLeft w:val="225"/>
          <w:marRight w:val="0"/>
          <w:marTop w:val="0"/>
          <w:marBottom w:val="390"/>
          <w:divBdr>
            <w:top w:val="single" w:sz="6" w:space="5" w:color="70717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48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61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qiliu@tongji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chi</dc:creator>
  <cp:keywords/>
  <dc:description/>
  <cp:lastModifiedBy>xiao chi</cp:lastModifiedBy>
  <cp:revision>359</cp:revision>
  <dcterms:created xsi:type="dcterms:W3CDTF">2020-10-05T15:10:00Z</dcterms:created>
  <dcterms:modified xsi:type="dcterms:W3CDTF">2020-11-01T08:51:00Z</dcterms:modified>
</cp:coreProperties>
</file>