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7C2B0" w14:textId="1DC6C984" w:rsidR="00994A3D" w:rsidRPr="00A8633D" w:rsidRDefault="00654E8F" w:rsidP="00A8633D">
      <w:pPr>
        <w:pStyle w:val="SupplementaryMaterial"/>
        <w:rPr>
          <w:b w:val="0"/>
        </w:rPr>
      </w:pPr>
      <w:r w:rsidRPr="001549D3">
        <w:t>Supplementary Material</w:t>
      </w:r>
    </w:p>
    <w:p w14:paraId="067AD765" w14:textId="75234A56" w:rsidR="00AB2C1B" w:rsidRDefault="00AB2C1B" w:rsidP="00AB2C1B"/>
    <w:p w14:paraId="65E7CBBD" w14:textId="49ED9D94" w:rsidR="00A53D0E" w:rsidRDefault="00A53D0E" w:rsidP="00AB2C1B">
      <w:r>
        <w:rPr>
          <w:noProof/>
        </w:rPr>
        <w:drawing>
          <wp:inline distT="0" distB="0" distL="0" distR="0" wp14:anchorId="7E3BE1BF" wp14:editId="3E1F6E8E">
            <wp:extent cx="6208395" cy="50215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5021580"/>
                    </a:xfrm>
                    <a:prstGeom prst="rect">
                      <a:avLst/>
                    </a:prstGeom>
                    <a:noFill/>
                    <a:ln>
                      <a:noFill/>
                    </a:ln>
                  </pic:spPr>
                </pic:pic>
              </a:graphicData>
            </a:graphic>
          </wp:inline>
        </w:drawing>
      </w:r>
    </w:p>
    <w:p w14:paraId="6F89CD73" w14:textId="192085DB" w:rsidR="00A53D0E" w:rsidRDefault="00A53D0E" w:rsidP="00A53D0E">
      <w:pPr>
        <w:jc w:val="both"/>
        <w:rPr>
          <w:rFonts w:cs="Times New Roman"/>
          <w:szCs w:val="24"/>
        </w:rPr>
      </w:pPr>
      <w:r w:rsidRPr="00BE783A">
        <w:rPr>
          <w:rFonts w:cs="Times New Roman"/>
          <w:szCs w:val="24"/>
        </w:rPr>
        <w:t>Supplementary Figure 1</w:t>
      </w:r>
      <w:r>
        <w:rPr>
          <w:rFonts w:cs="Times New Roman"/>
          <w:szCs w:val="24"/>
        </w:rPr>
        <w:t>:</w:t>
      </w:r>
      <w:r w:rsidRPr="00BE783A">
        <w:rPr>
          <w:rFonts w:cs="Times New Roman"/>
          <w:szCs w:val="24"/>
        </w:rPr>
        <w:t xml:space="preserve"> Pearson correlation between </w:t>
      </w:r>
      <w:r w:rsidR="00E15AF2">
        <w:rPr>
          <w:rFonts w:cs="Times New Roman"/>
          <w:szCs w:val="24"/>
        </w:rPr>
        <w:t>PF</w:t>
      </w:r>
      <w:r>
        <w:rPr>
          <w:rFonts w:cs="Times New Roman"/>
          <w:szCs w:val="24"/>
        </w:rPr>
        <w:t xml:space="preserve"> ratio</w:t>
      </w:r>
      <w:r w:rsidRPr="00BE783A">
        <w:rPr>
          <w:rFonts w:cs="Times New Roman"/>
          <w:szCs w:val="24"/>
        </w:rPr>
        <w:t xml:space="preserve"> and N1 peak for each dataset.</w:t>
      </w:r>
    </w:p>
    <w:p w14:paraId="3BC31F71" w14:textId="77777777" w:rsidR="00A53D0E" w:rsidRPr="00AB2C1B" w:rsidRDefault="00A53D0E" w:rsidP="00AB2C1B"/>
    <w:p w14:paraId="6754D378" w14:textId="4B77157C" w:rsidR="00994A3D" w:rsidRPr="001549D3" w:rsidRDefault="00E15AF2" w:rsidP="00E15AF2">
      <w:pPr>
        <w:keepNext/>
        <w:jc w:val="center"/>
        <w:rPr>
          <w:rFonts w:cs="Times New Roman"/>
          <w:szCs w:val="24"/>
        </w:rPr>
      </w:pPr>
      <w:r>
        <w:rPr>
          <w:noProof/>
        </w:rPr>
        <w:lastRenderedPageBreak/>
        <w:drawing>
          <wp:inline distT="0" distB="0" distL="0" distR="0" wp14:anchorId="4E5FE47E" wp14:editId="479F75CD">
            <wp:extent cx="4070350" cy="50736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350" cy="5073650"/>
                    </a:xfrm>
                    <a:prstGeom prst="rect">
                      <a:avLst/>
                    </a:prstGeom>
                    <a:noFill/>
                    <a:ln>
                      <a:noFill/>
                    </a:ln>
                  </pic:spPr>
                </pic:pic>
              </a:graphicData>
            </a:graphic>
          </wp:inline>
        </w:drawing>
      </w:r>
    </w:p>
    <w:p w14:paraId="3C419443" w14:textId="3F018928" w:rsidR="00994A3D" w:rsidRDefault="00994A3D" w:rsidP="00994A3D">
      <w:pPr>
        <w:keepNext/>
        <w:jc w:val="center"/>
        <w:rPr>
          <w:rFonts w:cs="Times New Roman"/>
          <w:szCs w:val="24"/>
        </w:rPr>
      </w:pPr>
    </w:p>
    <w:p w14:paraId="255271E6" w14:textId="7A78796E" w:rsidR="00A53D0E" w:rsidRPr="00246FD6" w:rsidRDefault="00A53D0E" w:rsidP="00A53D0E">
      <w:pPr>
        <w:jc w:val="both"/>
        <w:rPr>
          <w:rFonts w:cs="Times New Roman"/>
          <w:szCs w:val="24"/>
        </w:rPr>
      </w:pPr>
      <w:r w:rsidRPr="00246FD6">
        <w:rPr>
          <w:rFonts w:cs="Times New Roman"/>
          <w:szCs w:val="24"/>
        </w:rPr>
        <w:t xml:space="preserve">Supplementary Figure 2: </w:t>
      </w:r>
      <w:r w:rsidR="00E15AF2">
        <w:rPr>
          <w:rFonts w:cs="Times New Roman"/>
          <w:szCs w:val="24"/>
        </w:rPr>
        <w:t>PF</w:t>
      </w:r>
      <w:r w:rsidRPr="00246FD6">
        <w:rPr>
          <w:rFonts w:cs="Times New Roman"/>
          <w:szCs w:val="24"/>
        </w:rPr>
        <w:t xml:space="preserve"> ratio bar plots for </w:t>
      </w:r>
      <w:r>
        <w:rPr>
          <w:rFonts w:cs="Times New Roman"/>
          <w:szCs w:val="24"/>
        </w:rPr>
        <w:t>patients 1-6</w:t>
      </w:r>
      <w:r w:rsidRPr="00246FD6">
        <w:rPr>
          <w:rFonts w:cs="Times New Roman"/>
          <w:szCs w:val="24"/>
        </w:rPr>
        <w:t>. (</w:t>
      </w:r>
      <w:r w:rsidRPr="00E5094B">
        <w:rPr>
          <w:rFonts w:cs="Times New Roman"/>
          <w:b/>
          <w:bCs/>
          <w:szCs w:val="24"/>
        </w:rPr>
        <w:t>A,B</w:t>
      </w:r>
      <w:r w:rsidRPr="00246FD6">
        <w:rPr>
          <w:rFonts w:cs="Times New Roman"/>
          <w:szCs w:val="24"/>
        </w:rPr>
        <w:t xml:space="preserve">) Top row are the bar graphs of the </w:t>
      </w:r>
      <w:r w:rsidR="00E15AF2">
        <w:rPr>
          <w:rFonts w:cs="Times New Roman"/>
          <w:szCs w:val="24"/>
        </w:rPr>
        <w:t xml:space="preserve">PF </w:t>
      </w:r>
      <w:r w:rsidRPr="00246FD6">
        <w:rPr>
          <w:rFonts w:cs="Times New Roman"/>
          <w:szCs w:val="24"/>
        </w:rPr>
        <w:t>ratio for Patients 1</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2, (</w:t>
      </w:r>
      <w:r w:rsidRPr="00E5094B">
        <w:rPr>
          <w:rFonts w:cs="Times New Roman"/>
          <w:b/>
          <w:bCs/>
          <w:szCs w:val="24"/>
        </w:rPr>
        <w:t>C,D</w:t>
      </w:r>
      <w:r w:rsidRPr="00246FD6">
        <w:rPr>
          <w:rFonts w:cs="Times New Roman"/>
          <w:szCs w:val="24"/>
        </w:rPr>
        <w:t>) middle row are patients 3</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4, and (</w:t>
      </w:r>
      <w:r w:rsidRPr="00E5094B">
        <w:rPr>
          <w:rFonts w:cs="Times New Roman"/>
          <w:b/>
          <w:bCs/>
          <w:szCs w:val="24"/>
        </w:rPr>
        <w:t>E,F</w:t>
      </w:r>
      <w:r w:rsidRPr="00246FD6">
        <w:rPr>
          <w:rFonts w:cs="Times New Roman"/>
          <w:szCs w:val="24"/>
        </w:rPr>
        <w:t>) bottom row are patients 5</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 xml:space="preserve">6. Red indicates electrode pairs in the clinically annotated seizure onset zone (SOZ), orange is early spread (EP), and grey are all others. </w:t>
      </w:r>
    </w:p>
    <w:p w14:paraId="58A057F0" w14:textId="17DD4195" w:rsidR="00A53D0E" w:rsidRDefault="00E15AF2" w:rsidP="00994A3D">
      <w:pPr>
        <w:keepNext/>
        <w:jc w:val="center"/>
        <w:rPr>
          <w:rFonts w:cs="Times New Roman"/>
          <w:szCs w:val="24"/>
        </w:rPr>
      </w:pPr>
      <w:r>
        <w:rPr>
          <w:noProof/>
        </w:rPr>
        <w:lastRenderedPageBreak/>
        <w:drawing>
          <wp:inline distT="0" distB="0" distL="0" distR="0" wp14:anchorId="7788A8C8" wp14:editId="714C5171">
            <wp:extent cx="3841750" cy="4895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1750" cy="4895850"/>
                    </a:xfrm>
                    <a:prstGeom prst="rect">
                      <a:avLst/>
                    </a:prstGeom>
                    <a:noFill/>
                    <a:ln>
                      <a:noFill/>
                    </a:ln>
                  </pic:spPr>
                </pic:pic>
              </a:graphicData>
            </a:graphic>
          </wp:inline>
        </w:drawing>
      </w:r>
    </w:p>
    <w:p w14:paraId="649C3C6D" w14:textId="6787290D" w:rsidR="00A53D0E" w:rsidRDefault="00A53D0E" w:rsidP="00994A3D">
      <w:pPr>
        <w:keepNext/>
        <w:jc w:val="center"/>
        <w:rPr>
          <w:rFonts w:cs="Times New Roman"/>
          <w:szCs w:val="24"/>
        </w:rPr>
      </w:pPr>
    </w:p>
    <w:p w14:paraId="52F70F29" w14:textId="532104AD" w:rsidR="00A53D0E" w:rsidRPr="00246FD6" w:rsidRDefault="00A53D0E" w:rsidP="00A53D0E">
      <w:pPr>
        <w:jc w:val="both"/>
        <w:rPr>
          <w:rFonts w:cs="Times New Roman"/>
          <w:szCs w:val="24"/>
        </w:rPr>
      </w:pPr>
      <w:r w:rsidRPr="00246FD6">
        <w:rPr>
          <w:rFonts w:cs="Times New Roman"/>
          <w:szCs w:val="24"/>
        </w:rPr>
        <w:t xml:space="preserve">Supplementary Figure 3: </w:t>
      </w:r>
      <w:r w:rsidR="00E15AF2">
        <w:rPr>
          <w:rFonts w:cs="Times New Roman"/>
          <w:szCs w:val="24"/>
        </w:rPr>
        <w:t>PF</w:t>
      </w:r>
      <w:r w:rsidRPr="00246FD6">
        <w:rPr>
          <w:rFonts w:cs="Times New Roman"/>
          <w:szCs w:val="24"/>
        </w:rPr>
        <w:t xml:space="preserve"> ratio bar plots </w:t>
      </w:r>
      <w:r>
        <w:rPr>
          <w:rFonts w:cs="Times New Roman"/>
          <w:szCs w:val="24"/>
        </w:rPr>
        <w:t>for patients 7-12</w:t>
      </w:r>
      <w:r w:rsidRPr="00246FD6">
        <w:rPr>
          <w:rFonts w:cs="Times New Roman"/>
          <w:szCs w:val="24"/>
        </w:rPr>
        <w:t>. (</w:t>
      </w:r>
      <w:r w:rsidRPr="00E5094B">
        <w:rPr>
          <w:rFonts w:cs="Times New Roman"/>
          <w:b/>
          <w:bCs/>
          <w:szCs w:val="24"/>
        </w:rPr>
        <w:t>A,B</w:t>
      </w:r>
      <w:r w:rsidRPr="00246FD6">
        <w:rPr>
          <w:rFonts w:cs="Times New Roman"/>
          <w:szCs w:val="24"/>
        </w:rPr>
        <w:t xml:space="preserve">) Top row are the bar graphs of the </w:t>
      </w:r>
      <w:r w:rsidR="00E15AF2">
        <w:rPr>
          <w:rFonts w:cs="Times New Roman"/>
          <w:szCs w:val="24"/>
        </w:rPr>
        <w:t>PF</w:t>
      </w:r>
      <w:r w:rsidRPr="00246FD6">
        <w:rPr>
          <w:rFonts w:cs="Times New Roman"/>
          <w:szCs w:val="24"/>
        </w:rPr>
        <w:t xml:space="preserve"> ratio for Patients 7</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8, (</w:t>
      </w:r>
      <w:r w:rsidRPr="00E5094B">
        <w:rPr>
          <w:rFonts w:cs="Times New Roman"/>
          <w:b/>
          <w:bCs/>
          <w:szCs w:val="24"/>
        </w:rPr>
        <w:t>C,D</w:t>
      </w:r>
      <w:r w:rsidRPr="00246FD6">
        <w:rPr>
          <w:rFonts w:cs="Times New Roman"/>
          <w:szCs w:val="24"/>
        </w:rPr>
        <w:t>) middle row are patients 9</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10, and (</w:t>
      </w:r>
      <w:r w:rsidRPr="00E5094B">
        <w:rPr>
          <w:rFonts w:cs="Times New Roman"/>
          <w:b/>
          <w:bCs/>
          <w:szCs w:val="24"/>
        </w:rPr>
        <w:t>E,F</w:t>
      </w:r>
      <w:r w:rsidRPr="00246FD6">
        <w:rPr>
          <w:rFonts w:cs="Times New Roman"/>
          <w:szCs w:val="24"/>
        </w:rPr>
        <w:t>) bottom row are patients 11</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 xml:space="preserve">12. Red indicates electrode pairs in the clinically annotated seizure onset zone (SOZ), orange is early spread (EP), and grey are all others. </w:t>
      </w:r>
    </w:p>
    <w:p w14:paraId="68717DC6" w14:textId="77777777" w:rsidR="00A53D0E" w:rsidRDefault="00A53D0E" w:rsidP="00994A3D">
      <w:pPr>
        <w:keepNext/>
        <w:jc w:val="center"/>
        <w:rPr>
          <w:rFonts w:cs="Times New Roman"/>
          <w:szCs w:val="24"/>
        </w:rPr>
      </w:pPr>
    </w:p>
    <w:p w14:paraId="1DC90DDC" w14:textId="4597C30F" w:rsidR="00A53D0E" w:rsidRDefault="00E15AF2" w:rsidP="00994A3D">
      <w:pPr>
        <w:keepNext/>
        <w:jc w:val="center"/>
        <w:rPr>
          <w:rFonts w:cs="Times New Roman"/>
          <w:szCs w:val="24"/>
        </w:rPr>
      </w:pPr>
      <w:r>
        <w:rPr>
          <w:noProof/>
        </w:rPr>
        <w:drawing>
          <wp:inline distT="0" distB="0" distL="0" distR="0" wp14:anchorId="386B979B" wp14:editId="18D52FCE">
            <wp:extent cx="4089400" cy="48704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9400" cy="4870450"/>
                    </a:xfrm>
                    <a:prstGeom prst="rect">
                      <a:avLst/>
                    </a:prstGeom>
                    <a:noFill/>
                    <a:ln>
                      <a:noFill/>
                    </a:ln>
                  </pic:spPr>
                </pic:pic>
              </a:graphicData>
            </a:graphic>
          </wp:inline>
        </w:drawing>
      </w:r>
    </w:p>
    <w:p w14:paraId="1FEFB605" w14:textId="34BD47E0" w:rsidR="00A53D0E" w:rsidRDefault="00A53D0E" w:rsidP="00A53D0E">
      <w:pPr>
        <w:jc w:val="both"/>
        <w:rPr>
          <w:rFonts w:cs="Times New Roman"/>
          <w:szCs w:val="24"/>
        </w:rPr>
      </w:pPr>
      <w:r w:rsidRPr="00246FD6">
        <w:rPr>
          <w:rFonts w:cs="Times New Roman"/>
          <w:szCs w:val="24"/>
        </w:rPr>
        <w:t xml:space="preserve">Supplementary Figure 4: </w:t>
      </w:r>
      <w:r w:rsidR="00E15AF2">
        <w:rPr>
          <w:rFonts w:cs="Times New Roman"/>
          <w:szCs w:val="24"/>
        </w:rPr>
        <w:t>PF</w:t>
      </w:r>
      <w:r w:rsidRPr="00246FD6">
        <w:rPr>
          <w:rFonts w:cs="Times New Roman"/>
          <w:szCs w:val="24"/>
        </w:rPr>
        <w:t xml:space="preserve"> ratio bar plots for </w:t>
      </w:r>
      <w:r>
        <w:rPr>
          <w:rFonts w:cs="Times New Roman"/>
          <w:szCs w:val="24"/>
        </w:rPr>
        <w:t>patients 13-17</w:t>
      </w:r>
      <w:r w:rsidRPr="00246FD6">
        <w:rPr>
          <w:rFonts w:cs="Times New Roman"/>
          <w:szCs w:val="24"/>
        </w:rPr>
        <w:t>. (</w:t>
      </w:r>
      <w:r w:rsidRPr="00E5094B">
        <w:rPr>
          <w:rFonts w:cs="Times New Roman"/>
          <w:b/>
          <w:bCs/>
          <w:szCs w:val="24"/>
        </w:rPr>
        <w:t>A,B</w:t>
      </w:r>
      <w:r w:rsidRPr="00246FD6">
        <w:rPr>
          <w:rFonts w:cs="Times New Roman"/>
          <w:szCs w:val="24"/>
        </w:rPr>
        <w:t xml:space="preserve">) Top row are the bar graphs of the </w:t>
      </w:r>
      <w:r w:rsidR="00E15AF2">
        <w:rPr>
          <w:rFonts w:cs="Times New Roman"/>
          <w:szCs w:val="24"/>
        </w:rPr>
        <w:t>PF</w:t>
      </w:r>
      <w:r w:rsidRPr="00246FD6">
        <w:rPr>
          <w:rFonts w:cs="Times New Roman"/>
          <w:szCs w:val="24"/>
        </w:rPr>
        <w:t xml:space="preserve"> ratio for Patients 13&amp;14A, (</w:t>
      </w:r>
      <w:r w:rsidRPr="00E5094B">
        <w:rPr>
          <w:rFonts w:cs="Times New Roman"/>
          <w:b/>
          <w:bCs/>
          <w:szCs w:val="24"/>
        </w:rPr>
        <w:t>C,D</w:t>
      </w:r>
      <w:r w:rsidRPr="00246FD6">
        <w:rPr>
          <w:rFonts w:cs="Times New Roman"/>
          <w:szCs w:val="24"/>
        </w:rPr>
        <w:t>) middle row are patients 14B</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15, and (</w:t>
      </w:r>
      <w:r w:rsidRPr="00E5094B">
        <w:rPr>
          <w:rFonts w:cs="Times New Roman"/>
          <w:b/>
          <w:bCs/>
          <w:szCs w:val="24"/>
        </w:rPr>
        <w:t>E,F</w:t>
      </w:r>
      <w:r w:rsidRPr="00246FD6">
        <w:rPr>
          <w:rFonts w:cs="Times New Roman"/>
          <w:szCs w:val="24"/>
        </w:rPr>
        <w:t>) bottom row are patients 16</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 xml:space="preserve">17. Red indicates electrode pairs in the clinically annotated seizure onset zone (SOZ), orange is early spread (EP), and grey are all others. </w:t>
      </w:r>
    </w:p>
    <w:p w14:paraId="12B22E4C" w14:textId="1024AAF6" w:rsidR="00A53D0E" w:rsidRDefault="00E15AF2" w:rsidP="00994A3D">
      <w:pPr>
        <w:keepNext/>
        <w:jc w:val="center"/>
        <w:rPr>
          <w:rFonts w:cs="Times New Roman"/>
          <w:szCs w:val="24"/>
        </w:rPr>
      </w:pPr>
      <w:r>
        <w:rPr>
          <w:noProof/>
        </w:rPr>
        <w:lastRenderedPageBreak/>
        <w:drawing>
          <wp:inline distT="0" distB="0" distL="0" distR="0" wp14:anchorId="1B1C81ED" wp14:editId="71CAE79F">
            <wp:extent cx="3835400" cy="488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0" cy="4883150"/>
                    </a:xfrm>
                    <a:prstGeom prst="rect">
                      <a:avLst/>
                    </a:prstGeom>
                    <a:noFill/>
                    <a:ln>
                      <a:noFill/>
                    </a:ln>
                  </pic:spPr>
                </pic:pic>
              </a:graphicData>
            </a:graphic>
          </wp:inline>
        </w:drawing>
      </w:r>
    </w:p>
    <w:p w14:paraId="341DD78A" w14:textId="00E3711E" w:rsidR="00A53D0E" w:rsidRPr="00246FD6" w:rsidRDefault="00A53D0E" w:rsidP="00A53D0E">
      <w:pPr>
        <w:jc w:val="both"/>
        <w:rPr>
          <w:rFonts w:cs="Times New Roman"/>
          <w:szCs w:val="24"/>
        </w:rPr>
      </w:pPr>
      <w:r w:rsidRPr="00246FD6">
        <w:rPr>
          <w:rFonts w:cs="Times New Roman"/>
          <w:szCs w:val="24"/>
        </w:rPr>
        <w:t xml:space="preserve">Supplementary Figure 5: </w:t>
      </w:r>
      <w:r w:rsidR="00E15AF2">
        <w:rPr>
          <w:rFonts w:cs="Times New Roman"/>
          <w:szCs w:val="24"/>
        </w:rPr>
        <w:t>PF</w:t>
      </w:r>
      <w:r w:rsidRPr="00246FD6">
        <w:rPr>
          <w:rFonts w:cs="Times New Roman"/>
          <w:szCs w:val="24"/>
        </w:rPr>
        <w:t xml:space="preserve"> ratio bar plots for </w:t>
      </w:r>
      <w:r>
        <w:rPr>
          <w:rFonts w:cs="Times New Roman"/>
          <w:szCs w:val="24"/>
        </w:rPr>
        <w:t>patients 18-22</w:t>
      </w:r>
      <w:r w:rsidRPr="00246FD6">
        <w:rPr>
          <w:rFonts w:cs="Times New Roman"/>
          <w:szCs w:val="24"/>
        </w:rPr>
        <w:t>. (</w:t>
      </w:r>
      <w:r w:rsidRPr="00E5094B">
        <w:rPr>
          <w:rFonts w:cs="Times New Roman"/>
          <w:b/>
          <w:bCs/>
          <w:szCs w:val="24"/>
        </w:rPr>
        <w:t>A,B</w:t>
      </w:r>
      <w:r w:rsidRPr="00246FD6">
        <w:rPr>
          <w:rFonts w:cs="Times New Roman"/>
          <w:szCs w:val="24"/>
        </w:rPr>
        <w:t xml:space="preserve">) Top row are the bar graphs of the </w:t>
      </w:r>
      <w:r w:rsidR="00E15AF2">
        <w:rPr>
          <w:rFonts w:cs="Times New Roman"/>
          <w:szCs w:val="24"/>
        </w:rPr>
        <w:t>PF</w:t>
      </w:r>
      <w:r w:rsidRPr="00246FD6">
        <w:rPr>
          <w:rFonts w:cs="Times New Roman"/>
          <w:szCs w:val="24"/>
        </w:rPr>
        <w:t xml:space="preserve"> ratio for Patients 18</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19, (</w:t>
      </w:r>
      <w:r w:rsidRPr="00E5094B">
        <w:rPr>
          <w:rFonts w:cs="Times New Roman"/>
          <w:b/>
          <w:bCs/>
          <w:szCs w:val="24"/>
        </w:rPr>
        <w:t>C,D</w:t>
      </w:r>
      <w:r w:rsidRPr="00246FD6">
        <w:rPr>
          <w:rFonts w:cs="Times New Roman"/>
          <w:szCs w:val="24"/>
        </w:rPr>
        <w:t>) middle row are patients 20</w:t>
      </w:r>
      <w:r>
        <w:rPr>
          <w:rFonts w:cs="Times New Roman"/>
          <w:szCs w:val="24"/>
        </w:rPr>
        <w:t xml:space="preserve"> </w:t>
      </w:r>
      <w:r w:rsidRPr="00246FD6">
        <w:rPr>
          <w:rFonts w:cs="Times New Roman"/>
          <w:szCs w:val="24"/>
        </w:rPr>
        <w:t>&amp;</w:t>
      </w:r>
      <w:r>
        <w:rPr>
          <w:rFonts w:cs="Times New Roman"/>
          <w:szCs w:val="24"/>
        </w:rPr>
        <w:t xml:space="preserve"> </w:t>
      </w:r>
      <w:r w:rsidRPr="00246FD6">
        <w:rPr>
          <w:rFonts w:cs="Times New Roman"/>
          <w:szCs w:val="24"/>
        </w:rPr>
        <w:t>21, and (</w:t>
      </w:r>
      <w:r w:rsidRPr="00E5094B">
        <w:rPr>
          <w:rFonts w:cs="Times New Roman"/>
          <w:b/>
          <w:bCs/>
          <w:szCs w:val="24"/>
        </w:rPr>
        <w:t>E,F</w:t>
      </w:r>
      <w:r w:rsidRPr="00246FD6">
        <w:rPr>
          <w:rFonts w:cs="Times New Roman"/>
          <w:szCs w:val="24"/>
        </w:rPr>
        <w:t xml:space="preserve">) bottom row is patient 22. Red indicates electrode pairs in the clinically annotated seizure onset zone (SOZ), orange is early spread (EP), yellow is irritative zone (IZ), and grey are all others. </w:t>
      </w: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BD9F8" w14:textId="77777777" w:rsidR="003D212E" w:rsidRDefault="003D212E" w:rsidP="00117666">
      <w:pPr>
        <w:spacing w:after="0"/>
      </w:pPr>
      <w:r>
        <w:separator/>
      </w:r>
    </w:p>
  </w:endnote>
  <w:endnote w:type="continuationSeparator" w:id="0">
    <w:p w14:paraId="225740B9" w14:textId="77777777" w:rsidR="003D212E" w:rsidRDefault="003D212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E23F63"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23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E23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E23F63"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23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E23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C2B70" w14:textId="77777777" w:rsidR="003D212E" w:rsidRDefault="003D212E" w:rsidP="00117666">
      <w:pPr>
        <w:spacing w:after="0"/>
      </w:pPr>
      <w:r>
        <w:separator/>
      </w:r>
    </w:p>
  </w:footnote>
  <w:footnote w:type="continuationSeparator" w:id="0">
    <w:p w14:paraId="2AE32925" w14:textId="77777777" w:rsidR="003D212E" w:rsidRDefault="003D212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E23F63"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E23F63"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020F"/>
    <w:rsid w:val="00274347"/>
    <w:rsid w:val="002868E2"/>
    <w:rsid w:val="002869C3"/>
    <w:rsid w:val="002936E4"/>
    <w:rsid w:val="002B4A57"/>
    <w:rsid w:val="002C74CA"/>
    <w:rsid w:val="003123F4"/>
    <w:rsid w:val="003544FB"/>
    <w:rsid w:val="003D212E"/>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53D0E"/>
    <w:rsid w:val="00A8633D"/>
    <w:rsid w:val="00AA4D24"/>
    <w:rsid w:val="00AB2C1B"/>
    <w:rsid w:val="00AB6715"/>
    <w:rsid w:val="00B1671E"/>
    <w:rsid w:val="00B25EB8"/>
    <w:rsid w:val="00B37F4D"/>
    <w:rsid w:val="00C47357"/>
    <w:rsid w:val="00C52A7B"/>
    <w:rsid w:val="00C56BAF"/>
    <w:rsid w:val="00C679AA"/>
    <w:rsid w:val="00C75972"/>
    <w:rsid w:val="00CD066B"/>
    <w:rsid w:val="00CE4FEE"/>
    <w:rsid w:val="00D060CF"/>
    <w:rsid w:val="00DB59C3"/>
    <w:rsid w:val="00DC259A"/>
    <w:rsid w:val="00DE23E8"/>
    <w:rsid w:val="00E15AF2"/>
    <w:rsid w:val="00E23F63"/>
    <w:rsid w:val="00E52377"/>
    <w:rsid w:val="00E537AD"/>
    <w:rsid w:val="00E64E17"/>
    <w:rsid w:val="00E866C9"/>
    <w:rsid w:val="00EA3D3C"/>
    <w:rsid w:val="00EC090A"/>
    <w:rsid w:val="00ED20B5"/>
    <w:rsid w:val="00ED5861"/>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C4F0F64B-4F96-4A08-8E53-4BE79BB4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TotalTime>
  <Pages>5</Pages>
  <Words>233</Words>
  <Characters>1330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Golnoosh Kamali</cp:lastModifiedBy>
  <cp:revision>3</cp:revision>
  <cp:lastPrinted>2013-10-03T12:51:00Z</cp:lastPrinted>
  <dcterms:created xsi:type="dcterms:W3CDTF">2020-09-20T03:21:00Z</dcterms:created>
  <dcterms:modified xsi:type="dcterms:W3CDTF">2020-10-23T16:21:00Z</dcterms:modified>
</cp:coreProperties>
</file>