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E5A68" w14:textId="77777777" w:rsidR="0079286E" w:rsidRPr="005004F5" w:rsidRDefault="0079286E" w:rsidP="0079286E">
      <w:pPr>
        <w:rPr>
          <w:rFonts w:ascii="Times New Roman" w:hAnsi="Times New Roman" w:cs="Times New Roman"/>
          <w:b/>
          <w:sz w:val="24"/>
          <w:szCs w:val="24"/>
        </w:rPr>
      </w:pPr>
      <w:r w:rsidRPr="005004F5">
        <w:rPr>
          <w:rFonts w:ascii="Times New Roman" w:hAnsi="Times New Roman" w:cs="Times New Roman"/>
          <w:b/>
          <w:sz w:val="24"/>
          <w:szCs w:val="24"/>
        </w:rPr>
        <w:t>Supplementary Material</w:t>
      </w:r>
    </w:p>
    <w:p w14:paraId="3FFF4BF5" w14:textId="4B76B4EF" w:rsidR="0079286E" w:rsidRPr="0079286E" w:rsidRDefault="0079286E" w:rsidP="0079286E">
      <w:pPr>
        <w:rPr>
          <w:b/>
          <w:bCs/>
        </w:rPr>
      </w:pPr>
      <w:r w:rsidRPr="0079286E">
        <w:rPr>
          <w:b/>
          <w:bCs/>
          <w:noProof/>
        </w:rPr>
        <w:drawing>
          <wp:inline distT="0" distB="0" distL="0" distR="0" wp14:anchorId="54A961D2" wp14:editId="62575578">
            <wp:extent cx="5270500" cy="2381250"/>
            <wp:effectExtent l="0" t="0" r="635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1C4E7" w14:textId="5433A7DE" w:rsidR="0079286E" w:rsidRPr="003E2B07" w:rsidRDefault="0079286E" w:rsidP="0079286E">
      <w:pPr>
        <w:rPr>
          <w:rFonts w:ascii="Times New Roman" w:hAnsi="Times New Roman" w:cs="Times New Roman"/>
          <w:b/>
          <w:sz w:val="24"/>
          <w:szCs w:val="24"/>
        </w:rPr>
      </w:pPr>
      <w:r w:rsidRPr="003E2B07">
        <w:rPr>
          <w:rFonts w:ascii="Times New Roman" w:hAnsi="Times New Roman" w:cs="Times New Roman"/>
          <w:b/>
          <w:sz w:val="24"/>
          <w:szCs w:val="24"/>
        </w:rPr>
        <w:t>Figure S1 Amino acid sequence of CII-CAR.</w:t>
      </w:r>
    </w:p>
    <w:p w14:paraId="5CBBE463" w14:textId="77777777" w:rsidR="0079286E" w:rsidRPr="0079286E" w:rsidRDefault="0079286E" w:rsidP="0079286E">
      <w:pPr>
        <w:rPr>
          <w:b/>
        </w:rPr>
      </w:pPr>
    </w:p>
    <w:p w14:paraId="04BBB607" w14:textId="103D6AAB" w:rsidR="0079286E" w:rsidRPr="0079286E" w:rsidRDefault="003A0A6B" w:rsidP="00E1187B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3D5E3467" wp14:editId="27B19B85">
            <wp:extent cx="3906317" cy="4245873"/>
            <wp:effectExtent l="0" t="0" r="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869" cy="425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2D16F" w14:textId="0206586A" w:rsidR="0079286E" w:rsidRPr="003E2B07" w:rsidRDefault="0079286E" w:rsidP="007928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2B07">
        <w:rPr>
          <w:rFonts w:ascii="Times New Roman" w:hAnsi="Times New Roman" w:cs="Times New Roman"/>
          <w:b/>
          <w:bCs/>
          <w:sz w:val="24"/>
          <w:szCs w:val="24"/>
        </w:rPr>
        <w:t>Figure S2 Effect of CII-CAR-T Cells on Inducing Apoptosis When Co-</w:t>
      </w:r>
      <w:r w:rsidR="005004F5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3E2B07">
        <w:rPr>
          <w:rFonts w:ascii="Times New Roman" w:hAnsi="Times New Roman" w:cs="Times New Roman"/>
          <w:b/>
          <w:bCs/>
          <w:sz w:val="24"/>
          <w:szCs w:val="24"/>
        </w:rPr>
        <w:t xml:space="preserve">ultured </w:t>
      </w:r>
      <w:r w:rsidR="005004F5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3E2B07">
        <w:rPr>
          <w:rFonts w:ascii="Times New Roman" w:hAnsi="Times New Roman" w:cs="Times New Roman"/>
          <w:b/>
          <w:bCs/>
          <w:sz w:val="24"/>
          <w:szCs w:val="24"/>
        </w:rPr>
        <w:t>ith C28/I2</w:t>
      </w:r>
    </w:p>
    <w:p w14:paraId="37E0A321" w14:textId="525CE385" w:rsidR="0040585D" w:rsidRDefault="0079286E">
      <w:pPr>
        <w:rPr>
          <w:rFonts w:ascii="Times New Roman" w:hAnsi="Times New Roman" w:cs="Times New Roman"/>
          <w:sz w:val="24"/>
          <w:szCs w:val="24"/>
        </w:rPr>
      </w:pPr>
      <w:r w:rsidRPr="003E2B07">
        <w:rPr>
          <w:rFonts w:ascii="Times New Roman" w:hAnsi="Times New Roman" w:cs="Times New Roman"/>
          <w:sz w:val="24"/>
          <w:szCs w:val="24"/>
        </w:rPr>
        <w:t>(A) Representative flow cytometry data to illustrate gating and quadrant strategy for FACS measurement of apoptosis. No obvious effect on inducing (B) apoptosis or (C) necrosis was when co-cultured with C28/I2.</w:t>
      </w:r>
      <w:r w:rsidR="003E2B07" w:rsidRPr="003E2B07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 </w:t>
      </w:r>
      <w:r w:rsidR="003E2B07" w:rsidRPr="003E2B07">
        <w:rPr>
          <w:rFonts w:ascii="Times New Roman" w:hAnsi="Times New Roman" w:cs="Times New Roman"/>
          <w:sz w:val="24"/>
          <w:szCs w:val="24"/>
        </w:rPr>
        <w:t>Data are represented as mean ± SE of 3 independent experiments.</w:t>
      </w:r>
    </w:p>
    <w:p w14:paraId="50914C7E" w14:textId="08D4E1AB" w:rsidR="003E19B3" w:rsidRDefault="003E19B3" w:rsidP="003E19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093E360" wp14:editId="10C5A197">
            <wp:extent cx="2909887" cy="2383053"/>
            <wp:effectExtent l="0" t="0" r="508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450" cy="23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26F32" w14:textId="3A7B73D5" w:rsidR="00E6005E" w:rsidRDefault="003E19B3" w:rsidP="003E19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19B3">
        <w:rPr>
          <w:rFonts w:ascii="Times New Roman" w:hAnsi="Times New Roman" w:cs="Times New Roman"/>
          <w:b/>
          <w:bCs/>
          <w:sz w:val="24"/>
          <w:szCs w:val="24"/>
        </w:rPr>
        <w:t>Figure S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E19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04F5" w:rsidRPr="005004F5">
        <w:rPr>
          <w:rFonts w:ascii="Times New Roman" w:hAnsi="Times New Roman" w:cs="Times New Roman"/>
          <w:b/>
          <w:bCs/>
          <w:sz w:val="24"/>
          <w:szCs w:val="24"/>
        </w:rPr>
        <w:t>Changes in IL-6 levels were compared between the treatment groups.</w:t>
      </w:r>
    </w:p>
    <w:p w14:paraId="4ECA74D9" w14:textId="09C322C3" w:rsidR="0019233B" w:rsidRDefault="005004F5" w:rsidP="0019233B">
      <w:pPr>
        <w:rPr>
          <w:rFonts w:ascii="Times New Roman" w:hAnsi="Times New Roman" w:cs="Times New Roman"/>
          <w:sz w:val="24"/>
          <w:szCs w:val="24"/>
        </w:rPr>
      </w:pPr>
      <w:r w:rsidRPr="005004F5">
        <w:rPr>
          <w:rFonts w:ascii="Times New Roman" w:hAnsi="Times New Roman" w:cs="Times New Roman"/>
          <w:sz w:val="24"/>
          <w:szCs w:val="24"/>
        </w:rPr>
        <w:t>Change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004F5">
        <w:rPr>
          <w:rFonts w:ascii="Times New Roman" w:hAnsi="Times New Roman" w:cs="Times New Roman"/>
          <w:sz w:val="24"/>
          <w:szCs w:val="24"/>
        </w:rPr>
        <w:t xml:space="preserve"> in IL-6 level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004F5">
        <w:rPr>
          <w:rFonts w:ascii="Times New Roman" w:hAnsi="Times New Roman" w:cs="Times New Roman"/>
          <w:sz w:val="24"/>
          <w:szCs w:val="24"/>
        </w:rPr>
        <w:t xml:space="preserve"> in the treatment group with TNF-α</w:t>
      </w:r>
      <w:r>
        <w:rPr>
          <w:rFonts w:ascii="Times New Roman" w:hAnsi="Times New Roman" w:cs="Times New Roman"/>
          <w:sz w:val="24"/>
          <w:szCs w:val="24"/>
        </w:rPr>
        <w:t xml:space="preserve"> or</w:t>
      </w:r>
      <w:r w:rsidRPr="005004F5">
        <w:rPr>
          <w:rFonts w:ascii="Times New Roman" w:hAnsi="Times New Roman" w:cs="Times New Roman"/>
          <w:sz w:val="24"/>
          <w:szCs w:val="24"/>
        </w:rPr>
        <w:t xml:space="preserve"> culture supernatant of CII-activated CII-CAR-T</w:t>
      </w:r>
      <w:r>
        <w:rPr>
          <w:rFonts w:ascii="Times New Roman" w:hAnsi="Times New Roman" w:cs="Times New Roman"/>
          <w:sz w:val="24"/>
          <w:szCs w:val="24"/>
        </w:rPr>
        <w:t>, s</w:t>
      </w:r>
      <w:r w:rsidR="0019233B">
        <w:rPr>
          <w:rFonts w:ascii="Times New Roman" w:hAnsi="Times New Roman" w:cs="Times New Roman"/>
          <w:sz w:val="24"/>
          <w:szCs w:val="24"/>
        </w:rPr>
        <w:t xml:space="preserve">pontaneous release of </w:t>
      </w:r>
      <w:r>
        <w:rPr>
          <w:rFonts w:ascii="Times New Roman" w:hAnsi="Times New Roman" w:cs="Times New Roman"/>
          <w:sz w:val="24"/>
          <w:szCs w:val="24"/>
        </w:rPr>
        <w:t>IL-6</w:t>
      </w:r>
      <w:r w:rsidR="0019233B">
        <w:rPr>
          <w:rFonts w:ascii="Times New Roman" w:hAnsi="Times New Roman" w:cs="Times New Roman"/>
          <w:sz w:val="24"/>
          <w:szCs w:val="24"/>
        </w:rPr>
        <w:t xml:space="preserve"> by cartilage were used as control. *p &lt; 0.05; **p &lt; 0.01. Data are represented as mean ± SE of 3 independent experiments.</w:t>
      </w:r>
    </w:p>
    <w:p w14:paraId="3F852B38" w14:textId="3ABACFF2" w:rsidR="003E19B3" w:rsidRPr="003E19B3" w:rsidRDefault="003E19B3" w:rsidP="003E19B3">
      <w:pPr>
        <w:rPr>
          <w:rFonts w:ascii="Times New Roman" w:hAnsi="Times New Roman" w:cs="Times New Roman"/>
          <w:sz w:val="24"/>
          <w:szCs w:val="24"/>
        </w:rPr>
      </w:pPr>
    </w:p>
    <w:sectPr w:rsidR="003E19B3" w:rsidRPr="003E19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9FC40" w14:textId="77777777" w:rsidR="005E2A26" w:rsidRDefault="005E2A26" w:rsidP="0079286E">
      <w:r>
        <w:separator/>
      </w:r>
    </w:p>
  </w:endnote>
  <w:endnote w:type="continuationSeparator" w:id="0">
    <w:p w14:paraId="1B31F309" w14:textId="77777777" w:rsidR="005E2A26" w:rsidRDefault="005E2A26" w:rsidP="0079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A5533" w14:textId="77777777" w:rsidR="005E2A26" w:rsidRDefault="005E2A26" w:rsidP="0079286E">
      <w:r>
        <w:separator/>
      </w:r>
    </w:p>
  </w:footnote>
  <w:footnote w:type="continuationSeparator" w:id="0">
    <w:p w14:paraId="5A2EDCCC" w14:textId="77777777" w:rsidR="005E2A26" w:rsidRDefault="005E2A26" w:rsidP="00792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75F"/>
    <w:rsid w:val="0019233B"/>
    <w:rsid w:val="001E2E41"/>
    <w:rsid w:val="002E202B"/>
    <w:rsid w:val="003911FA"/>
    <w:rsid w:val="003A0A6B"/>
    <w:rsid w:val="003E19B3"/>
    <w:rsid w:val="003E2B07"/>
    <w:rsid w:val="0040585D"/>
    <w:rsid w:val="005004F5"/>
    <w:rsid w:val="005E2A26"/>
    <w:rsid w:val="0078082E"/>
    <w:rsid w:val="0079286E"/>
    <w:rsid w:val="008A31E9"/>
    <w:rsid w:val="00911BC2"/>
    <w:rsid w:val="00DE675F"/>
    <w:rsid w:val="00E1187B"/>
    <w:rsid w:val="00E6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2AC95"/>
  <w15:chartTrackingRefBased/>
  <w15:docId w15:val="{403139EA-6784-43F0-A54A-F8AE0B68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8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28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28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286E"/>
    <w:rPr>
      <w:sz w:val="18"/>
      <w:szCs w:val="18"/>
    </w:rPr>
  </w:style>
  <w:style w:type="paragraph" w:styleId="a7">
    <w:name w:val="List Paragraph"/>
    <w:basedOn w:val="a"/>
    <w:uiPriority w:val="34"/>
    <w:qFormat/>
    <w:rsid w:val="003E19B3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5004F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004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zhenkun wang</dc:creator>
  <cp:keywords/>
  <dc:description/>
  <cp:lastModifiedBy>lxl</cp:lastModifiedBy>
  <cp:revision>10</cp:revision>
  <cp:lastPrinted>2020-09-29T04:06:00Z</cp:lastPrinted>
  <dcterms:created xsi:type="dcterms:W3CDTF">2020-09-29T02:27:00Z</dcterms:created>
  <dcterms:modified xsi:type="dcterms:W3CDTF">2020-10-22T01:32:00Z</dcterms:modified>
</cp:coreProperties>
</file>