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4A8BF" w14:textId="642E47E8" w:rsidR="00BE0FBC" w:rsidRPr="00FA4678" w:rsidRDefault="00BE0FBC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i/>
          <w:iCs/>
          <w:sz w:val="24"/>
          <w:szCs w:val="24"/>
        </w:rPr>
        <w:t>SUPPLEMENTARY DATA</w:t>
      </w:r>
    </w:p>
    <w:p w14:paraId="0F23A43D" w14:textId="77777777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9E31747" w14:textId="2807D421" w:rsidR="00C631E0" w:rsidRPr="00FA4678" w:rsidRDefault="00C631E0" w:rsidP="007408E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sz w:val="24"/>
          <w:szCs w:val="24"/>
        </w:rPr>
        <w:t>Supplementary table 1. Main characteristics of the XP</w:t>
      </w:r>
      <w:r w:rsidR="008C592C" w:rsidRPr="00FA467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FA4678">
        <w:rPr>
          <w:rFonts w:asciiTheme="majorBidi" w:hAnsiTheme="majorBidi" w:cstheme="majorBidi"/>
          <w:b/>
          <w:bCs/>
          <w:sz w:val="24"/>
          <w:szCs w:val="24"/>
        </w:rPr>
        <w:t>C patients involved in the study</w:t>
      </w:r>
    </w:p>
    <w:p w14:paraId="6800B8A3" w14:textId="2AD4FA74" w:rsidR="00C631E0" w:rsidRPr="00FA4678" w:rsidRDefault="00C631E0" w:rsidP="007408E7">
      <w:pPr>
        <w:pStyle w:val="Bibliography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A4678">
        <w:rPr>
          <w:rFonts w:asciiTheme="majorBidi" w:hAnsiTheme="majorBidi" w:cstheme="majorBidi"/>
          <w:sz w:val="24"/>
          <w:szCs w:val="24"/>
        </w:rPr>
        <w:t>The three patients had regular follow-up after initial diagnosis at the Dermatology Department,</w:t>
      </w:r>
      <w:r w:rsidR="00720216" w:rsidRPr="00FA46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A4678">
        <w:rPr>
          <w:rFonts w:asciiTheme="majorBidi" w:hAnsiTheme="majorBidi" w:cstheme="majorBidi"/>
          <w:sz w:val="24"/>
          <w:szCs w:val="24"/>
        </w:rPr>
        <w:t>Pediatric</w:t>
      </w:r>
      <w:proofErr w:type="spellEnd"/>
      <w:r w:rsidRPr="00FA4678">
        <w:rPr>
          <w:rFonts w:asciiTheme="majorBidi" w:hAnsiTheme="majorBidi" w:cstheme="majorBidi"/>
          <w:sz w:val="24"/>
          <w:szCs w:val="24"/>
        </w:rPr>
        <w:t xml:space="preserve"> Unit, Bordeaux Hospital (Reference Center for Rare diseases of the Skin) for careful examination of pre-cancerous lesions. Genotyping was performed on whole blood at the first visit, after obtaining informed consent from the parents. 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XPC</w:t>
      </w:r>
      <w:r w:rsidRPr="00FA4678">
        <w:rPr>
          <w:rFonts w:asciiTheme="majorBidi" w:hAnsiTheme="majorBidi" w:cstheme="majorBidi"/>
          <w:sz w:val="24"/>
          <w:szCs w:val="24"/>
        </w:rPr>
        <w:t xml:space="preserve"> gene analysis was performed by Sanger sequencing as </w:t>
      </w:r>
      <w:r w:rsidR="001C01F3" w:rsidRPr="00FA4678">
        <w:rPr>
          <w:rFonts w:asciiTheme="majorBidi" w:hAnsiTheme="majorBidi" w:cstheme="majorBidi"/>
          <w:sz w:val="24"/>
          <w:szCs w:val="24"/>
        </w:rPr>
        <w:t xml:space="preserve">previously </w:t>
      </w:r>
      <w:r w:rsidRPr="00FA4678">
        <w:rPr>
          <w:rFonts w:asciiTheme="majorBidi" w:hAnsiTheme="majorBidi" w:cstheme="majorBidi"/>
          <w:sz w:val="24"/>
          <w:szCs w:val="24"/>
        </w:rPr>
        <w:t>described</w:t>
      </w:r>
      <w:r w:rsidR="001C01F3" w:rsidRPr="00FA4678" w:rsidDel="001C01F3">
        <w:rPr>
          <w:rFonts w:asciiTheme="majorBidi" w:hAnsiTheme="majorBidi" w:cstheme="majorBidi"/>
          <w:sz w:val="24"/>
          <w:szCs w:val="24"/>
        </w:rPr>
        <w:t xml:space="preserve"> </w:t>
      </w:r>
      <w:r w:rsidR="001C01F3" w:rsidRPr="00FA4678">
        <w:rPr>
          <w:rFonts w:asciiTheme="majorBidi" w:hAnsiTheme="majorBidi" w:cstheme="majorBidi"/>
          <w:sz w:val="24"/>
          <w:szCs w:val="24"/>
        </w:rPr>
        <w:t>[60]</w:t>
      </w:r>
      <w:r w:rsidRPr="00FA4678">
        <w:rPr>
          <w:rFonts w:asciiTheme="majorBidi" w:hAnsiTheme="majorBidi" w:cstheme="majorBidi"/>
          <w:sz w:val="24"/>
          <w:szCs w:val="24"/>
        </w:rPr>
        <w:t xml:space="preserve">, </w:t>
      </w:r>
      <w:r w:rsidR="001C01F3" w:rsidRPr="00FA4678">
        <w:rPr>
          <w:rFonts w:asciiTheme="majorBidi" w:hAnsiTheme="majorBidi" w:cstheme="majorBidi"/>
          <w:sz w:val="24"/>
          <w:szCs w:val="24"/>
        </w:rPr>
        <w:t xml:space="preserve">and </w:t>
      </w:r>
      <w:r w:rsidRPr="00FA4678">
        <w:rPr>
          <w:rFonts w:asciiTheme="majorBidi" w:hAnsiTheme="majorBidi" w:cstheme="majorBidi"/>
          <w:sz w:val="24"/>
          <w:szCs w:val="24"/>
        </w:rPr>
        <w:t xml:space="preserve">bi-allelism was confirmed by parental testing. Five different 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XPC</w:t>
      </w:r>
      <w:r w:rsidRPr="00FA4678">
        <w:rPr>
          <w:rFonts w:asciiTheme="majorBidi" w:hAnsiTheme="majorBidi" w:cstheme="majorBidi"/>
          <w:sz w:val="24"/>
          <w:szCs w:val="24"/>
        </w:rPr>
        <w:t xml:space="preserve"> gene defects were identified, each resulting in a premature stop, due to either a small deletion (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</w:t>
      </w:r>
      <w:r w:rsidR="00D532A6" w:rsidRPr="00FA4678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C1</w:t>
      </w:r>
      <w:r w:rsidRPr="00FA4678">
        <w:rPr>
          <w:rFonts w:asciiTheme="majorBidi" w:hAnsiTheme="majorBidi" w:cstheme="majorBidi"/>
          <w:sz w:val="24"/>
          <w:szCs w:val="24"/>
        </w:rPr>
        <w:t xml:space="preserve">-homozygous 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XPC</w:t>
      </w:r>
      <w:r w:rsidRPr="00FA4678">
        <w:rPr>
          <w:rFonts w:asciiTheme="majorBidi" w:hAnsiTheme="majorBidi" w:cstheme="majorBidi"/>
          <w:sz w:val="24"/>
          <w:szCs w:val="24"/>
        </w:rPr>
        <w:t xml:space="preserve"> prevalent mutation, 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</w:t>
      </w:r>
      <w:r w:rsidR="00D532A6" w:rsidRPr="00FA4678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C2</w:t>
      </w:r>
      <w:r w:rsidRPr="00FA4678">
        <w:rPr>
          <w:rFonts w:asciiTheme="majorBidi" w:hAnsiTheme="majorBidi" w:cstheme="majorBidi"/>
          <w:sz w:val="24"/>
          <w:szCs w:val="24"/>
        </w:rPr>
        <w:t xml:space="preserve">-allele 2, 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</w:t>
      </w:r>
      <w:r w:rsidR="00D532A6" w:rsidRPr="00FA4678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C3</w:t>
      </w:r>
      <w:r w:rsidRPr="00FA4678">
        <w:rPr>
          <w:rFonts w:asciiTheme="majorBidi" w:hAnsiTheme="majorBidi" w:cstheme="majorBidi"/>
          <w:sz w:val="24"/>
          <w:szCs w:val="24"/>
        </w:rPr>
        <w:t>-allele 2) or a non-sens</w:t>
      </w:r>
      <w:r w:rsidR="00385C8C" w:rsidRPr="00FA4678">
        <w:rPr>
          <w:rFonts w:asciiTheme="majorBidi" w:hAnsiTheme="majorBidi" w:cstheme="majorBidi"/>
          <w:sz w:val="24"/>
          <w:szCs w:val="24"/>
        </w:rPr>
        <w:t>e</w:t>
      </w:r>
      <w:r w:rsidRPr="00FA4678">
        <w:rPr>
          <w:rFonts w:asciiTheme="majorBidi" w:hAnsiTheme="majorBidi" w:cstheme="majorBidi"/>
          <w:sz w:val="24"/>
          <w:szCs w:val="24"/>
        </w:rPr>
        <w:t xml:space="preserve"> (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XP</w:t>
      </w:r>
      <w:r w:rsidR="00D532A6" w:rsidRPr="00FA4678">
        <w:rPr>
          <w:rFonts w:asciiTheme="majorBidi" w:hAnsiTheme="majorBidi" w:cstheme="majorBidi"/>
          <w:i/>
          <w:iCs/>
          <w:sz w:val="24"/>
          <w:szCs w:val="24"/>
        </w:rPr>
        <w:t>-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C3</w:t>
      </w:r>
      <w:r w:rsidRPr="00FA4678">
        <w:rPr>
          <w:rFonts w:asciiTheme="majorBidi" w:hAnsiTheme="majorBidi" w:cstheme="majorBidi"/>
          <w:sz w:val="24"/>
          <w:szCs w:val="24"/>
        </w:rPr>
        <w:t xml:space="preserve">-allele 1). </w:t>
      </w:r>
      <w:bookmarkStart w:id="0" w:name="_Hlk51491390"/>
      <w:r w:rsidRPr="00FA4678">
        <w:rPr>
          <w:rFonts w:asciiTheme="majorBidi" w:hAnsiTheme="majorBidi" w:cstheme="majorBidi"/>
          <w:sz w:val="24"/>
          <w:szCs w:val="24"/>
        </w:rPr>
        <w:t>Such gene defects are the common rule in XPC disease</w:t>
      </w:r>
      <w:bookmarkEnd w:id="0"/>
      <w:r w:rsidRPr="00FA4678">
        <w:rPr>
          <w:rFonts w:asciiTheme="majorBidi" w:hAnsiTheme="majorBidi" w:cstheme="majorBidi"/>
          <w:sz w:val="24"/>
          <w:szCs w:val="24"/>
        </w:rPr>
        <w:t xml:space="preserve"> </w:t>
      </w:r>
      <w:r w:rsidR="001C01F3" w:rsidRPr="00FA4678">
        <w:rPr>
          <w:rFonts w:asciiTheme="majorBidi" w:hAnsiTheme="majorBidi" w:cstheme="majorBidi"/>
          <w:sz w:val="24"/>
          <w:szCs w:val="24"/>
        </w:rPr>
        <w:t>[60]</w:t>
      </w:r>
      <w:r w:rsidRPr="00FA4678">
        <w:rPr>
          <w:rFonts w:asciiTheme="majorBidi" w:hAnsiTheme="majorBidi" w:cstheme="majorBidi"/>
          <w:sz w:val="24"/>
          <w:szCs w:val="24"/>
        </w:rPr>
        <w:t xml:space="preserve">. RNA analysis was performed in patient 2, </w:t>
      </w:r>
      <w:proofErr w:type="gramStart"/>
      <w:r w:rsidRPr="00FA4678">
        <w:rPr>
          <w:rFonts w:asciiTheme="majorBidi" w:hAnsiTheme="majorBidi" w:cstheme="majorBidi"/>
          <w:sz w:val="24"/>
          <w:szCs w:val="24"/>
        </w:rPr>
        <w:t>in order to</w:t>
      </w:r>
      <w:proofErr w:type="gramEnd"/>
      <w:r w:rsidRPr="00FA4678">
        <w:rPr>
          <w:rFonts w:asciiTheme="majorBidi" w:hAnsiTheme="majorBidi" w:cstheme="majorBidi"/>
          <w:sz w:val="24"/>
          <w:szCs w:val="24"/>
        </w:rPr>
        <w:t xml:space="preserve"> confirm the splicing defect (allele </w:t>
      </w:r>
      <w:r w:rsidR="007408E7" w:rsidRPr="00FA4678">
        <w:rPr>
          <w:rFonts w:asciiTheme="majorBidi" w:hAnsiTheme="majorBidi" w:cstheme="majorBidi"/>
          <w:sz w:val="24"/>
          <w:szCs w:val="24"/>
        </w:rPr>
        <w:t>1:</w:t>
      </w:r>
      <w:r w:rsidRPr="00FA4678">
        <w:rPr>
          <w:rFonts w:asciiTheme="majorBidi" w:hAnsiTheme="majorBidi" w:cstheme="majorBidi"/>
          <w:sz w:val="24"/>
          <w:szCs w:val="24"/>
        </w:rPr>
        <w:t xml:space="preserve"> deletion at the splice site).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50"/>
        <w:gridCol w:w="1441"/>
        <w:gridCol w:w="2286"/>
        <w:gridCol w:w="3256"/>
        <w:gridCol w:w="1276"/>
      </w:tblGrid>
      <w:tr w:rsidR="00C631E0" w:rsidRPr="00FA4678" w14:paraId="6712C740" w14:textId="77777777" w:rsidTr="007408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D410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Patient id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4419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/>
                <w:sz w:val="24"/>
                <w:szCs w:val="24"/>
              </w:rPr>
              <w:t>Geographic origin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6E91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Main clinical features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7157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/>
                <w:sz w:val="24"/>
                <w:szCs w:val="24"/>
              </w:rPr>
              <w:t>XPC gene defect (NM_004628.4)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E714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Age at diagnosis</w:t>
            </w:r>
          </w:p>
        </w:tc>
      </w:tr>
      <w:tr w:rsidR="00C631E0" w:rsidRPr="00FA4678" w14:paraId="136F853F" w14:textId="77777777" w:rsidTr="007408E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CC0C" w14:textId="3926ABF7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XP</w:t>
            </w:r>
            <w:r w:rsidR="00D532A6"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-</w:t>
            </w: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D47C" w14:textId="77777777" w:rsidR="00C631E0" w:rsidRPr="00FA4678" w:rsidRDefault="00C631E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Morocco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50A4" w14:textId="77777777" w:rsidR="00C631E0" w:rsidRPr="00FA4678" w:rsidRDefault="00C631E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Early skin photosensitivity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9B3E" w14:textId="4DC1DBD8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bookmarkStart w:id="1" w:name="_Hlk51514532"/>
            <w:r w:rsidRPr="00FA46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c.1643_1644del</w:t>
            </w:r>
            <w:bookmarkEnd w:id="1"/>
            <w:r w:rsidRPr="00FA46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r w:rsidR="007408E7" w:rsidRPr="00FA46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p. (</w:t>
            </w:r>
            <w:r w:rsidRPr="00FA46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Val548Alafs*25) </w:t>
            </w:r>
            <w:proofErr w:type="spellStart"/>
            <w:r w:rsidRPr="00FA46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homozygous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5026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 y</w:t>
            </w:r>
          </w:p>
        </w:tc>
      </w:tr>
      <w:tr w:rsidR="00C631E0" w:rsidRPr="00FA4678" w14:paraId="1133545B" w14:textId="77777777" w:rsidTr="00C631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7849" w14:textId="1B9FE2B9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XP</w:t>
            </w:r>
            <w:r w:rsidR="00D532A6"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-</w:t>
            </w: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5D6B" w14:textId="77777777" w:rsidR="00C631E0" w:rsidRPr="00FA4678" w:rsidRDefault="00C631E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7DA1" w14:textId="77777777" w:rsidR="00C631E0" w:rsidRPr="00FA4678" w:rsidRDefault="00C631E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Moderate skin photosensitivity - multiple lentigines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6653" w14:textId="43BF5C18" w:rsidR="00C631E0" w:rsidRPr="00FA4678" w:rsidRDefault="00C631E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[c.413-3delC, p.?</w:t>
            </w:r>
            <w:r w:rsidR="007408E7"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],</w:t>
            </w:r>
            <w:r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[c.1086del, </w:t>
            </w:r>
            <w:r w:rsidR="007408E7"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p. (</w:t>
            </w:r>
            <w:r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Ser363Alafs*163)]</w:t>
            </w:r>
          </w:p>
          <w:p w14:paraId="64945A03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proofErr w:type="spellStart"/>
            <w:r w:rsidRPr="00FA4678">
              <w:rPr>
                <w:rFonts w:asciiTheme="majorBidi" w:hAnsiTheme="majorBidi" w:cstheme="majorBidi"/>
                <w:sz w:val="24"/>
                <w:szCs w:val="24"/>
              </w:rPr>
              <w:t>ompound</w:t>
            </w:r>
            <w:proofErr w:type="spellEnd"/>
            <w:r w:rsidRPr="00FA4678">
              <w:rPr>
                <w:rFonts w:asciiTheme="majorBidi" w:hAnsiTheme="majorBidi" w:cstheme="majorBidi"/>
                <w:sz w:val="24"/>
                <w:szCs w:val="24"/>
              </w:rPr>
              <w:t xml:space="preserve"> heterozygous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1975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14 y</w:t>
            </w:r>
          </w:p>
        </w:tc>
      </w:tr>
      <w:tr w:rsidR="00C631E0" w:rsidRPr="00FA4678" w14:paraId="0BF2AB7B" w14:textId="77777777" w:rsidTr="00C631E0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D908" w14:textId="5FC98B54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XP</w:t>
            </w:r>
            <w:r w:rsidR="00D532A6"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-</w:t>
            </w: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0E06" w14:textId="77777777" w:rsidR="00C631E0" w:rsidRPr="00FA4678" w:rsidRDefault="00C631E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</w:rPr>
              <w:t>West Indies/Chile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01C7" w14:textId="77777777" w:rsidR="00C631E0" w:rsidRPr="00FA4678" w:rsidRDefault="00C631E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 xml:space="preserve">Skin photosensitivity -multiple lentigines - precancerous lesions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040A" w14:textId="1F3CD139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[c.1243C&gt;T, </w:t>
            </w:r>
            <w:r w:rsidR="007408E7" w:rsidRPr="00FA4678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p. (</w:t>
            </w: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 xml:space="preserve">Arg415*)], [c.2287del, </w:t>
            </w:r>
            <w:proofErr w:type="gramStart"/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p.(</w:t>
            </w:r>
            <w:proofErr w:type="gramEnd"/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Leu763Cys*4)]</w:t>
            </w:r>
          </w:p>
          <w:p w14:paraId="5579B7D1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compound heterozygous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B201" w14:textId="77777777" w:rsidR="00C631E0" w:rsidRPr="00FA4678" w:rsidRDefault="00C631E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FA4678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6 y</w:t>
            </w:r>
          </w:p>
        </w:tc>
      </w:tr>
    </w:tbl>
    <w:p w14:paraId="50B9ADC2" w14:textId="77777777" w:rsidR="00C631E0" w:rsidRPr="00FA4678" w:rsidRDefault="00C631E0" w:rsidP="007408E7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0A71416" w14:textId="0EBF8863" w:rsidR="00B4608A" w:rsidRPr="00FA4678" w:rsidRDefault="00B4608A" w:rsidP="00C631E0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4DFF6D5" w14:textId="7F0D4468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B0653BA" w14:textId="7CC6C97A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712C5563" w14:textId="4CD4B1C6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6B4C7AF" w14:textId="305D3461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2AF42BC" w14:textId="189FE371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6880EEC" w14:textId="4CB14661" w:rsidR="006F0FFD" w:rsidRPr="00FA4678" w:rsidRDefault="006F0FFD" w:rsidP="00B4608A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48BEBDCD" w14:textId="77777777" w:rsidR="00C631E0" w:rsidRPr="00FA4678" w:rsidRDefault="00C631E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DE89CD6" w14:textId="55874515" w:rsidR="00B26D0A" w:rsidRPr="00FA4678" w:rsidRDefault="006F0FFD" w:rsidP="007408E7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table 2. Reverse and forward primers used in RT-qPCR. </w:t>
      </w:r>
      <w:r w:rsidRPr="00FA4678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The primers were used at a concentration of </w:t>
      </w:r>
      <w:r w:rsidRPr="00FA4678">
        <w:rPr>
          <w:rFonts w:asciiTheme="majorBidi" w:hAnsiTheme="majorBidi" w:cstheme="majorBidi"/>
          <w:sz w:val="24"/>
          <w:szCs w:val="24"/>
        </w:rPr>
        <w:t xml:space="preserve">2 µM in a mix with MESA Blue qPCR MASTER-MIX, distilled water and 5µL of each cDNA. Amplification integrity was checked at the end of each run by melting-curve analysis. </w:t>
      </w:r>
    </w:p>
    <w:p w14:paraId="1FD5914A" w14:textId="77777777" w:rsidR="00B26D0A" w:rsidRPr="00FA4678" w:rsidRDefault="00B26D0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F338BAA" w14:textId="77777777" w:rsidR="00B26D0A" w:rsidRPr="00FA4678" w:rsidRDefault="00B26D0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1"/>
        <w:tblW w:w="9394" w:type="dxa"/>
        <w:tblLook w:val="04A0" w:firstRow="1" w:lastRow="0" w:firstColumn="1" w:lastColumn="0" w:noHBand="0" w:noVBand="1"/>
      </w:tblPr>
      <w:tblGrid>
        <w:gridCol w:w="1559"/>
        <w:gridCol w:w="4051"/>
        <w:gridCol w:w="3784"/>
      </w:tblGrid>
      <w:tr w:rsidR="00B26D0A" w:rsidRPr="00FA4678" w14:paraId="4C22C1CE" w14:textId="77777777" w:rsidTr="00B26D0A">
        <w:trPr>
          <w:trHeight w:val="243"/>
        </w:trPr>
        <w:tc>
          <w:tcPr>
            <w:tcW w:w="1559" w:type="dxa"/>
          </w:tcPr>
          <w:p w14:paraId="5781D30C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Primers</w:t>
            </w:r>
          </w:p>
        </w:tc>
        <w:tc>
          <w:tcPr>
            <w:tcW w:w="4051" w:type="dxa"/>
          </w:tcPr>
          <w:p w14:paraId="2A8A487B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Forward </w:t>
            </w:r>
          </w:p>
        </w:tc>
        <w:tc>
          <w:tcPr>
            <w:tcW w:w="3784" w:type="dxa"/>
          </w:tcPr>
          <w:p w14:paraId="160B5759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Reverse </w:t>
            </w:r>
          </w:p>
        </w:tc>
      </w:tr>
      <w:tr w:rsidR="00B26D0A" w:rsidRPr="00FA4678" w14:paraId="2771B87F" w14:textId="77777777" w:rsidTr="00B26D0A">
        <w:trPr>
          <w:trHeight w:val="228"/>
        </w:trPr>
        <w:tc>
          <w:tcPr>
            <w:tcW w:w="1559" w:type="dxa"/>
          </w:tcPr>
          <w:p w14:paraId="6C71D8D2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XPC</w:t>
            </w:r>
          </w:p>
        </w:tc>
        <w:tc>
          <w:tcPr>
            <w:tcW w:w="4051" w:type="dxa"/>
          </w:tcPr>
          <w:p w14:paraId="6697DA16" w14:textId="1F0912D0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CCATGAGGACACACACAAGG</w:t>
            </w:r>
          </w:p>
        </w:tc>
        <w:tc>
          <w:tcPr>
            <w:tcW w:w="3784" w:type="dxa"/>
          </w:tcPr>
          <w:p w14:paraId="6A966A1D" w14:textId="2E332A85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TCCAATGAACCACTTCAC</w:t>
            </w:r>
            <w:r w:rsidR="007408E7" w:rsidRPr="00FA4678">
              <w:rPr>
                <w:rFonts w:asciiTheme="majorBidi" w:hAnsiTheme="majorBidi" w:cstheme="majorBidi"/>
                <w:sz w:val="24"/>
                <w:szCs w:val="24"/>
              </w:rPr>
              <w:t>CA</w:t>
            </w:r>
          </w:p>
        </w:tc>
      </w:tr>
      <w:tr w:rsidR="00B26D0A" w:rsidRPr="00FA4678" w14:paraId="3C49765E" w14:textId="77777777" w:rsidTr="00B26D0A">
        <w:trPr>
          <w:trHeight w:val="243"/>
        </w:trPr>
        <w:tc>
          <w:tcPr>
            <w:tcW w:w="1559" w:type="dxa"/>
          </w:tcPr>
          <w:p w14:paraId="50BFB16F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OGG1</w:t>
            </w:r>
          </w:p>
        </w:tc>
        <w:tc>
          <w:tcPr>
            <w:tcW w:w="4051" w:type="dxa"/>
          </w:tcPr>
          <w:p w14:paraId="6506CC3C" w14:textId="69E00E10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TGGAAGAACAGGGCGGGCTA</w:t>
            </w:r>
          </w:p>
        </w:tc>
        <w:tc>
          <w:tcPr>
            <w:tcW w:w="3784" w:type="dxa"/>
          </w:tcPr>
          <w:p w14:paraId="50D5FCA0" w14:textId="2EC5436C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ATGGACATCCACGGGCACAG</w:t>
            </w:r>
          </w:p>
        </w:tc>
      </w:tr>
      <w:tr w:rsidR="0084568F" w:rsidRPr="00FA4678" w14:paraId="116A0274" w14:textId="77777777" w:rsidTr="000D60C4">
        <w:trPr>
          <w:trHeight w:val="297"/>
        </w:trPr>
        <w:tc>
          <w:tcPr>
            <w:tcW w:w="1559" w:type="dxa"/>
            <w:shd w:val="clear" w:color="auto" w:fill="auto"/>
          </w:tcPr>
          <w:p w14:paraId="19855AAE" w14:textId="31EB91C5" w:rsidR="0084568F" w:rsidRPr="00FA4678" w:rsidRDefault="0084568F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MYH</w:t>
            </w:r>
          </w:p>
        </w:tc>
        <w:tc>
          <w:tcPr>
            <w:tcW w:w="4051" w:type="dxa"/>
            <w:shd w:val="clear" w:color="auto" w:fill="auto"/>
          </w:tcPr>
          <w:p w14:paraId="2BF49742" w14:textId="0F37FC79" w:rsidR="0084568F" w:rsidRPr="00FA4678" w:rsidRDefault="0084568F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CCAGAGAGTGGAGCAGGAAC</w:t>
            </w:r>
          </w:p>
        </w:tc>
        <w:tc>
          <w:tcPr>
            <w:tcW w:w="3784" w:type="dxa"/>
            <w:shd w:val="clear" w:color="auto" w:fill="auto"/>
          </w:tcPr>
          <w:p w14:paraId="615B94D8" w14:textId="48E1BC7C" w:rsidR="0084568F" w:rsidRPr="00FA4678" w:rsidRDefault="0084568F" w:rsidP="0084568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 xml:space="preserve">TTTCTGGGGAAGTTGACCAC </w:t>
            </w:r>
          </w:p>
        </w:tc>
      </w:tr>
      <w:tr w:rsidR="00B26D0A" w:rsidRPr="00FA4678" w14:paraId="3E1393AE" w14:textId="77777777" w:rsidTr="0084568F">
        <w:trPr>
          <w:trHeight w:val="243"/>
        </w:trPr>
        <w:tc>
          <w:tcPr>
            <w:tcW w:w="1559" w:type="dxa"/>
            <w:shd w:val="clear" w:color="auto" w:fill="auto"/>
          </w:tcPr>
          <w:p w14:paraId="694ED1BB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APE1</w:t>
            </w:r>
          </w:p>
        </w:tc>
        <w:tc>
          <w:tcPr>
            <w:tcW w:w="4051" w:type="dxa"/>
            <w:shd w:val="clear" w:color="auto" w:fill="auto"/>
          </w:tcPr>
          <w:p w14:paraId="0FD0EE1E" w14:textId="3C587A02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GCTGCCTGGACTCTCTCATC</w:t>
            </w:r>
          </w:p>
        </w:tc>
        <w:tc>
          <w:tcPr>
            <w:tcW w:w="3784" w:type="dxa"/>
            <w:shd w:val="clear" w:color="auto" w:fill="auto"/>
          </w:tcPr>
          <w:p w14:paraId="5D4BC00D" w14:textId="2F7783F1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GCTGTTACCAGCACAAACGA</w:t>
            </w:r>
          </w:p>
        </w:tc>
      </w:tr>
      <w:tr w:rsidR="00B26D0A" w:rsidRPr="00FA4678" w14:paraId="7B87EC50" w14:textId="77777777" w:rsidTr="00B26D0A">
        <w:trPr>
          <w:trHeight w:val="228"/>
        </w:trPr>
        <w:tc>
          <w:tcPr>
            <w:tcW w:w="1559" w:type="dxa"/>
          </w:tcPr>
          <w:p w14:paraId="101555B4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LIG3</w:t>
            </w:r>
          </w:p>
        </w:tc>
        <w:tc>
          <w:tcPr>
            <w:tcW w:w="4051" w:type="dxa"/>
          </w:tcPr>
          <w:p w14:paraId="1D85858D" w14:textId="4A5FC2AD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GCTCAGCAGGAGATGGTTTC</w:t>
            </w:r>
          </w:p>
        </w:tc>
        <w:tc>
          <w:tcPr>
            <w:tcW w:w="3784" w:type="dxa"/>
          </w:tcPr>
          <w:p w14:paraId="26613DAD" w14:textId="24E0BED7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TCTAGGTCCCGTGCCATATC</w:t>
            </w:r>
          </w:p>
        </w:tc>
      </w:tr>
      <w:tr w:rsidR="00B26D0A" w:rsidRPr="00FA4678" w14:paraId="3DBF5BAC" w14:textId="77777777" w:rsidTr="00B26D0A">
        <w:trPr>
          <w:trHeight w:val="243"/>
        </w:trPr>
        <w:tc>
          <w:tcPr>
            <w:tcW w:w="1559" w:type="dxa"/>
          </w:tcPr>
          <w:p w14:paraId="2881AA6E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XRCC1</w:t>
            </w:r>
          </w:p>
        </w:tc>
        <w:tc>
          <w:tcPr>
            <w:tcW w:w="4051" w:type="dxa"/>
          </w:tcPr>
          <w:p w14:paraId="1174110F" w14:textId="5BE2F33B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CAGCCCTACAGCAAGGACTC</w:t>
            </w:r>
          </w:p>
        </w:tc>
        <w:tc>
          <w:tcPr>
            <w:tcW w:w="3784" w:type="dxa"/>
          </w:tcPr>
          <w:p w14:paraId="2CBF30C9" w14:textId="259CFDBF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GCTGTGACTGGGGATGTCTT</w:t>
            </w:r>
          </w:p>
        </w:tc>
      </w:tr>
      <w:tr w:rsidR="00B26D0A" w:rsidRPr="00FA4678" w14:paraId="27B83D3D" w14:textId="77777777" w:rsidTr="00B26D0A">
        <w:trPr>
          <w:trHeight w:val="243"/>
        </w:trPr>
        <w:tc>
          <w:tcPr>
            <w:tcW w:w="1559" w:type="dxa"/>
          </w:tcPr>
          <w:p w14:paraId="712CA85A" w14:textId="77777777" w:rsidR="00B26D0A" w:rsidRPr="00FA4678" w:rsidRDefault="00B26D0A" w:rsidP="00B26D0A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Polβ</w:t>
            </w:r>
          </w:p>
        </w:tc>
        <w:tc>
          <w:tcPr>
            <w:tcW w:w="4051" w:type="dxa"/>
          </w:tcPr>
          <w:p w14:paraId="594380DA" w14:textId="01BD6B48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GAGAAGAACGTGAGCCAAGC</w:t>
            </w:r>
          </w:p>
        </w:tc>
        <w:tc>
          <w:tcPr>
            <w:tcW w:w="3784" w:type="dxa"/>
          </w:tcPr>
          <w:p w14:paraId="0DB3044A" w14:textId="621EE994" w:rsidR="00B26D0A" w:rsidRPr="00FA4678" w:rsidRDefault="00B26D0A" w:rsidP="00B26D0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CGTATCATCCTGCCGAATCT</w:t>
            </w:r>
          </w:p>
        </w:tc>
      </w:tr>
    </w:tbl>
    <w:p w14:paraId="0A6254CD" w14:textId="77777777" w:rsidR="00B4608A" w:rsidRPr="00FA4678" w:rsidRDefault="00B4608A" w:rsidP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F109CEA" w14:textId="30402971" w:rsidR="00BE0FBC" w:rsidRPr="00FA4678" w:rsidRDefault="00BE0FB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88291DE" w14:textId="3422C5DE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50DB5C8" w14:textId="6A039537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6805DD6" w14:textId="259CA213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50289C0" w14:textId="4D6B2BDE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37EC86E" w14:textId="51DBE333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BA8010D" w14:textId="773D54A4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E520C7" w14:textId="1F2715E3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97F63A8" w14:textId="671EF4BA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99F7577" w14:textId="656A0D4D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08D3038" w14:textId="337FA7BD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352DDDE" w14:textId="5D16702D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0DA6915" w14:textId="15FE1257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F124090" w14:textId="0A43AD8E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165E0DF" w14:textId="41722A9E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3D9D021" w14:textId="66126EEF" w:rsidR="00844B5A" w:rsidRPr="00FA4678" w:rsidRDefault="00844B5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C36A4B5" w14:textId="0759A473" w:rsidR="00844B5A" w:rsidRPr="00FA4678" w:rsidRDefault="00844B5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5068A73" w14:textId="77777777" w:rsidR="00844B5A" w:rsidRPr="00FA4678" w:rsidRDefault="00844B5A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741102A" w14:textId="17D31245" w:rsidR="006F0FFD" w:rsidRPr="00FA4678" w:rsidRDefault="006F0FFD" w:rsidP="006F0FFD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Supplementary table 3. Measurement of LD50 for normal and XP-C primary fibroblasts upon exposure to different UVB-doses. </w:t>
      </w:r>
      <w:r w:rsidRPr="00FA4678">
        <w:rPr>
          <w:rFonts w:asciiTheme="majorBidi" w:hAnsiTheme="majorBidi" w:cstheme="majorBidi"/>
          <w:sz w:val="24"/>
          <w:szCs w:val="24"/>
        </w:rPr>
        <w:t xml:space="preserve">LD50 represents the UVB dose that will reduce 50% of the in-vitro cell survival. It is calculated after short-cytotoxicity test that represents cellular viability </w:t>
      </w:r>
      <w:r w:rsidRPr="00FA4678">
        <w:rPr>
          <w:rFonts w:asciiTheme="majorBidi" w:hAnsiTheme="majorBidi" w:cstheme="majorBidi"/>
          <w:i/>
          <w:iCs/>
          <w:sz w:val="24"/>
          <w:szCs w:val="24"/>
        </w:rPr>
        <w:t>vs</w:t>
      </w:r>
      <w:r w:rsidRPr="00FA4678">
        <w:rPr>
          <w:rFonts w:asciiTheme="majorBidi" w:hAnsiTheme="majorBidi" w:cstheme="majorBidi"/>
          <w:sz w:val="24"/>
          <w:szCs w:val="24"/>
        </w:rPr>
        <w:t>. UVB doses. The results represent the average of three different experiments, n=3.</w:t>
      </w:r>
    </w:p>
    <w:p w14:paraId="1438BBDD" w14:textId="77777777" w:rsidR="00B4608A" w:rsidRPr="00FA4678" w:rsidRDefault="00B4608A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450" w:type="dxa"/>
        <w:tblInd w:w="-185" w:type="dxa"/>
        <w:tblLook w:val="04A0" w:firstRow="1" w:lastRow="0" w:firstColumn="1" w:lastColumn="0" w:noHBand="0" w:noVBand="1"/>
      </w:tblPr>
      <w:tblGrid>
        <w:gridCol w:w="1710"/>
        <w:gridCol w:w="3960"/>
        <w:gridCol w:w="3780"/>
      </w:tblGrid>
      <w:tr w:rsidR="00207ABE" w:rsidRPr="00FA4678" w14:paraId="0FA25BA1" w14:textId="77777777" w:rsidTr="00B26D0A">
        <w:trPr>
          <w:trHeight w:val="436"/>
        </w:trPr>
        <w:tc>
          <w:tcPr>
            <w:tcW w:w="1710" w:type="dxa"/>
          </w:tcPr>
          <w:p w14:paraId="7B608D41" w14:textId="77777777" w:rsidR="00207ABE" w:rsidRPr="00FA4678" w:rsidRDefault="00207ABE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Fibroblasts</w:t>
            </w:r>
          </w:p>
        </w:tc>
        <w:tc>
          <w:tcPr>
            <w:tcW w:w="3960" w:type="dxa"/>
          </w:tcPr>
          <w:p w14:paraId="4217E50F" w14:textId="064ABDC7" w:rsidR="00207ABE" w:rsidRPr="00FA4678" w:rsidRDefault="00207ABE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LD</w:t>
            </w:r>
            <w:proofErr w:type="gramStart"/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  <w:r w:rsidR="005A11C5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J</w:t>
            </w:r>
            <w:proofErr w:type="gramEnd"/>
            <w:r w:rsidR="005A11C5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/c</w:t>
            </w:r>
            <w:r w:rsidR="00FE627D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5A11C5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²</w:t>
            </w:r>
          </w:p>
        </w:tc>
        <w:tc>
          <w:tcPr>
            <w:tcW w:w="3780" w:type="dxa"/>
          </w:tcPr>
          <w:p w14:paraId="29BB4066" w14:textId="7C5F2327" w:rsidR="00207ABE" w:rsidRPr="00FA4678" w:rsidRDefault="00207ABE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LD50 for all together</w:t>
            </w:r>
            <w:r w:rsidR="005A11C5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J/c</w:t>
            </w:r>
            <w:r w:rsidR="00FE627D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="005A11C5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²</w:t>
            </w:r>
          </w:p>
        </w:tc>
      </w:tr>
      <w:tr w:rsidR="005A11C5" w:rsidRPr="00FA4678" w14:paraId="4B6B670E" w14:textId="77777777" w:rsidTr="00B26D0A">
        <w:trPr>
          <w:trHeight w:val="409"/>
        </w:trPr>
        <w:tc>
          <w:tcPr>
            <w:tcW w:w="1710" w:type="dxa"/>
          </w:tcPr>
          <w:p w14:paraId="62A1E968" w14:textId="7777777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Normal N=3</w:t>
            </w:r>
          </w:p>
        </w:tc>
        <w:tc>
          <w:tcPr>
            <w:tcW w:w="3960" w:type="dxa"/>
          </w:tcPr>
          <w:p w14:paraId="78842447" w14:textId="3E7669AD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0.1</w:t>
            </w:r>
            <w:r w:rsidR="00F23ACB" w:rsidRPr="00FA4678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3780" w:type="dxa"/>
            <w:vMerge w:val="restart"/>
          </w:tcPr>
          <w:p w14:paraId="0070AE69" w14:textId="7777777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DF93EF" w14:textId="7777777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53B34F6" w14:textId="01BAB4C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0.1</w:t>
            </w:r>
            <w:r w:rsidR="00F23ACB" w:rsidRPr="00FA4678">
              <w:rPr>
                <w:rFonts w:asciiTheme="majorBidi" w:hAnsiTheme="majorBidi" w:cstheme="majorBidi"/>
                <w:sz w:val="24"/>
                <w:szCs w:val="24"/>
              </w:rPr>
              <w:t>355</w:t>
            </w:r>
          </w:p>
        </w:tc>
      </w:tr>
      <w:tr w:rsidR="005A11C5" w:rsidRPr="00FA4678" w14:paraId="7279AF04" w14:textId="77777777" w:rsidTr="00B26D0A">
        <w:trPr>
          <w:trHeight w:val="436"/>
        </w:trPr>
        <w:tc>
          <w:tcPr>
            <w:tcW w:w="1710" w:type="dxa"/>
          </w:tcPr>
          <w:p w14:paraId="725D6BEF" w14:textId="7E79CF7A" w:rsidR="005A11C5" w:rsidRPr="00FA4678" w:rsidRDefault="00FE627D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XP</w:t>
            </w:r>
            <w:r w:rsidR="005D0713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3960" w:type="dxa"/>
          </w:tcPr>
          <w:p w14:paraId="0502A697" w14:textId="1D1E4440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0.1</w:t>
            </w:r>
            <w:r w:rsidR="00F23ACB" w:rsidRPr="00FA4678">
              <w:rPr>
                <w:rFonts w:asciiTheme="majorBidi" w:hAnsiTheme="majorBidi" w:cstheme="majorBidi"/>
                <w:sz w:val="24"/>
                <w:szCs w:val="24"/>
              </w:rPr>
              <w:t>79</w:t>
            </w:r>
          </w:p>
        </w:tc>
        <w:tc>
          <w:tcPr>
            <w:tcW w:w="3780" w:type="dxa"/>
            <w:vMerge/>
          </w:tcPr>
          <w:p w14:paraId="51BD9E96" w14:textId="7777777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11C5" w:rsidRPr="00FA4678" w14:paraId="02350245" w14:textId="77777777" w:rsidTr="00B26D0A">
        <w:trPr>
          <w:trHeight w:val="436"/>
        </w:trPr>
        <w:tc>
          <w:tcPr>
            <w:tcW w:w="1710" w:type="dxa"/>
          </w:tcPr>
          <w:p w14:paraId="413C1414" w14:textId="22197AB3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XP</w:t>
            </w:r>
            <w:r w:rsidR="005D0713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FE627D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3960" w:type="dxa"/>
          </w:tcPr>
          <w:p w14:paraId="38DB2533" w14:textId="59FA0958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23ACB" w:rsidRPr="00FA4678">
              <w:rPr>
                <w:rFonts w:asciiTheme="majorBidi" w:hAnsiTheme="majorBidi" w:cstheme="majorBidi"/>
                <w:sz w:val="24"/>
                <w:szCs w:val="24"/>
              </w:rPr>
              <w:t>064</w:t>
            </w:r>
          </w:p>
        </w:tc>
        <w:tc>
          <w:tcPr>
            <w:tcW w:w="3780" w:type="dxa"/>
            <w:vMerge/>
          </w:tcPr>
          <w:p w14:paraId="4A2ED883" w14:textId="7777777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11C5" w:rsidRPr="00FA4678" w14:paraId="541958DC" w14:textId="77777777" w:rsidTr="00B26D0A">
        <w:trPr>
          <w:trHeight w:val="409"/>
        </w:trPr>
        <w:tc>
          <w:tcPr>
            <w:tcW w:w="1710" w:type="dxa"/>
          </w:tcPr>
          <w:p w14:paraId="46A4BB07" w14:textId="4684F6C6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XP</w:t>
            </w:r>
            <w:r w:rsidR="005D0713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</w:t>
            </w:r>
            <w:r w:rsidR="00FE627D" w:rsidRPr="00FA46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C3</w:t>
            </w:r>
          </w:p>
        </w:tc>
        <w:tc>
          <w:tcPr>
            <w:tcW w:w="3960" w:type="dxa"/>
          </w:tcPr>
          <w:p w14:paraId="38A7CA98" w14:textId="72F911E6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A4678">
              <w:rPr>
                <w:rFonts w:asciiTheme="majorBidi" w:hAnsiTheme="majorBidi" w:cstheme="majorBidi"/>
                <w:sz w:val="24"/>
                <w:szCs w:val="24"/>
              </w:rPr>
              <w:t>0.</w:t>
            </w:r>
            <w:r w:rsidR="00F23ACB" w:rsidRPr="00FA4678">
              <w:rPr>
                <w:rFonts w:asciiTheme="majorBidi" w:hAnsiTheme="majorBidi" w:cstheme="majorBidi"/>
                <w:sz w:val="24"/>
                <w:szCs w:val="24"/>
              </w:rPr>
              <w:t>152</w:t>
            </w:r>
          </w:p>
        </w:tc>
        <w:tc>
          <w:tcPr>
            <w:tcW w:w="3780" w:type="dxa"/>
            <w:vMerge/>
          </w:tcPr>
          <w:p w14:paraId="18140BE7" w14:textId="77777777" w:rsidR="005A11C5" w:rsidRPr="00FA4678" w:rsidRDefault="005A11C5" w:rsidP="005A11C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EF8CCA4" w14:textId="77777777" w:rsidR="00B4608A" w:rsidRPr="00FA4678" w:rsidRDefault="00B4608A" w:rsidP="0084568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2F7EFAD2" w14:textId="77777777" w:rsidR="00207ABE" w:rsidRPr="00FA4678" w:rsidRDefault="0020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5691CA3" w14:textId="77777777" w:rsidR="00207ABE" w:rsidRPr="00FA4678" w:rsidRDefault="00207AB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C7C6498" w14:textId="77777777" w:rsidR="00D175DE" w:rsidRPr="00FA4678" w:rsidRDefault="00D175DE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B2BEAB7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ED863F9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E7FF3BE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DB680EA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D7C5006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516C6CE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5D59165" w14:textId="77777777" w:rsidR="00E84A65" w:rsidRPr="00FA4678" w:rsidRDefault="00E84A65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34E2B0E" w14:textId="47305D1A" w:rsidR="00A542C3" w:rsidRPr="00FA4678" w:rsidRDefault="00A542C3" w:rsidP="00A542C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183A35F0" wp14:editId="3E777219">
            <wp:extent cx="5430520" cy="885193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266" cy="887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EAB64" w14:textId="49DE7573" w:rsidR="00BE0FBC" w:rsidRPr="00FA4678" w:rsidRDefault="00BE0FBC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sz w:val="24"/>
          <w:szCs w:val="24"/>
        </w:rPr>
        <w:lastRenderedPageBreak/>
        <w:t>Supplementary figure 1. Immunocytochemistry images showing the 6-4PP photoproducts in normal and XP</w:t>
      </w:r>
      <w:r w:rsidR="001C472C" w:rsidRPr="00FA4678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FA4678">
        <w:rPr>
          <w:rFonts w:asciiTheme="majorBidi" w:hAnsiTheme="majorBidi" w:cstheme="majorBidi"/>
          <w:b/>
          <w:bCs/>
          <w:sz w:val="24"/>
          <w:szCs w:val="24"/>
        </w:rPr>
        <w:t>C primary fibroblast</w:t>
      </w:r>
      <w:r w:rsidR="007D3F9B" w:rsidRPr="00FA4678">
        <w:rPr>
          <w:rFonts w:asciiTheme="majorBidi" w:hAnsiTheme="majorBidi" w:cstheme="majorBidi"/>
          <w:b/>
          <w:bCs/>
          <w:sz w:val="24"/>
          <w:szCs w:val="24"/>
        </w:rPr>
        <w:t>, XP</w:t>
      </w:r>
      <w:r w:rsidR="005D0713" w:rsidRPr="00FA467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7D3F9B" w:rsidRPr="00FA4678">
        <w:rPr>
          <w:rFonts w:asciiTheme="majorBidi" w:hAnsiTheme="majorBidi" w:cstheme="majorBidi"/>
          <w:b/>
          <w:bCs/>
          <w:sz w:val="24"/>
          <w:szCs w:val="24"/>
        </w:rPr>
        <w:t>C1</w:t>
      </w:r>
      <w:r w:rsidRPr="00FA467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FA4678">
        <w:rPr>
          <w:rFonts w:asciiTheme="majorBidi" w:hAnsiTheme="majorBidi" w:cstheme="majorBidi"/>
          <w:sz w:val="24"/>
          <w:szCs w:val="24"/>
        </w:rPr>
        <w:t>This was done at 0 and 24 hours</w:t>
      </w:r>
      <w:r w:rsidR="0084568F" w:rsidRPr="00FA4678">
        <w:rPr>
          <w:rFonts w:asciiTheme="majorBidi" w:hAnsiTheme="majorBidi" w:cstheme="majorBidi"/>
          <w:sz w:val="24"/>
          <w:szCs w:val="24"/>
        </w:rPr>
        <w:t xml:space="preserve"> post</w:t>
      </w:r>
      <w:r w:rsidR="00613CCA" w:rsidRPr="00FA4678">
        <w:rPr>
          <w:rFonts w:asciiTheme="majorBidi" w:hAnsiTheme="majorBidi" w:cstheme="majorBidi"/>
          <w:sz w:val="24"/>
          <w:szCs w:val="24"/>
        </w:rPr>
        <w:t>-</w:t>
      </w:r>
      <w:r w:rsidR="0084568F" w:rsidRPr="00FA4678">
        <w:rPr>
          <w:rFonts w:asciiTheme="majorBidi" w:hAnsiTheme="majorBidi" w:cstheme="majorBidi"/>
          <w:sz w:val="24"/>
          <w:szCs w:val="24"/>
        </w:rPr>
        <w:t>UVB-irradiation</w:t>
      </w:r>
      <w:r w:rsidRPr="00FA4678">
        <w:rPr>
          <w:rFonts w:asciiTheme="majorBidi" w:hAnsiTheme="majorBidi" w:cstheme="majorBidi"/>
          <w:sz w:val="24"/>
          <w:szCs w:val="24"/>
        </w:rPr>
        <w:t xml:space="preserve"> where anti-</w:t>
      </w:r>
      <w:r w:rsidR="00413A63" w:rsidRPr="00FA4678">
        <w:rPr>
          <w:rFonts w:asciiTheme="majorBidi" w:hAnsiTheme="majorBidi" w:cstheme="majorBidi"/>
          <w:sz w:val="24"/>
          <w:szCs w:val="24"/>
        </w:rPr>
        <w:t>(</w:t>
      </w:r>
      <w:r w:rsidRPr="00FA4678">
        <w:rPr>
          <w:rFonts w:asciiTheme="majorBidi" w:hAnsiTheme="majorBidi" w:cstheme="majorBidi"/>
          <w:sz w:val="24"/>
          <w:szCs w:val="24"/>
        </w:rPr>
        <w:t>6-4</w:t>
      </w:r>
      <w:r w:rsidR="00413A63" w:rsidRPr="00FA4678">
        <w:rPr>
          <w:rFonts w:asciiTheme="majorBidi" w:hAnsiTheme="majorBidi" w:cstheme="majorBidi"/>
          <w:sz w:val="24"/>
          <w:szCs w:val="24"/>
        </w:rPr>
        <w:t xml:space="preserve">) </w:t>
      </w:r>
      <w:r w:rsidRPr="00FA4678">
        <w:rPr>
          <w:rFonts w:asciiTheme="majorBidi" w:hAnsiTheme="majorBidi" w:cstheme="majorBidi"/>
          <w:sz w:val="24"/>
          <w:szCs w:val="24"/>
        </w:rPr>
        <w:t xml:space="preserve">PP was used to detect how </w:t>
      </w:r>
      <w:r w:rsidR="0084568F" w:rsidRPr="00FA4678">
        <w:rPr>
          <w:rFonts w:asciiTheme="majorBidi" w:hAnsiTheme="majorBidi" w:cstheme="majorBidi"/>
          <w:sz w:val="24"/>
          <w:szCs w:val="24"/>
        </w:rPr>
        <w:t>(6-4)</w:t>
      </w:r>
      <w:r w:rsidR="00413A63" w:rsidRPr="00FA4678">
        <w:rPr>
          <w:rFonts w:asciiTheme="majorBidi" w:hAnsiTheme="majorBidi" w:cstheme="majorBidi"/>
          <w:sz w:val="24"/>
          <w:szCs w:val="24"/>
        </w:rPr>
        <w:t xml:space="preserve"> </w:t>
      </w:r>
      <w:r w:rsidR="0084568F" w:rsidRPr="00FA4678">
        <w:rPr>
          <w:rFonts w:asciiTheme="majorBidi" w:hAnsiTheme="majorBidi" w:cstheme="majorBidi"/>
          <w:sz w:val="24"/>
          <w:szCs w:val="24"/>
        </w:rPr>
        <w:t>PPs</w:t>
      </w:r>
      <w:r w:rsidRPr="00FA4678">
        <w:rPr>
          <w:rFonts w:asciiTheme="majorBidi" w:hAnsiTheme="majorBidi" w:cstheme="majorBidi"/>
          <w:sz w:val="24"/>
          <w:szCs w:val="24"/>
        </w:rPr>
        <w:t xml:space="preserve"> is repaired by time in control and mutated fibroblasts.</w:t>
      </w:r>
      <w:r w:rsidR="00DF09F4" w:rsidRPr="00FA4678">
        <w:rPr>
          <w:rFonts w:asciiTheme="majorBidi" w:hAnsiTheme="majorBidi" w:cstheme="majorBidi"/>
          <w:sz w:val="24"/>
          <w:szCs w:val="24"/>
        </w:rPr>
        <w:t xml:space="preserve"> </w:t>
      </w:r>
      <w:r w:rsidR="00E84A65" w:rsidRPr="00FA4678">
        <w:rPr>
          <w:rFonts w:asciiTheme="majorBidi" w:hAnsiTheme="majorBidi" w:cstheme="majorBidi"/>
          <w:sz w:val="24"/>
          <w:szCs w:val="24"/>
        </w:rPr>
        <w:t xml:space="preserve">Green </w:t>
      </w:r>
      <w:proofErr w:type="spellStart"/>
      <w:r w:rsidR="00E84A65" w:rsidRPr="00FA4678">
        <w:rPr>
          <w:rFonts w:asciiTheme="majorBidi" w:hAnsiTheme="majorBidi" w:cstheme="majorBidi"/>
          <w:sz w:val="24"/>
          <w:szCs w:val="24"/>
        </w:rPr>
        <w:t>color</w:t>
      </w:r>
      <w:proofErr w:type="spellEnd"/>
      <w:r w:rsidR="00E84A65" w:rsidRPr="00FA4678">
        <w:rPr>
          <w:rFonts w:asciiTheme="majorBidi" w:hAnsiTheme="majorBidi" w:cstheme="majorBidi"/>
          <w:sz w:val="24"/>
          <w:szCs w:val="24"/>
        </w:rPr>
        <w:t xml:space="preserve"> represents the presence of </w:t>
      </w:r>
      <w:r w:rsidR="00413A63" w:rsidRPr="00FA4678">
        <w:rPr>
          <w:rFonts w:asciiTheme="majorBidi" w:hAnsiTheme="majorBidi" w:cstheme="majorBidi"/>
          <w:sz w:val="24"/>
          <w:szCs w:val="24"/>
        </w:rPr>
        <w:t>(</w:t>
      </w:r>
      <w:r w:rsidR="00E84A65" w:rsidRPr="00FA4678">
        <w:rPr>
          <w:rFonts w:asciiTheme="majorBidi" w:hAnsiTheme="majorBidi" w:cstheme="majorBidi"/>
          <w:sz w:val="24"/>
          <w:szCs w:val="24"/>
        </w:rPr>
        <w:t>6-4</w:t>
      </w:r>
      <w:r w:rsidR="00413A63" w:rsidRPr="00FA4678">
        <w:rPr>
          <w:rFonts w:asciiTheme="majorBidi" w:hAnsiTheme="majorBidi" w:cstheme="majorBidi"/>
          <w:sz w:val="24"/>
          <w:szCs w:val="24"/>
        </w:rPr>
        <w:t xml:space="preserve">) </w:t>
      </w:r>
      <w:r w:rsidR="00E84A65" w:rsidRPr="00FA4678">
        <w:rPr>
          <w:rFonts w:asciiTheme="majorBidi" w:hAnsiTheme="majorBidi" w:cstheme="majorBidi"/>
          <w:sz w:val="24"/>
          <w:szCs w:val="24"/>
        </w:rPr>
        <w:t>PPs in the nuclei.</w:t>
      </w:r>
      <w:r w:rsidR="007D3F9B" w:rsidRPr="00FA4678">
        <w:rPr>
          <w:rFonts w:asciiTheme="majorBidi" w:hAnsiTheme="majorBidi" w:cstheme="majorBidi"/>
          <w:sz w:val="24"/>
          <w:szCs w:val="24"/>
        </w:rPr>
        <w:t xml:space="preserve"> Nuclei were visualized by </w:t>
      </w:r>
      <w:r w:rsidR="007D3F9B" w:rsidRPr="00FA4678">
        <w:rPr>
          <w:rFonts w:asciiTheme="majorBidi" w:hAnsiTheme="majorBidi" w:cstheme="majorBidi"/>
          <w:sz w:val="24"/>
          <w:szCs w:val="24"/>
          <w:lang w:val="en-US"/>
        </w:rPr>
        <w:t>Hoechst</w:t>
      </w:r>
      <w:r w:rsidR="007D3F9B" w:rsidRPr="00FA4678">
        <w:rPr>
          <w:rFonts w:asciiTheme="majorBidi" w:hAnsiTheme="majorBidi" w:cstheme="majorBidi"/>
          <w:sz w:val="24"/>
          <w:szCs w:val="24"/>
        </w:rPr>
        <w:t xml:space="preserve"> staining.</w:t>
      </w:r>
      <w:r w:rsidR="00E84A65" w:rsidRPr="00FA4678">
        <w:rPr>
          <w:rFonts w:asciiTheme="majorBidi" w:hAnsiTheme="majorBidi" w:cstheme="majorBidi"/>
          <w:sz w:val="24"/>
          <w:szCs w:val="24"/>
        </w:rPr>
        <w:t xml:space="preserve"> As shown </w:t>
      </w:r>
      <w:r w:rsidR="002F7668" w:rsidRPr="00FA4678">
        <w:rPr>
          <w:rFonts w:asciiTheme="majorBidi" w:hAnsiTheme="majorBidi" w:cstheme="majorBidi"/>
          <w:sz w:val="24"/>
          <w:szCs w:val="24"/>
        </w:rPr>
        <w:t>above</w:t>
      </w:r>
      <w:r w:rsidR="00E84A65" w:rsidRPr="00FA4678">
        <w:rPr>
          <w:rFonts w:asciiTheme="majorBidi" w:hAnsiTheme="majorBidi" w:cstheme="majorBidi"/>
          <w:sz w:val="24"/>
          <w:szCs w:val="24"/>
        </w:rPr>
        <w:t>, no lesions were detect</w:t>
      </w:r>
      <w:r w:rsidR="002F7668" w:rsidRPr="00FA4678">
        <w:rPr>
          <w:rFonts w:asciiTheme="majorBidi" w:hAnsiTheme="majorBidi" w:cstheme="majorBidi"/>
          <w:sz w:val="24"/>
          <w:szCs w:val="24"/>
        </w:rPr>
        <w:t>ed</w:t>
      </w:r>
      <w:r w:rsidR="00E84A65" w:rsidRPr="00FA4678">
        <w:rPr>
          <w:rFonts w:asciiTheme="majorBidi" w:hAnsiTheme="majorBidi" w:cstheme="majorBidi"/>
          <w:sz w:val="24"/>
          <w:szCs w:val="24"/>
        </w:rPr>
        <w:t xml:space="preserve"> in all fibroblasts without UVB stress. Upon UVB</w:t>
      </w:r>
      <w:r w:rsidR="002F7668" w:rsidRPr="00FA4678">
        <w:rPr>
          <w:rFonts w:asciiTheme="majorBidi" w:hAnsiTheme="majorBidi" w:cstheme="majorBidi"/>
          <w:sz w:val="24"/>
          <w:szCs w:val="24"/>
        </w:rPr>
        <w:t xml:space="preserve"> treatment</w:t>
      </w:r>
      <w:r w:rsidR="00E84A65" w:rsidRPr="00FA4678">
        <w:rPr>
          <w:rFonts w:asciiTheme="majorBidi" w:hAnsiTheme="majorBidi" w:cstheme="majorBidi"/>
          <w:sz w:val="24"/>
          <w:szCs w:val="24"/>
        </w:rPr>
        <w:t>, lesions appear at t=0</w:t>
      </w:r>
      <w:r w:rsidR="00413A63" w:rsidRPr="00FA4678">
        <w:rPr>
          <w:rFonts w:asciiTheme="majorBidi" w:hAnsiTheme="majorBidi" w:cstheme="majorBidi"/>
          <w:sz w:val="24"/>
          <w:szCs w:val="24"/>
        </w:rPr>
        <w:t xml:space="preserve"> </w:t>
      </w:r>
      <w:r w:rsidR="00E84A65" w:rsidRPr="00FA4678">
        <w:rPr>
          <w:rFonts w:asciiTheme="majorBidi" w:hAnsiTheme="majorBidi" w:cstheme="majorBidi"/>
          <w:sz w:val="24"/>
          <w:szCs w:val="24"/>
        </w:rPr>
        <w:t>hours to be repaired almost completely in the normal fibroblasts but still present in XP</w:t>
      </w:r>
      <w:r w:rsidR="005D0713" w:rsidRPr="00FA4678">
        <w:rPr>
          <w:rFonts w:asciiTheme="majorBidi" w:hAnsiTheme="majorBidi" w:cstheme="majorBidi"/>
          <w:sz w:val="24"/>
          <w:szCs w:val="24"/>
        </w:rPr>
        <w:t>-</w:t>
      </w:r>
      <w:r w:rsidR="00E84A65" w:rsidRPr="00FA4678">
        <w:rPr>
          <w:rFonts w:asciiTheme="majorBidi" w:hAnsiTheme="majorBidi" w:cstheme="majorBidi"/>
          <w:sz w:val="24"/>
          <w:szCs w:val="24"/>
        </w:rPr>
        <w:t>C fibroblast</w:t>
      </w:r>
      <w:r w:rsidR="007D3F9B" w:rsidRPr="00FA4678">
        <w:rPr>
          <w:rFonts w:asciiTheme="majorBidi" w:hAnsiTheme="majorBidi" w:cstheme="majorBidi"/>
          <w:sz w:val="24"/>
          <w:szCs w:val="24"/>
        </w:rPr>
        <w:t xml:space="preserve"> (XP</w:t>
      </w:r>
      <w:r w:rsidR="005D0713" w:rsidRPr="00FA4678">
        <w:rPr>
          <w:rFonts w:asciiTheme="majorBidi" w:hAnsiTheme="majorBidi" w:cstheme="majorBidi"/>
          <w:sz w:val="24"/>
          <w:szCs w:val="24"/>
        </w:rPr>
        <w:t>-</w:t>
      </w:r>
      <w:r w:rsidR="007D3F9B" w:rsidRPr="00FA4678">
        <w:rPr>
          <w:rFonts w:asciiTheme="majorBidi" w:hAnsiTheme="majorBidi" w:cstheme="majorBidi"/>
          <w:sz w:val="24"/>
          <w:szCs w:val="24"/>
        </w:rPr>
        <w:t>C1).</w:t>
      </w:r>
    </w:p>
    <w:p w14:paraId="27DDCC2C" w14:textId="02EE83B6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33F9AC9" w14:textId="0A21D74F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F4DA45A" w14:textId="70A6E270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D49E968" w14:textId="278C2B66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769C21E" w14:textId="3F48DF7A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B21858" w14:textId="705CDDAE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5B143C3" w14:textId="6C816AE0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BEE07D0" w14:textId="35AE9AE4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678FEFD" w14:textId="6ADAE16F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0761FF" w14:textId="38476B73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F1DF43" w14:textId="280EE7EE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EE46017" w14:textId="7A4728E5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6F8D187" w14:textId="628AF717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8361F66" w14:textId="1F5F5111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B5B7D1" w14:textId="2459A113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D8508B5" w14:textId="13ABC114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1ACE05" w14:textId="025E60AD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9AF6B91" w14:textId="59BE85A6" w:rsidR="00ED1717" w:rsidRPr="00FA4678" w:rsidRDefault="00ED1717" w:rsidP="00B4608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7748FD" w14:textId="0086643C" w:rsidR="00ED1717" w:rsidRPr="00FA4678" w:rsidRDefault="00C96614" w:rsidP="00B4608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A4678">
        <w:rPr>
          <w:rFonts w:asciiTheme="majorBidi" w:hAnsiTheme="majorBidi" w:cstheme="majorBidi"/>
          <w:b/>
          <w:bCs/>
          <w:noProof/>
          <w:sz w:val="24"/>
          <w:szCs w:val="24"/>
        </w:rPr>
        <w:lastRenderedPageBreak/>
        <w:drawing>
          <wp:inline distT="0" distB="0" distL="0" distR="0" wp14:anchorId="18821700" wp14:editId="53F88801">
            <wp:extent cx="5728970" cy="1884045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03BC5" w14:textId="51F2F13A" w:rsidR="00C96614" w:rsidRPr="00FA4678" w:rsidRDefault="00ED1717" w:rsidP="007408E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Theme="majorBidi" w:hAnsiTheme="majorBidi" w:cstheme="majorBidi"/>
          <w:b/>
          <w:bCs/>
        </w:rPr>
      </w:pPr>
      <w:r w:rsidRPr="00FA4678">
        <w:rPr>
          <w:rFonts w:asciiTheme="majorBidi" w:hAnsiTheme="majorBidi" w:cstheme="majorBidi"/>
          <w:b/>
          <w:bCs/>
          <w:sz w:val="24"/>
          <w:szCs w:val="24"/>
        </w:rPr>
        <w:t>Supplementary figure 2. OGG1, MYH, and APE1 protein expression</w:t>
      </w:r>
      <w:r w:rsidR="00C96614" w:rsidRPr="00FA4678">
        <w:rPr>
          <w:rFonts w:asciiTheme="majorBidi" w:hAnsiTheme="majorBidi" w:cstheme="majorBidi"/>
          <w:b/>
          <w:bCs/>
          <w:sz w:val="24"/>
          <w:szCs w:val="24"/>
        </w:rPr>
        <w:t xml:space="preserve"> in normal and XP</w:t>
      </w:r>
      <w:r w:rsidR="001C472C" w:rsidRPr="00FA4678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96614" w:rsidRPr="00FA4678">
        <w:rPr>
          <w:rFonts w:asciiTheme="majorBidi" w:hAnsiTheme="majorBidi" w:cstheme="majorBidi"/>
          <w:b/>
          <w:bCs/>
          <w:sz w:val="24"/>
          <w:szCs w:val="24"/>
        </w:rPr>
        <w:t>C primary fibroblasts</w:t>
      </w:r>
      <w:r w:rsidR="00087DD9" w:rsidRPr="00FA4678">
        <w:rPr>
          <w:rFonts w:asciiTheme="majorBidi" w:hAnsiTheme="majorBidi" w:cstheme="majorBidi"/>
          <w:b/>
          <w:bCs/>
          <w:sz w:val="24"/>
          <w:szCs w:val="24"/>
        </w:rPr>
        <w:t xml:space="preserve"> at basal and UVB-</w:t>
      </w:r>
      <w:r w:rsidR="00363122" w:rsidRPr="00FA4678">
        <w:rPr>
          <w:rFonts w:asciiTheme="majorBidi" w:hAnsiTheme="majorBidi" w:cstheme="majorBidi"/>
          <w:b/>
          <w:bCs/>
          <w:sz w:val="24"/>
          <w:szCs w:val="24"/>
        </w:rPr>
        <w:t xml:space="preserve">irradiation </w:t>
      </w:r>
      <w:r w:rsidR="00087DD9" w:rsidRPr="00FA4678">
        <w:rPr>
          <w:rFonts w:asciiTheme="majorBidi" w:hAnsiTheme="majorBidi" w:cstheme="majorBidi"/>
          <w:b/>
          <w:bCs/>
          <w:sz w:val="24"/>
          <w:szCs w:val="24"/>
        </w:rPr>
        <w:t>levels</w:t>
      </w:r>
      <w:r w:rsidRPr="00FA467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C96614" w:rsidRPr="00FA4678">
        <w:rPr>
          <w:rFonts w:asciiTheme="majorBidi" w:hAnsiTheme="majorBidi" w:cstheme="majorBidi"/>
          <w:sz w:val="24"/>
          <w:szCs w:val="24"/>
          <w:lang w:val="en-US"/>
        </w:rPr>
        <w:t>A) OGG1 protein expression</w:t>
      </w:r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(76 and 39 </w:t>
      </w:r>
      <w:proofErr w:type="spellStart"/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>KDa</w:t>
      </w:r>
      <w:proofErr w:type="spellEnd"/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>, 2 isoforms)</w:t>
      </w:r>
      <w:r w:rsidR="00363122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is downregulated at basal and UVB-irradiation levels in XP</w:t>
      </w:r>
      <w:r w:rsidR="001C472C" w:rsidRPr="00FA4678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363122" w:rsidRPr="00FA4678">
        <w:rPr>
          <w:rFonts w:asciiTheme="majorBidi" w:hAnsiTheme="majorBidi" w:cstheme="majorBidi"/>
          <w:sz w:val="24"/>
          <w:szCs w:val="24"/>
          <w:lang w:val="en-US"/>
        </w:rPr>
        <w:t>C fibroblasts compared to normal</w:t>
      </w:r>
      <w:r w:rsidR="00FE6C8A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(N=3)</w:t>
      </w:r>
      <w:r w:rsidR="00C96614" w:rsidRPr="00FA4678">
        <w:rPr>
          <w:rFonts w:asciiTheme="majorBidi" w:hAnsiTheme="majorBidi" w:cstheme="majorBidi"/>
          <w:sz w:val="24"/>
          <w:szCs w:val="24"/>
          <w:lang w:val="en-US"/>
        </w:rPr>
        <w:t>, B) MYH protein expression</w:t>
      </w:r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(65 and 35 </w:t>
      </w:r>
      <w:proofErr w:type="spellStart"/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>KDa</w:t>
      </w:r>
      <w:proofErr w:type="spellEnd"/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>, complete and degraded protein)</w:t>
      </w:r>
      <w:r w:rsidR="00363122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is downregulated at basal and UVB-irradiation levels in XP</w:t>
      </w:r>
      <w:r w:rsidR="001C472C" w:rsidRPr="00FA4678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363122" w:rsidRPr="00FA4678">
        <w:rPr>
          <w:rFonts w:asciiTheme="majorBidi" w:hAnsiTheme="majorBidi" w:cstheme="majorBidi"/>
          <w:sz w:val="24"/>
          <w:szCs w:val="24"/>
          <w:lang w:val="en-US"/>
        </w:rPr>
        <w:t>C fibroblasts compared to normal</w:t>
      </w:r>
      <w:r w:rsidR="00FE6C8A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(N=3)</w:t>
      </w:r>
      <w:r w:rsidR="00C96614" w:rsidRPr="00FA4678">
        <w:rPr>
          <w:rFonts w:asciiTheme="majorBidi" w:hAnsiTheme="majorBidi" w:cstheme="majorBidi"/>
          <w:sz w:val="24"/>
          <w:szCs w:val="24"/>
          <w:lang w:val="en-US"/>
        </w:rPr>
        <w:t>, C) APE1 protein expression</w:t>
      </w:r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(35 </w:t>
      </w:r>
      <w:proofErr w:type="spellStart"/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>KDa</w:t>
      </w:r>
      <w:proofErr w:type="spellEnd"/>
      <w:r w:rsidR="00D56723" w:rsidRPr="00FA4678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FE6C8A" w:rsidRPr="00FA4678">
        <w:rPr>
          <w:rFonts w:asciiTheme="majorBidi" w:hAnsiTheme="majorBidi" w:cstheme="majorBidi"/>
          <w:sz w:val="24"/>
          <w:szCs w:val="24"/>
          <w:lang w:val="en-US"/>
        </w:rPr>
        <w:t xml:space="preserve"> is downregulated at basal and UVB-irradiation levels in XP</w:t>
      </w:r>
      <w:r w:rsidR="00D532A6" w:rsidRPr="00FA4678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FE6C8A" w:rsidRPr="00FA4678">
        <w:rPr>
          <w:rFonts w:asciiTheme="majorBidi" w:hAnsiTheme="majorBidi" w:cstheme="majorBidi"/>
          <w:sz w:val="24"/>
          <w:szCs w:val="24"/>
          <w:lang w:val="en-US"/>
        </w:rPr>
        <w:t>C2 fibroblast compared to normal (N=3)</w:t>
      </w:r>
      <w:r w:rsidR="00C96614" w:rsidRPr="00FA4678">
        <w:rPr>
          <w:rFonts w:asciiTheme="majorBidi" w:hAnsiTheme="majorBidi" w:cstheme="majorBidi"/>
          <w:sz w:val="24"/>
          <w:szCs w:val="24"/>
          <w:lang w:val="en-US"/>
        </w:rPr>
        <w:t xml:space="preserve">. Proteins’ level intensities were detected at 4 hours post UVB-irradiation and were quantified using </w:t>
      </w:r>
      <w:r w:rsidR="00C96614" w:rsidRPr="00FA4678">
        <w:rPr>
          <w:rFonts w:asciiTheme="majorBidi" w:hAnsiTheme="majorBidi" w:cstheme="majorBidi"/>
          <w:sz w:val="24"/>
          <w:szCs w:val="24"/>
        </w:rPr>
        <w:t xml:space="preserve">Image </w:t>
      </w:r>
      <w:proofErr w:type="spellStart"/>
      <w:r w:rsidR="00C96614" w:rsidRPr="00FA4678">
        <w:rPr>
          <w:rFonts w:asciiTheme="majorBidi" w:hAnsiTheme="majorBidi" w:cstheme="majorBidi"/>
          <w:sz w:val="24"/>
          <w:szCs w:val="24"/>
        </w:rPr>
        <w:t>Lab</w:t>
      </w:r>
      <w:r w:rsidR="00C96614" w:rsidRPr="00FA4678">
        <w:rPr>
          <w:rFonts w:asciiTheme="majorBidi" w:hAnsiTheme="majorBidi" w:cstheme="majorBidi"/>
          <w:sz w:val="24"/>
          <w:szCs w:val="24"/>
          <w:vertAlign w:val="superscript"/>
        </w:rPr>
        <w:t>TM</w:t>
      </w:r>
      <w:proofErr w:type="spellEnd"/>
      <w:r w:rsidR="00C96614" w:rsidRPr="00FA4678">
        <w:rPr>
          <w:rFonts w:asciiTheme="majorBidi" w:hAnsiTheme="majorBidi" w:cstheme="majorBidi"/>
          <w:sz w:val="24"/>
          <w:szCs w:val="24"/>
        </w:rPr>
        <w:t xml:space="preserve"> software</w:t>
      </w:r>
      <w:r w:rsidR="00C96614" w:rsidRPr="00FA4678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96614" w:rsidRPr="00FA4678">
        <w:rPr>
          <w:rFonts w:asciiTheme="majorBidi" w:hAnsiTheme="majorBidi" w:cstheme="majorBidi"/>
          <w:sz w:val="24"/>
          <w:szCs w:val="24"/>
        </w:rPr>
        <w:t xml:space="preserve"> Target proteins’ expression was normalized to the total protein extract. </w:t>
      </w:r>
    </w:p>
    <w:p w14:paraId="02F8EDD8" w14:textId="09D9ED21" w:rsidR="00C96614" w:rsidRPr="007408E7" w:rsidRDefault="00C96614" w:rsidP="007408E7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4678">
        <w:rPr>
          <w:rFonts w:asciiTheme="majorBidi" w:hAnsiTheme="majorBidi" w:cstheme="majorBidi"/>
          <w:sz w:val="24"/>
          <w:szCs w:val="24"/>
        </w:rPr>
        <w:t>IR</w:t>
      </w:r>
      <w:r w:rsidR="00FA4678">
        <w:rPr>
          <w:rFonts w:asciiTheme="majorBidi" w:hAnsiTheme="majorBidi" w:cstheme="majorBidi"/>
          <w:sz w:val="24"/>
          <w:szCs w:val="24"/>
        </w:rPr>
        <w:t>,</w:t>
      </w:r>
      <w:r w:rsidR="00FA4678" w:rsidRPr="00FA4678">
        <w:rPr>
          <w:rFonts w:asciiTheme="majorBidi" w:hAnsiTheme="majorBidi" w:cstheme="majorBidi"/>
          <w:sz w:val="24"/>
          <w:szCs w:val="24"/>
        </w:rPr>
        <w:t xml:space="preserve"> </w:t>
      </w:r>
      <w:r w:rsidRPr="00FA4678">
        <w:rPr>
          <w:rFonts w:asciiTheme="majorBidi" w:hAnsiTheme="majorBidi" w:cstheme="majorBidi"/>
          <w:sz w:val="24"/>
          <w:szCs w:val="24"/>
        </w:rPr>
        <w:t>irradiated, NIR</w:t>
      </w:r>
      <w:r w:rsidR="00FA4678">
        <w:rPr>
          <w:rFonts w:asciiTheme="majorBidi" w:hAnsiTheme="majorBidi" w:cstheme="majorBidi"/>
          <w:sz w:val="24"/>
          <w:szCs w:val="24"/>
        </w:rPr>
        <w:t>,</w:t>
      </w:r>
      <w:r w:rsidR="00FA4678" w:rsidRPr="00FA4678">
        <w:rPr>
          <w:rFonts w:asciiTheme="majorBidi" w:hAnsiTheme="majorBidi" w:cstheme="majorBidi"/>
          <w:sz w:val="24"/>
          <w:szCs w:val="24"/>
        </w:rPr>
        <w:t xml:space="preserve"> </w:t>
      </w:r>
      <w:r w:rsidRPr="00FA4678">
        <w:rPr>
          <w:rFonts w:asciiTheme="majorBidi" w:hAnsiTheme="majorBidi" w:cstheme="majorBidi"/>
          <w:sz w:val="24"/>
          <w:szCs w:val="24"/>
        </w:rPr>
        <w:t>Non-Irradiated</w:t>
      </w:r>
    </w:p>
    <w:p w14:paraId="54B022B0" w14:textId="53D1C437" w:rsidR="00ED1717" w:rsidRPr="00C96614" w:rsidRDefault="00ED1717" w:rsidP="00ED171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C6A1AE0" w14:textId="77777777" w:rsidR="00ED1717" w:rsidRPr="007408E7" w:rsidRDefault="00ED1717" w:rsidP="00B4608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sectPr w:rsidR="00ED1717" w:rsidRPr="00740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1E915" w14:textId="77777777" w:rsidR="003F681C" w:rsidRDefault="003F681C" w:rsidP="00BE0FBC">
      <w:pPr>
        <w:spacing w:after="0" w:line="240" w:lineRule="auto"/>
      </w:pPr>
      <w:r>
        <w:separator/>
      </w:r>
    </w:p>
  </w:endnote>
  <w:endnote w:type="continuationSeparator" w:id="0">
    <w:p w14:paraId="122CA8D3" w14:textId="77777777" w:rsidR="003F681C" w:rsidRDefault="003F681C" w:rsidP="00B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FB11" w14:textId="77777777" w:rsidR="003F681C" w:rsidRDefault="003F681C" w:rsidP="00BE0FBC">
      <w:pPr>
        <w:spacing w:after="0" w:line="240" w:lineRule="auto"/>
      </w:pPr>
      <w:r>
        <w:separator/>
      </w:r>
    </w:p>
  </w:footnote>
  <w:footnote w:type="continuationSeparator" w:id="0">
    <w:p w14:paraId="195987EF" w14:textId="77777777" w:rsidR="003F681C" w:rsidRDefault="003F681C" w:rsidP="00BE0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sTAztLQwMTYxMLBU0lEKTi0uzszPAymwqAUAgRsfeSwAAAA="/>
  </w:docVars>
  <w:rsids>
    <w:rsidRoot w:val="00BE0FBC"/>
    <w:rsid w:val="00000288"/>
    <w:rsid w:val="00011B5F"/>
    <w:rsid w:val="00054FF6"/>
    <w:rsid w:val="00087DD9"/>
    <w:rsid w:val="000D60C4"/>
    <w:rsid w:val="000E7EE3"/>
    <w:rsid w:val="00110D6D"/>
    <w:rsid w:val="001C01F3"/>
    <w:rsid w:val="001C472C"/>
    <w:rsid w:val="00207ABE"/>
    <w:rsid w:val="00272E70"/>
    <w:rsid w:val="002F7668"/>
    <w:rsid w:val="00363122"/>
    <w:rsid w:val="00373E69"/>
    <w:rsid w:val="00385C8C"/>
    <w:rsid w:val="003D5006"/>
    <w:rsid w:val="003F681C"/>
    <w:rsid w:val="00413A63"/>
    <w:rsid w:val="00441643"/>
    <w:rsid w:val="00446B15"/>
    <w:rsid w:val="004700AF"/>
    <w:rsid w:val="00485F73"/>
    <w:rsid w:val="004B3D37"/>
    <w:rsid w:val="004B52B7"/>
    <w:rsid w:val="004D28A7"/>
    <w:rsid w:val="004D5D40"/>
    <w:rsid w:val="005A11C5"/>
    <w:rsid w:val="005C23C0"/>
    <w:rsid w:val="005D0713"/>
    <w:rsid w:val="00601914"/>
    <w:rsid w:val="00613CCA"/>
    <w:rsid w:val="006364E0"/>
    <w:rsid w:val="006514DA"/>
    <w:rsid w:val="006D78EB"/>
    <w:rsid w:val="006F0FFD"/>
    <w:rsid w:val="00720216"/>
    <w:rsid w:val="007408E7"/>
    <w:rsid w:val="00773EC0"/>
    <w:rsid w:val="007853A6"/>
    <w:rsid w:val="007C0ED4"/>
    <w:rsid w:val="007D3F9B"/>
    <w:rsid w:val="007F65AE"/>
    <w:rsid w:val="00802BE2"/>
    <w:rsid w:val="00844B5A"/>
    <w:rsid w:val="0084568F"/>
    <w:rsid w:val="00880624"/>
    <w:rsid w:val="008C592C"/>
    <w:rsid w:val="008D3917"/>
    <w:rsid w:val="00906F20"/>
    <w:rsid w:val="009472B9"/>
    <w:rsid w:val="00A4373D"/>
    <w:rsid w:val="00A542C3"/>
    <w:rsid w:val="00B26B6A"/>
    <w:rsid w:val="00B26D0A"/>
    <w:rsid w:val="00B4608A"/>
    <w:rsid w:val="00BE0FBC"/>
    <w:rsid w:val="00C57F6C"/>
    <w:rsid w:val="00C631E0"/>
    <w:rsid w:val="00C96614"/>
    <w:rsid w:val="00CC6072"/>
    <w:rsid w:val="00CD6B25"/>
    <w:rsid w:val="00CE6D29"/>
    <w:rsid w:val="00CF2360"/>
    <w:rsid w:val="00D175DE"/>
    <w:rsid w:val="00D532A6"/>
    <w:rsid w:val="00D56723"/>
    <w:rsid w:val="00D9639C"/>
    <w:rsid w:val="00D967D3"/>
    <w:rsid w:val="00DF09F4"/>
    <w:rsid w:val="00E7064B"/>
    <w:rsid w:val="00E84A65"/>
    <w:rsid w:val="00ED1717"/>
    <w:rsid w:val="00F23ACB"/>
    <w:rsid w:val="00F605B0"/>
    <w:rsid w:val="00F7134D"/>
    <w:rsid w:val="00F771C5"/>
    <w:rsid w:val="00F868FA"/>
    <w:rsid w:val="00F87561"/>
    <w:rsid w:val="00FA4678"/>
    <w:rsid w:val="00FE627D"/>
    <w:rsid w:val="00FE65D1"/>
    <w:rsid w:val="00FE6C8A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BB2D"/>
  <w15:chartTrackingRefBased/>
  <w15:docId w15:val="{66F40464-6721-4744-8B9C-A8B078ED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BC"/>
  </w:style>
  <w:style w:type="paragraph" w:styleId="Footer">
    <w:name w:val="footer"/>
    <w:basedOn w:val="Normal"/>
    <w:link w:val="FooterChar"/>
    <w:uiPriority w:val="99"/>
    <w:unhideWhenUsed/>
    <w:rsid w:val="00BE0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BC"/>
  </w:style>
  <w:style w:type="table" w:styleId="TableGrid">
    <w:name w:val="Table Grid"/>
    <w:basedOn w:val="TableNormal"/>
    <w:uiPriority w:val="39"/>
    <w:rsid w:val="00BE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7E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2F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6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96614"/>
    <w:pPr>
      <w:spacing w:after="0" w:line="240" w:lineRule="auto"/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C01F3"/>
    <w:pPr>
      <w:tabs>
        <w:tab w:val="left" w:pos="264"/>
      </w:tabs>
      <w:spacing w:after="0" w:line="480" w:lineRule="auto"/>
      <w:ind w:left="264" w:hanging="26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C01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1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6AD53-98F7-490C-9FE8-71F1B222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622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Fayyad</dc:creator>
  <cp:keywords/>
  <dc:description/>
  <cp:lastModifiedBy>Nour Fayyad</cp:lastModifiedBy>
  <cp:revision>2</cp:revision>
  <dcterms:created xsi:type="dcterms:W3CDTF">2020-11-15T21:54:00Z</dcterms:created>
  <dcterms:modified xsi:type="dcterms:W3CDTF">2020-11-15T21:54:00Z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id="lXeNhHvq"/&gt;&lt;style id="http://www.zotero.org/styles/nature" hasBibliography="1" bibliographyStyleHasBeenSet="1"/&gt;&lt;prefs&gt;&lt;pref name="fieldType" value="Field"/&gt;&lt;/prefs&gt;&lt;/data&gt;</vt:lpwstr>
  </property>
</Properties>
</file>