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251E" w14:textId="79888A4B" w:rsidR="00A32CDD" w:rsidRDefault="00A32CDD" w:rsidP="00A32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DD"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</w:p>
    <w:p w14:paraId="062E6931" w14:textId="77777777" w:rsidR="00A32CDD" w:rsidRPr="00A32CDD" w:rsidRDefault="00A32CDD" w:rsidP="00A32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F6247" w14:textId="7796A175" w:rsidR="00A32CDD" w:rsidRDefault="00A32CDD" w:rsidP="00A32CDD">
      <w:pPr>
        <w:rPr>
          <w:rFonts w:ascii="Times New Roman" w:hAnsi="Times New Roman" w:cs="Times New Roman"/>
          <w:sz w:val="24"/>
          <w:szCs w:val="24"/>
        </w:rPr>
      </w:pPr>
      <w:r w:rsidRPr="00A32CDD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A32C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Figure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A32C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32CDD">
        <w:rPr>
          <w:rFonts w:ascii="Times New Roman" w:hAnsi="Times New Roman" w:cs="Times New Roman"/>
          <w:sz w:val="24"/>
          <w:szCs w:val="24"/>
        </w:rPr>
        <w:t>The mutation sites in the VH and VL regions compared with omalizumab (*represent mutation sites).</w:t>
      </w:r>
    </w:p>
    <w:p w14:paraId="68BD0EFF" w14:textId="77777777" w:rsidR="00A32CDD" w:rsidRPr="00A32CDD" w:rsidRDefault="00A32CDD" w:rsidP="00A32CDD">
      <w:pPr>
        <w:rPr>
          <w:rFonts w:ascii="Times New Roman" w:hAnsi="Times New Roman" w:cs="Times New Roman"/>
          <w:sz w:val="24"/>
          <w:szCs w:val="24"/>
        </w:rPr>
      </w:pPr>
    </w:p>
    <w:p w14:paraId="5A4E3988" w14:textId="6BD13AD1" w:rsidR="00A32CDD" w:rsidRPr="00A32CDD" w:rsidRDefault="00A32CDD" w:rsidP="00A32CDD">
      <w:pPr>
        <w:rPr>
          <w:rFonts w:ascii="Times New Roman" w:hAnsi="Times New Roman" w:cs="Times New Roman"/>
          <w:sz w:val="24"/>
          <w:szCs w:val="24"/>
        </w:rPr>
      </w:pPr>
      <w:r w:rsidRPr="00A32CDD">
        <w:rPr>
          <w:rFonts w:ascii="Times New Roman" w:hAnsi="Times New Roman" w:cs="Times New Roman"/>
          <w:b/>
          <w:sz w:val="24"/>
          <w:szCs w:val="24"/>
        </w:rPr>
        <w:t>Supplementary Table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2CDD">
        <w:rPr>
          <w:rFonts w:ascii="Times New Roman" w:hAnsi="Times New Roman" w:cs="Times New Roman"/>
          <w:sz w:val="24"/>
          <w:szCs w:val="24"/>
        </w:rPr>
        <w:t>Summary of biophysical and biological comparability assessment between L0H0 and omalizumab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0A0B7F" w14:textId="77777777" w:rsidR="00A32CDD" w:rsidRPr="00A32CDD" w:rsidRDefault="00A32CDD" w:rsidP="00A32C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67C87A" w14:textId="73FA870E" w:rsidR="00A32CDD" w:rsidRPr="00A32CDD" w:rsidRDefault="00A32CDD" w:rsidP="00A32C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CDD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A32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Figure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32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A32C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Free </w:t>
      </w:r>
      <w:proofErr w:type="spellStart"/>
      <w:r w:rsidRPr="00A32C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</w:t>
      </w:r>
      <w:proofErr w:type="spellEnd"/>
      <w:r w:rsidRPr="00A32C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suppression in cynomolgus monkeys.</w:t>
      </w:r>
    </w:p>
    <w:p w14:paraId="1462BDE5" w14:textId="7B94D00A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FE080C" w14:textId="2A8763F1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11D524" w14:textId="722A8F94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D3283C" w14:textId="70BB6F38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A6A6FC" w14:textId="51610443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ED5BB4" w14:textId="59E3C84E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882FDB" w14:textId="0DA09E08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DB5898" w14:textId="2AE2A832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5B4BFF" w14:textId="4D7F5A91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C239DB" w14:textId="1B323D7C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6D76FD" w14:textId="0F7AC9EA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A0CF2D" w14:textId="5838E1E4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3EBB13" w14:textId="169B9A2D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7674C1" w14:textId="5D6A0A18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122FD5" w14:textId="7CC1D48B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03D45B" w14:textId="34F66447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71BAA0" w14:textId="05118D3B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3CC590" w14:textId="77777777" w:rsidR="00A32CDD" w:rsidRP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6C2CC6" w14:textId="77777777" w:rsidR="00A32CDD" w:rsidRPr="003E383A" w:rsidRDefault="00A32CDD" w:rsidP="00A32CDD">
      <w:pPr>
        <w:widowControl/>
        <w:spacing w:before="100" w:beforeAutospacing="1" w:after="100" w:afterAutospacing="1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0FE91E1" wp14:editId="312F386F">
            <wp:extent cx="5274310" cy="27476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2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 w:rsidRPr="00C02899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F</w:t>
      </w:r>
      <w:r w:rsidRPr="00C02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igure 1.</w:t>
      </w:r>
      <w:r w:rsidRPr="00C02899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A32C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mutation sites in the VH and VL regions compared with omalizumab (*represent mutation sites). </w:t>
      </w:r>
      <w:bookmarkStart w:id="0" w:name="_Hlk53310936"/>
      <w:r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Compared with the sequence of omalizumab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two amino acids in the CDRs of omalizumab</w:t>
      </w:r>
      <w:r w:rsidRPr="00E851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were </w:t>
      </w:r>
      <w:r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mov</w:t>
      </w:r>
      <w:r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ed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r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improv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antibody stability</w:t>
      </w:r>
      <w:bookmarkStart w:id="1" w:name="_Hlk53087198"/>
      <w:r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(*in red)</w:t>
      </w:r>
      <w:bookmarkEnd w:id="1"/>
      <w:r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195DD1">
        <w:rPr>
          <w:rFonts w:ascii="Times New Roman" w:eastAsia="宋体" w:hAnsi="Times New Roman"/>
          <w:sz w:val="24"/>
          <w:szCs w:val="24"/>
        </w:rPr>
        <w:t xml:space="preserve">Meanwhile, </w:t>
      </w:r>
      <w:r>
        <w:rPr>
          <w:rFonts w:ascii="Times New Roman" w:eastAsia="宋体" w:hAnsi="Times New Roman"/>
          <w:sz w:val="24"/>
          <w:szCs w:val="24"/>
        </w:rPr>
        <w:t>seven</w:t>
      </w:r>
      <w:r w:rsidRPr="00195DD1">
        <w:rPr>
          <w:rFonts w:ascii="Times New Roman" w:eastAsia="宋体" w:hAnsi="Times New Roman"/>
          <w:sz w:val="24"/>
          <w:szCs w:val="24"/>
        </w:rPr>
        <w:t xml:space="preserve"> murine amino acids in the </w:t>
      </w:r>
      <w:r>
        <w:rPr>
          <w:rFonts w:ascii="Times New Roman" w:eastAsia="宋体" w:hAnsi="Times New Roman"/>
          <w:sz w:val="24"/>
          <w:szCs w:val="24"/>
        </w:rPr>
        <w:t>framework region</w:t>
      </w:r>
      <w:r w:rsidRPr="00195DD1">
        <w:rPr>
          <w:rFonts w:ascii="Times New Roman" w:eastAsia="宋体" w:hAnsi="Times New Roman"/>
          <w:sz w:val="24"/>
          <w:szCs w:val="24"/>
        </w:rPr>
        <w:t xml:space="preserve"> of omalizumab were replaced with human source</w:t>
      </w:r>
      <w:r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r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minimiz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potential immunogenicity (*in black).</w:t>
      </w:r>
    </w:p>
    <w:bookmarkEnd w:id="0"/>
    <w:p w14:paraId="615F12A7" w14:textId="3A7413E8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2C8905" w14:textId="51914135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7F7787" w14:textId="511957C0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483531" w14:textId="712D8DD6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A7404D" w14:textId="5A5ACA06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05325A" w14:textId="2A698F4C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AB1FF7" w14:textId="75F619E6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4C7E38" w14:textId="7A93194F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3EEC59" w14:textId="20FE0DE4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67AB89" w14:textId="1D2C7A18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549D98" w14:textId="1F2EB6DF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2A5D01" w14:textId="1A3EE0F5" w:rsid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48D890" w14:textId="77777777" w:rsidR="00A32CDD" w:rsidRPr="00A32CDD" w:rsidRDefault="00A32CDD" w:rsidP="00A32CDD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83B1B5" w14:textId="54CA5764" w:rsidR="00CB0F71" w:rsidRDefault="00CB0F71" w:rsidP="00CB0F71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2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T</w:t>
      </w:r>
      <w:r w:rsidR="007A01A3" w:rsidRPr="00C02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able</w:t>
      </w:r>
      <w:r w:rsidRPr="00C02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A32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02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Summary of biophysical and biological comparability assessment between L0H0 and omalizumab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720"/>
        <w:gridCol w:w="2200"/>
        <w:gridCol w:w="1960"/>
        <w:gridCol w:w="855"/>
        <w:gridCol w:w="1765"/>
      </w:tblGrid>
      <w:tr w:rsidR="00693420" w:rsidRPr="003A41F4" w14:paraId="25E2F722" w14:textId="77777777" w:rsidTr="00AA5AE0">
        <w:trPr>
          <w:trHeight w:val="308"/>
          <w:jc w:val="center"/>
        </w:trPr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1EF7CC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Category</w:t>
            </w:r>
          </w:p>
        </w:tc>
        <w:tc>
          <w:tcPr>
            <w:tcW w:w="41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4153F4D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Assay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A3FEB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Sample name</w:t>
            </w:r>
          </w:p>
        </w:tc>
      </w:tr>
      <w:tr w:rsidR="00693420" w:rsidRPr="003A41F4" w14:paraId="5617E459" w14:textId="77777777" w:rsidTr="00AA5AE0">
        <w:trPr>
          <w:trHeight w:val="315"/>
          <w:jc w:val="center"/>
        </w:trPr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2FA840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564B02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86890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L0H0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0382D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omalizumab</w:t>
            </w:r>
          </w:p>
        </w:tc>
      </w:tr>
      <w:tr w:rsidR="00693420" w:rsidRPr="003A41F4" w14:paraId="1CBE34BC" w14:textId="77777777" w:rsidTr="00AA5AE0">
        <w:trPr>
          <w:trHeight w:val="308"/>
          <w:jc w:val="center"/>
        </w:trPr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DA0078A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Biophysical characteristics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E37D7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SEC-HPLC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0EC93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Monomer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(%)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0A975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1B01D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99.6</w:t>
            </w:r>
          </w:p>
        </w:tc>
      </w:tr>
      <w:tr w:rsidR="00693420" w:rsidRPr="003A41F4" w14:paraId="1D0E498A" w14:textId="77777777" w:rsidTr="00AA5AE0">
        <w:trPr>
          <w:trHeight w:val="308"/>
          <w:jc w:val="center"/>
        </w:trPr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F9CEDD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1C176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nrCE</w:t>
            </w:r>
            <w:proofErr w:type="spellEnd"/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-SDS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7A927" w14:textId="1A21BC39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IgG</w:t>
            </w:r>
            <w:r w:rsidR="00E42C6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E5D38"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11C79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97.7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E4FF6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97.6</w:t>
            </w:r>
          </w:p>
        </w:tc>
      </w:tr>
      <w:tr w:rsidR="00693420" w:rsidRPr="003A41F4" w14:paraId="02B83415" w14:textId="77777777" w:rsidTr="00AA5AE0">
        <w:trPr>
          <w:trHeight w:val="308"/>
          <w:jc w:val="center"/>
        </w:trPr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27FD50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DB929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rCE</w:t>
            </w:r>
            <w:proofErr w:type="spellEnd"/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-SDS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51E3B" w14:textId="1B3E9EB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LC+HC</w:t>
            </w:r>
            <w:r w:rsidR="00E42C6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E5D38"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58A16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F40DD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98.2</w:t>
            </w:r>
          </w:p>
        </w:tc>
      </w:tr>
      <w:tr w:rsidR="00693420" w:rsidRPr="003A41F4" w14:paraId="442E2947" w14:textId="77777777" w:rsidTr="00AA5AE0">
        <w:trPr>
          <w:trHeight w:val="308"/>
          <w:jc w:val="center"/>
        </w:trPr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B2BC47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DE7E8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DSF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68047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Fab Tm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(℃)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40B32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88.5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E4A1D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88.0</w:t>
            </w:r>
          </w:p>
        </w:tc>
      </w:tr>
      <w:tr w:rsidR="00693420" w:rsidRPr="003A41F4" w14:paraId="7E5E70B6" w14:textId="77777777" w:rsidTr="00AA5AE0">
        <w:trPr>
          <w:trHeight w:val="308"/>
          <w:jc w:val="center"/>
        </w:trPr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F27477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AD3BF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iCIEF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A0A0D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</w:t>
            </w:r>
            <w:proofErr w:type="spellEnd"/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04906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E3CC6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</w:tr>
      <w:tr w:rsidR="00693420" w:rsidRPr="003A41F4" w14:paraId="107C9F60" w14:textId="77777777" w:rsidTr="00AA5AE0">
        <w:trPr>
          <w:trHeight w:val="308"/>
          <w:jc w:val="center"/>
        </w:trPr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16EED5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2D50677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Charge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variants assay by </w:t>
            </w:r>
            <w:proofErr w:type="spellStart"/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iCIEF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6000F" w14:textId="77777777" w:rsidR="00693420" w:rsidRPr="003A41F4" w:rsidRDefault="00693420" w:rsidP="00AA5AE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Acidic peaks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D30F7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C54C4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12.2</w:t>
            </w:r>
          </w:p>
        </w:tc>
      </w:tr>
      <w:tr w:rsidR="00693420" w:rsidRPr="003A41F4" w14:paraId="38383128" w14:textId="77777777" w:rsidTr="00AA5AE0">
        <w:trPr>
          <w:trHeight w:val="308"/>
          <w:jc w:val="center"/>
        </w:trPr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FAD3E2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9F4CD0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27485" w14:textId="77777777" w:rsidR="00693420" w:rsidRPr="003A41F4" w:rsidRDefault="00693420" w:rsidP="00AA5AE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Main peak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CEB8F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58D3E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79.3</w:t>
            </w:r>
          </w:p>
        </w:tc>
      </w:tr>
      <w:tr w:rsidR="00693420" w:rsidRPr="003A41F4" w14:paraId="68ADDB32" w14:textId="77777777" w:rsidTr="00AA5AE0">
        <w:trPr>
          <w:trHeight w:val="315"/>
          <w:jc w:val="center"/>
        </w:trPr>
        <w:tc>
          <w:tcPr>
            <w:tcW w:w="17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C296C2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1E7866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FDDEC9" w14:textId="77777777" w:rsidR="00693420" w:rsidRPr="003A41F4" w:rsidRDefault="00693420" w:rsidP="00AA5AE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Basic peaks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896EA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27D4E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</w:tr>
      <w:tr w:rsidR="00693420" w:rsidRPr="003A41F4" w14:paraId="2903E97F" w14:textId="77777777" w:rsidTr="00AA5AE0">
        <w:trPr>
          <w:trHeight w:val="308"/>
          <w:jc w:val="center"/>
        </w:trPr>
        <w:tc>
          <w:tcPr>
            <w:tcW w:w="172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0BF0067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Biological activity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F5731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Affinity to </w:t>
            </w:r>
            <w:proofErr w:type="spellStart"/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IgE</w:t>
            </w:r>
            <w:proofErr w:type="spellEnd"/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nM</w:t>
            </w:r>
            <w:proofErr w:type="spellEnd"/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0E2AB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49B3A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0.47</w:t>
            </w:r>
          </w:p>
        </w:tc>
      </w:tr>
      <w:tr w:rsidR="00693420" w:rsidRPr="003A41F4" w14:paraId="4909019F" w14:textId="77777777" w:rsidTr="00AA5AE0">
        <w:trPr>
          <w:trHeight w:val="315"/>
          <w:jc w:val="center"/>
        </w:trPr>
        <w:tc>
          <w:tcPr>
            <w:tcW w:w="172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621767F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B92F2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</w:t>
            </w: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cking activity (</w:t>
            </w:r>
            <w:proofErr w:type="spellStart"/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nM</w:t>
            </w:r>
            <w:proofErr w:type="spellEnd"/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11937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141E1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A41F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</w:t>
            </w:r>
          </w:p>
        </w:tc>
      </w:tr>
      <w:tr w:rsidR="00693420" w:rsidRPr="003A41F4" w14:paraId="34425E0C" w14:textId="77777777" w:rsidTr="00AA5AE0">
        <w:trPr>
          <w:trHeight w:val="315"/>
          <w:jc w:val="center"/>
        </w:trPr>
        <w:tc>
          <w:tcPr>
            <w:tcW w:w="1720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79900308" w14:textId="77777777" w:rsidR="00693420" w:rsidRPr="003A41F4" w:rsidRDefault="00693420" w:rsidP="00AA5AE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4D134AE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ffinity to 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FcRn</w:t>
            </w:r>
            <w:proofErr w:type="spellEnd"/>
            <w:r w:rsidRPr="00A07A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Pr="00A07A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μM</w:t>
            </w:r>
            <w:proofErr w:type="spellEnd"/>
            <w:r w:rsidRPr="00A07A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08DECAE9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661AFBFF" w14:textId="77777777" w:rsidR="00693420" w:rsidRPr="003A41F4" w:rsidRDefault="00693420" w:rsidP="00AA5AE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</w:tbl>
    <w:p w14:paraId="02CF0BD0" w14:textId="77777777" w:rsidR="00A32CDD" w:rsidRDefault="00A32CDD" w:rsidP="00CB0F7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43B84C6E" w14:textId="19897556" w:rsidR="00A32CDD" w:rsidRDefault="00A32CDD" w:rsidP="00CB0F7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49673012" w14:textId="16ABF57D" w:rsidR="00A32CDD" w:rsidRDefault="00A32CDD" w:rsidP="00CB0F7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5DF572CE" w14:textId="2C424418" w:rsidR="00A32CDD" w:rsidRDefault="00A32CDD" w:rsidP="00CB0F7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053B1ED8" w14:textId="481AFAF1" w:rsidR="00A32CDD" w:rsidRDefault="00A32CDD" w:rsidP="00CB0F7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4E19CB6A" w14:textId="4E9D6F82" w:rsidR="00A32CDD" w:rsidRDefault="00A32CDD" w:rsidP="00CB0F7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08CBAB71" w14:textId="087CC008" w:rsidR="00A32CDD" w:rsidRDefault="00A32CDD" w:rsidP="00CB0F7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34DFAC4D" w14:textId="03E1E510" w:rsidR="00A32CDD" w:rsidRDefault="00A32CDD" w:rsidP="00CB0F7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0C1D372F" w14:textId="57DACB88" w:rsidR="00A32CDD" w:rsidRDefault="00A32CDD" w:rsidP="00CB0F7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7FBF08DA" w14:textId="5EC39B57" w:rsidR="00A32CDD" w:rsidRDefault="00A32CDD" w:rsidP="00CB0F7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112B3419" w14:textId="417A4E3E" w:rsidR="00A32CDD" w:rsidRDefault="00A32CDD" w:rsidP="00CB0F7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0C186BFB" w14:textId="1FF32C4A" w:rsidR="00A32CDD" w:rsidRDefault="00A32CDD" w:rsidP="00CB0F7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4EF6DDE3" w14:textId="77777777" w:rsidR="00A32CDD" w:rsidRDefault="00A32CDD" w:rsidP="00CB0F7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40550ABB" w14:textId="77777777" w:rsidR="00A32CDD" w:rsidRDefault="00A32CDD" w:rsidP="00CB0F7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7127B243" w14:textId="080E0C38" w:rsidR="004A3024" w:rsidRPr="009E0557" w:rsidRDefault="00FA41C8" w:rsidP="00FA41C8">
      <w:pPr>
        <w:widowControl/>
        <w:spacing w:before="100" w:beforeAutospacing="1" w:after="100" w:afterAutospacing="1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color w:val="0000FF"/>
          <w:sz w:val="24"/>
          <w:szCs w:val="24"/>
        </w:rPr>
        <w:lastRenderedPageBreak/>
        <w:drawing>
          <wp:inline distT="0" distB="0" distL="0" distR="0" wp14:anchorId="26827D39" wp14:editId="5A405181">
            <wp:extent cx="5274310" cy="26269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Hlk53060713"/>
      <w:bookmarkStart w:id="3" w:name="_Hlk53066792"/>
      <w:bookmarkStart w:id="4" w:name="_Hlk52916854"/>
      <w:r w:rsidR="00CB0F71" w:rsidRPr="00C02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 w:rsidR="00CB0F71" w:rsidRPr="00C02899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F</w:t>
      </w:r>
      <w:r w:rsidR="00764F68" w:rsidRPr="00C02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igure</w:t>
      </w:r>
      <w:r w:rsidR="00CB0F71" w:rsidRPr="00C02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bookmarkEnd w:id="2"/>
      <w:r w:rsidR="003F128C" w:rsidRPr="00C02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B0F71" w:rsidRPr="00C02899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CB0F71" w:rsidRPr="00C02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Free </w:t>
      </w:r>
      <w:proofErr w:type="spellStart"/>
      <w:r w:rsidR="00CB0F71" w:rsidRPr="00C02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IgE</w:t>
      </w:r>
      <w:proofErr w:type="spellEnd"/>
      <w:r w:rsidR="00CB0F71" w:rsidRPr="00C02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suppression in cynomolgus monkey</w:t>
      </w:r>
      <w:r w:rsidR="007B55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CB0F71" w:rsidRPr="00C02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5" w:name="_Hlk53060765"/>
      <w:r w:rsidR="00A32C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3024"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Cynomolgus monkeys received a single dose of 10 mg/kg test antibody via subcutaneous administration (n=3/group). Serum samples were collected at the following time points: pre-dose, 1,2, 3, 7, 10, 14, 21, 28, 35, and 42 days post dose. Serum concentrations of free </w:t>
      </w:r>
      <w:proofErr w:type="spellStart"/>
      <w:r w:rsidR="004A3024"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IgE</w:t>
      </w:r>
      <w:proofErr w:type="spellEnd"/>
      <w:r w:rsidR="004A3024"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were measured by an ELISA method. Results were presented as mean ± SD</w:t>
      </w:r>
      <w:r w:rsidR="004A3024" w:rsidRPr="00C02899">
        <w:rPr>
          <w:rFonts w:ascii="Times New Roman" w:eastAsia="AdvOT61751f86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4A3024"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764F68" w:rsidRPr="00C0289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*P &lt; 0.05</w:t>
      </w:r>
      <w:r w:rsidR="00010008"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456F8C"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ns, no significance, </w:t>
      </w:r>
      <w:r w:rsidR="00010008"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performed by </w:t>
      </w:r>
      <w:r w:rsidR="00010008" w:rsidRPr="00D76A4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</w:t>
      </w:r>
      <w:r w:rsidR="00010008" w:rsidRPr="00C028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-test</w:t>
      </w:r>
      <w:r w:rsidR="004A3024" w:rsidRPr="00C02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4A3024" w:rsidRPr="00C02899">
        <w:rPr>
          <w:rFonts w:ascii="Times New Roman" w:eastAsia="AdvOT61751f86" w:hAnsi="Times New Roman" w:cs="Times New Roman"/>
          <w:bCs/>
          <w:color w:val="000000" w:themeColor="text1"/>
          <w:kern w:val="0"/>
          <w:sz w:val="24"/>
          <w:szCs w:val="24"/>
        </w:rPr>
        <w:t>.</w:t>
      </w:r>
      <w:bookmarkEnd w:id="3"/>
      <w:bookmarkEnd w:id="5"/>
    </w:p>
    <w:p w14:paraId="1E7920D4" w14:textId="3300D639" w:rsidR="00653AE1" w:rsidRPr="00A32CDD" w:rsidRDefault="00653AE1" w:rsidP="00653AE1">
      <w:pPr>
        <w:widowControl/>
        <w:spacing w:before="100" w:beforeAutospacing="1" w:after="100" w:afterAutospacing="1"/>
        <w:jc w:val="lef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39E1776B" w14:textId="77777777" w:rsidR="00CB0F71" w:rsidRDefault="00CB0F71" w:rsidP="00CB0F71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19AF1C5D" w14:textId="77777777" w:rsidR="00CB0F71" w:rsidRDefault="00CB0F71" w:rsidP="00CB0F71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6DDFE31D" w14:textId="77777777" w:rsidR="00CB0F71" w:rsidRPr="00E77AD3" w:rsidRDefault="00CB0F71" w:rsidP="00CB0F71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bookmarkEnd w:id="4"/>
    <w:p w14:paraId="583626EC" w14:textId="77777777" w:rsidR="00CB0F71" w:rsidRPr="00E05599" w:rsidRDefault="00CB0F71" w:rsidP="00CB0F71">
      <w:pPr>
        <w:widowControl/>
        <w:spacing w:before="100" w:beforeAutospacing="1" w:after="100" w:afterAutospacing="1" w:line="48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4FF41CE0" w14:textId="77777777" w:rsidR="005203B9" w:rsidRPr="005203B9" w:rsidRDefault="005203B9"/>
    <w:sectPr w:rsidR="005203B9" w:rsidRPr="005203B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7BF8B" w14:textId="77777777" w:rsidR="00994089" w:rsidRDefault="00994089" w:rsidP="005203B9">
      <w:r>
        <w:separator/>
      </w:r>
    </w:p>
  </w:endnote>
  <w:endnote w:type="continuationSeparator" w:id="0">
    <w:p w14:paraId="259F6DDF" w14:textId="77777777" w:rsidR="00994089" w:rsidRDefault="00994089" w:rsidP="0052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61751f86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2843907"/>
      <w:docPartObj>
        <w:docPartGallery w:val="Page Numbers (Bottom of Page)"/>
        <w:docPartUnique/>
      </w:docPartObj>
    </w:sdtPr>
    <w:sdtEndPr/>
    <w:sdtContent>
      <w:p w14:paraId="1A169B8C" w14:textId="47589DEA" w:rsidR="0013634A" w:rsidRDefault="001363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5C777ED" w14:textId="77777777" w:rsidR="0013634A" w:rsidRDefault="001363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12543" w14:textId="77777777" w:rsidR="00994089" w:rsidRDefault="00994089" w:rsidP="005203B9">
      <w:r>
        <w:separator/>
      </w:r>
    </w:p>
  </w:footnote>
  <w:footnote w:type="continuationSeparator" w:id="0">
    <w:p w14:paraId="0C73E401" w14:textId="77777777" w:rsidR="00994089" w:rsidRDefault="00994089" w:rsidP="0052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E6"/>
    <w:rsid w:val="00010008"/>
    <w:rsid w:val="00016FAF"/>
    <w:rsid w:val="000272D2"/>
    <w:rsid w:val="00100C69"/>
    <w:rsid w:val="0013634A"/>
    <w:rsid w:val="0014048C"/>
    <w:rsid w:val="00175EBC"/>
    <w:rsid w:val="001A40A5"/>
    <w:rsid w:val="00216A2C"/>
    <w:rsid w:val="002D20E6"/>
    <w:rsid w:val="003E383A"/>
    <w:rsid w:val="003F128C"/>
    <w:rsid w:val="00425B27"/>
    <w:rsid w:val="00456F8C"/>
    <w:rsid w:val="00491FF2"/>
    <w:rsid w:val="004A3024"/>
    <w:rsid w:val="00517D9B"/>
    <w:rsid w:val="005203B9"/>
    <w:rsid w:val="005376AD"/>
    <w:rsid w:val="0057389D"/>
    <w:rsid w:val="00653AE1"/>
    <w:rsid w:val="00693420"/>
    <w:rsid w:val="00707546"/>
    <w:rsid w:val="00764F68"/>
    <w:rsid w:val="00772176"/>
    <w:rsid w:val="007A01A3"/>
    <w:rsid w:val="007B5589"/>
    <w:rsid w:val="008C092A"/>
    <w:rsid w:val="008F1BB2"/>
    <w:rsid w:val="009318AF"/>
    <w:rsid w:val="00947D1A"/>
    <w:rsid w:val="00994089"/>
    <w:rsid w:val="009E0557"/>
    <w:rsid w:val="00A32CDD"/>
    <w:rsid w:val="00A348CD"/>
    <w:rsid w:val="00AC00F6"/>
    <w:rsid w:val="00AD5347"/>
    <w:rsid w:val="00B843DC"/>
    <w:rsid w:val="00B90A6E"/>
    <w:rsid w:val="00BE5D38"/>
    <w:rsid w:val="00BF67D6"/>
    <w:rsid w:val="00C02899"/>
    <w:rsid w:val="00C45A6C"/>
    <w:rsid w:val="00C460F8"/>
    <w:rsid w:val="00C51A13"/>
    <w:rsid w:val="00C75A7A"/>
    <w:rsid w:val="00CB0F71"/>
    <w:rsid w:val="00D308F1"/>
    <w:rsid w:val="00D6611A"/>
    <w:rsid w:val="00D76A4E"/>
    <w:rsid w:val="00D96FE0"/>
    <w:rsid w:val="00E219DF"/>
    <w:rsid w:val="00E42C6A"/>
    <w:rsid w:val="00E85184"/>
    <w:rsid w:val="00EA67FD"/>
    <w:rsid w:val="00EC5C86"/>
    <w:rsid w:val="00F2164B"/>
    <w:rsid w:val="00FA41C8"/>
    <w:rsid w:val="00FB453E"/>
    <w:rsid w:val="00FD438A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D6984"/>
  <w15:chartTrackingRefBased/>
  <w15:docId w15:val="{5A7AF7AE-F18D-46EA-8759-F8ED6E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3B9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2"/>
    <w:qFormat/>
    <w:rsid w:val="00CB0F71"/>
    <w:pPr>
      <w:widowControl/>
      <w:numPr>
        <w:numId w:val="1"/>
      </w:numPr>
      <w:spacing w:before="240" w:after="240"/>
      <w:ind w:firstLineChars="0" w:firstLine="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paragraph" w:styleId="2">
    <w:name w:val="heading 2"/>
    <w:basedOn w:val="1"/>
    <w:next w:val="a"/>
    <w:link w:val="20"/>
    <w:uiPriority w:val="2"/>
    <w:qFormat/>
    <w:rsid w:val="00CB0F71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qFormat/>
    <w:rsid w:val="00CB0F71"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paragraph" w:styleId="4">
    <w:name w:val="heading 4"/>
    <w:basedOn w:val="3"/>
    <w:next w:val="a"/>
    <w:link w:val="40"/>
    <w:uiPriority w:val="2"/>
    <w:qFormat/>
    <w:rsid w:val="00CB0F71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rsid w:val="00CB0F71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20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203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0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203B9"/>
    <w:rPr>
      <w:sz w:val="18"/>
      <w:szCs w:val="18"/>
    </w:rPr>
  </w:style>
  <w:style w:type="paragraph" w:customStyle="1" w:styleId="SupplementaryMaterial">
    <w:name w:val="Supplementary Material"/>
    <w:basedOn w:val="a8"/>
    <w:next w:val="a8"/>
    <w:qFormat/>
    <w:rsid w:val="005203B9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5203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1"/>
    <w:link w:val="a8"/>
    <w:uiPriority w:val="10"/>
    <w:rsid w:val="005203B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CB0F71"/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CB0F71"/>
    <w:rPr>
      <w:sz w:val="18"/>
      <w:szCs w:val="18"/>
    </w:rPr>
  </w:style>
  <w:style w:type="character" w:customStyle="1" w:styleId="10">
    <w:name w:val="标题 1 字符"/>
    <w:basedOn w:val="a1"/>
    <w:link w:val="1"/>
    <w:uiPriority w:val="2"/>
    <w:rsid w:val="00CB0F71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CB0F71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rsid w:val="00CB0F71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rsid w:val="00CB0F71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CB0F71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CB0F71"/>
    <w:pPr>
      <w:numPr>
        <w:numId w:val="1"/>
      </w:numPr>
    </w:pPr>
  </w:style>
  <w:style w:type="paragraph" w:styleId="a0">
    <w:name w:val="List Paragraph"/>
    <w:basedOn w:val="a"/>
    <w:uiPriority w:val="34"/>
    <w:qFormat/>
    <w:rsid w:val="00CB0F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39</cp:revision>
  <dcterms:created xsi:type="dcterms:W3CDTF">2020-10-07T14:26:00Z</dcterms:created>
  <dcterms:modified xsi:type="dcterms:W3CDTF">2020-10-11T12:44:00Z</dcterms:modified>
</cp:coreProperties>
</file>