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1F" w:rsidRDefault="00DC271F"/>
    <w:tbl>
      <w:tblPr>
        <w:tblStyle w:val="a"/>
        <w:tblW w:w="0" w:type="auto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6650"/>
        <w:gridCol w:w="1110"/>
        <w:gridCol w:w="1286"/>
        <w:gridCol w:w="710"/>
        <w:gridCol w:w="1535"/>
      </w:tblGrid>
      <w:tr w:rsidR="001E2866" w:rsidTr="001E2866">
        <w:tc>
          <w:tcPr>
            <w:tcW w:w="0" w:type="auto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# (%)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Median ± IQR</w:t>
            </w:r>
          </w:p>
        </w:tc>
        <w:tc>
          <w:tcPr>
            <w:tcW w:w="0" w:type="auto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Data available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 xml:space="preserve">GMFCS E&amp;R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4.0 ± 2.0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MACS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2.0 ± 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16/17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CFCS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1.0 ± 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1-3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16/17</w:t>
            </w:r>
          </w:p>
        </w:tc>
      </w:tr>
      <w:tr w:rsidR="001E2866" w:rsidTr="001E2866">
        <w:tc>
          <w:tcPr>
            <w:tcW w:w="0" w:type="auto"/>
            <w:gridSpan w:val="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Etiological factors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Gestational age at birth</w:t>
            </w:r>
            <w:r>
              <w:rPr>
                <w:b/>
                <w:sz w:val="20"/>
                <w:szCs w:val="20"/>
              </w:rPr>
              <w:t xml:space="preserve"> (weeks)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31.0 ± 11.5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27-term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15/17</w:t>
            </w:r>
          </w:p>
        </w:tc>
      </w:tr>
      <w:tr w:rsidR="001E2866" w:rsidTr="001E2866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Neuroimaging findings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Evidence of white matter involvement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11/12 (93%)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12/17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Evidence of basal ganglia/thalamic involvement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4/12 (33%)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Evidence of brain malformation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1/12 (8.5%)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gridSpan w:val="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Motor characteristics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 xml:space="preserve">Four-extremity Modified Ashworth Scale score (higher = more severe)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4.5 ± 5.0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1.5-14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10/17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Total Barry-Albright Dystonia Scale score (higher = more severe)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7.0 ± 11.0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0-25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11/17</w:t>
            </w:r>
          </w:p>
        </w:tc>
      </w:tr>
      <w:tr w:rsidR="001E2866" w:rsidTr="001E2866">
        <w:tc>
          <w:tcPr>
            <w:tcW w:w="0" w:type="auto"/>
            <w:gridSpan w:val="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Orthopedic surgical history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Number of orthopedic surgical events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2.0 ± 3.0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0-8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15/17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Highest orthopedic surgical invasiveness grade reached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2.0 ± 2.0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0-3</w:t>
            </w: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16/17</w:t>
            </w:r>
          </w:p>
        </w:tc>
      </w:tr>
      <w:tr w:rsidR="001E2866" w:rsidTr="001E2866">
        <w:tc>
          <w:tcPr>
            <w:tcW w:w="0" w:type="auto"/>
            <w:gridSpan w:val="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Ongoing scheduled medication use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Pain medication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2/17 (12%)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 xml:space="preserve">Tone-modulating </w:t>
            </w:r>
            <w:proofErr w:type="spellStart"/>
            <w:r w:rsidRPr="001E2866">
              <w:rPr>
                <w:b/>
                <w:sz w:val="20"/>
                <w:szCs w:val="20"/>
              </w:rPr>
              <w:t>medication:Any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14/17 (82%)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 xml:space="preserve">                                                  Enteral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9/17 (53%)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 xml:space="preserve">                               </w:t>
            </w:r>
            <w:r w:rsidRPr="001E2866">
              <w:rPr>
                <w:b/>
                <w:sz w:val="20"/>
                <w:szCs w:val="20"/>
              </w:rPr>
              <w:t xml:space="preserve">                   </w:t>
            </w:r>
            <w:proofErr w:type="spellStart"/>
            <w:r w:rsidRPr="001E2866">
              <w:rPr>
                <w:b/>
                <w:sz w:val="20"/>
                <w:szCs w:val="20"/>
              </w:rPr>
              <w:t>Intrathecal</w:t>
            </w:r>
            <w:proofErr w:type="spellEnd"/>
            <w:r w:rsidRPr="001E2866">
              <w:rPr>
                <w:b/>
                <w:sz w:val="20"/>
                <w:szCs w:val="20"/>
              </w:rPr>
              <w:t xml:space="preserve"> baclofen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5/17 (29%)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gridSpan w:val="4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Cognitive/behavioral characteristics</w:t>
            </w:r>
          </w:p>
        </w:tc>
        <w:tc>
          <w:tcPr>
            <w:tcW w:w="0" w:type="auto"/>
            <w:shd w:val="clear" w:color="auto" w:fill="FFFF00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Intellectual disability diagnosis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4/17 (24%)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Attention deficit/hyperactivity disorder diagnosis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1/17 (5.9%)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Anxiety disorder diagnosis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4/17 (24%)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  <w:tr w:rsidR="001E2866" w:rsidTr="001E286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1E2866">
              <w:rPr>
                <w:b/>
                <w:sz w:val="20"/>
                <w:szCs w:val="20"/>
              </w:rPr>
              <w:t>Mood disorder diagnosis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3/17 (18%)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866" w:rsidRPr="001E2866" w:rsidRDefault="001E2866" w:rsidP="001E2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1E2866">
              <w:rPr>
                <w:sz w:val="20"/>
                <w:szCs w:val="20"/>
              </w:rPr>
              <w:t>17/17</w:t>
            </w:r>
          </w:p>
        </w:tc>
      </w:tr>
    </w:tbl>
    <w:p w:rsidR="00DC271F" w:rsidRDefault="00DC271F">
      <w:pPr>
        <w:rPr>
          <w:b/>
        </w:rPr>
      </w:pPr>
    </w:p>
    <w:p w:rsidR="00DC271F" w:rsidRDefault="001E2866">
      <w:r>
        <w:rPr>
          <w:b/>
        </w:rPr>
        <w:t>Table S2: CP cohort clinical characteristics.</w:t>
      </w:r>
      <w:r>
        <w:t xml:space="preserve"> Etiological factors, motor characteristics, orthopedic surgical history, ongoing scheduled medication use, and cognitive/behavioral characteristics were evaluated using the medical record and individual/caregiv</w:t>
      </w:r>
      <w:r>
        <w:t xml:space="preserve">er report with harmonization by a physician. </w:t>
      </w:r>
    </w:p>
    <w:p w:rsidR="00DC271F" w:rsidRDefault="001E2866">
      <w:r>
        <w:rPr>
          <w:b/>
        </w:rPr>
        <w:t>Abbreviations:</w:t>
      </w:r>
      <w:r>
        <w:t xml:space="preserve"> IQR, interquartile range; GMFCS E&amp;R, G</w:t>
      </w:r>
      <w:bookmarkStart w:id="0" w:name="_GoBack"/>
      <w:bookmarkEnd w:id="0"/>
      <w:r>
        <w:t xml:space="preserve">ross Motor Functional Classification System, Expanded and Revised; MACS, Manual Ability Classification System; CFCS, Communication Functional Classification </w:t>
      </w:r>
      <w:r>
        <w:t xml:space="preserve">System. </w:t>
      </w:r>
    </w:p>
    <w:sectPr w:rsidR="00DC271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1F"/>
    <w:rsid w:val="001E2866"/>
    <w:rsid w:val="00D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A2A78-9717-473E-958F-DC5D59E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3F3B-1EFF-4196-9AD1-73CE8D05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Eric</dc:creator>
  <cp:lastModifiedBy>Chin, Eric</cp:lastModifiedBy>
  <cp:revision>2</cp:revision>
  <dcterms:created xsi:type="dcterms:W3CDTF">2020-10-06T20:41:00Z</dcterms:created>
  <dcterms:modified xsi:type="dcterms:W3CDTF">2020-10-06T20:41:00Z</dcterms:modified>
</cp:coreProperties>
</file>