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D3188B" w14:textId="77777777" w:rsidR="00E14F10" w:rsidRDefault="00E14F10" w:rsidP="00E14F10">
      <w:pPr>
        <w:widowControl w:val="0"/>
        <w:autoSpaceDE w:val="0"/>
        <w:autoSpaceDN w:val="0"/>
        <w:adjustRightInd w:val="0"/>
        <w:rPr>
          <w:b/>
          <w:sz w:val="32"/>
        </w:rPr>
      </w:pPr>
      <w:r w:rsidRPr="003117C2">
        <w:rPr>
          <w:b/>
          <w:sz w:val="32"/>
        </w:rPr>
        <w:t>Supplemental Figures and Table</w:t>
      </w:r>
    </w:p>
    <w:p w14:paraId="72614E21" w14:textId="77777777" w:rsidR="00E14F10" w:rsidRDefault="00E14F10" w:rsidP="00E14F10">
      <w:pPr>
        <w:widowControl w:val="0"/>
        <w:autoSpaceDE w:val="0"/>
        <w:autoSpaceDN w:val="0"/>
        <w:adjustRightInd w:val="0"/>
        <w:rPr>
          <w:b/>
          <w:sz w:val="32"/>
        </w:rPr>
      </w:pPr>
    </w:p>
    <w:p w14:paraId="19FF4CB0" w14:textId="77777777" w:rsidR="00E14F10" w:rsidRDefault="00E14F10" w:rsidP="00E14F10">
      <w:pPr>
        <w:widowControl w:val="0"/>
        <w:autoSpaceDE w:val="0"/>
        <w:autoSpaceDN w:val="0"/>
        <w:adjustRightInd w:val="0"/>
        <w:rPr>
          <w:b/>
          <w:sz w:val="32"/>
          <w:lang w:eastAsia="zh-CN"/>
        </w:rPr>
      </w:pPr>
    </w:p>
    <w:p w14:paraId="722DC9C9" w14:textId="77777777" w:rsidR="00E14F10" w:rsidRPr="006D46A5" w:rsidRDefault="00E14F10" w:rsidP="00E14F10">
      <w:pPr>
        <w:spacing w:line="240" w:lineRule="auto"/>
      </w:pPr>
      <w:r>
        <w:rPr>
          <w:noProof/>
          <w:sz w:val="24"/>
          <w:szCs w:val="24"/>
          <w:lang w:val="en-US" w:eastAsia="en-US"/>
        </w:rPr>
        <w:drawing>
          <wp:inline distT="0" distB="0" distL="0" distR="0" wp14:anchorId="4A8D3BB2" wp14:editId="2737FA27">
            <wp:extent cx="5328285" cy="1515745"/>
            <wp:effectExtent l="0" t="0" r="5715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ensitivety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319A8" w14:textId="77777777" w:rsidR="00E14F10" w:rsidRPr="00DE76D3" w:rsidRDefault="00E14F10" w:rsidP="00E14F10">
      <w:pPr>
        <w:spacing w:line="240" w:lineRule="auto"/>
        <w:rPr>
          <w:sz w:val="24"/>
          <w:szCs w:val="24"/>
        </w:rPr>
      </w:pPr>
      <w:r w:rsidRPr="007E165E">
        <w:rPr>
          <w:b/>
          <w:sz w:val="22"/>
          <w:szCs w:val="24"/>
        </w:rPr>
        <w:t>Figure S1</w:t>
      </w:r>
      <w:r>
        <w:rPr>
          <w:b/>
          <w:sz w:val="22"/>
          <w:szCs w:val="24"/>
        </w:rPr>
        <w:t>.</w:t>
      </w:r>
      <w:r w:rsidRPr="008E1750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sz w:val="24"/>
          <w:szCs w:val="24"/>
        </w:rPr>
        <w:t>S</w:t>
      </w:r>
      <w:r w:rsidRPr="008E1750">
        <w:rPr>
          <w:rFonts w:asciiTheme="majorBidi" w:eastAsia="Times New Roman" w:hAnsiTheme="majorBidi" w:cstheme="majorBidi"/>
          <w:sz w:val="24"/>
          <w:szCs w:val="24"/>
        </w:rPr>
        <w:t xml:space="preserve">ensitivity analyses of the change of the CL as a function of the conductance for </w:t>
      </w:r>
      <w:proofErr w:type="spellStart"/>
      <w:r w:rsidRPr="008E1750">
        <w:rPr>
          <w:rFonts w:asciiTheme="majorBidi" w:eastAsia="Times New Roman" w:hAnsiTheme="majorBidi" w:cstheme="majorBidi"/>
          <w:i/>
          <w:iCs/>
          <w:sz w:val="24"/>
          <w:szCs w:val="24"/>
        </w:rPr>
        <w:t>I</w:t>
      </w:r>
      <w:r w:rsidRPr="008E1750">
        <w:rPr>
          <w:rFonts w:asciiTheme="majorBidi" w:eastAsia="Times New Roman" w:hAnsiTheme="majorBidi" w:cstheme="majorBidi"/>
          <w:sz w:val="24"/>
          <w:szCs w:val="24"/>
          <w:vertAlign w:val="subscript"/>
        </w:rPr>
        <w:t>Na</w:t>
      </w:r>
      <w:proofErr w:type="spellEnd"/>
      <w:r w:rsidRPr="008E1750">
        <w:rPr>
          <w:rFonts w:asciiTheme="majorBidi" w:eastAsia="Times New Roman" w:hAnsiTheme="majorBidi" w:cstheme="majorBidi"/>
          <w:sz w:val="24"/>
          <w:szCs w:val="24"/>
        </w:rPr>
        <w:t>,</w:t>
      </w:r>
      <w:r>
        <w:rPr>
          <w:rFonts w:asciiTheme="majorBidi" w:eastAsia="Times New Roman" w:hAnsiTheme="majorBidi" w:cstheme="majorBidi"/>
          <w:sz w:val="24"/>
          <w:szCs w:val="24"/>
        </w:rPr>
        <w:t>(A)</w:t>
      </w:r>
      <w:r w:rsidRPr="008E1750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8E1750">
        <w:rPr>
          <w:rFonts w:asciiTheme="majorBidi" w:eastAsia="Times New Roman" w:hAnsiTheme="majorBidi" w:cstheme="majorBidi"/>
          <w:i/>
          <w:iCs/>
          <w:sz w:val="24"/>
          <w:szCs w:val="24"/>
        </w:rPr>
        <w:t>I</w:t>
      </w:r>
      <w:r w:rsidRPr="008E1750">
        <w:rPr>
          <w:rFonts w:asciiTheme="majorBidi" w:eastAsia="Times New Roman" w:hAnsiTheme="majorBidi" w:cstheme="majorBidi"/>
          <w:sz w:val="24"/>
          <w:szCs w:val="24"/>
          <w:vertAlign w:val="subscript"/>
        </w:rPr>
        <w:t>Ca,L</w:t>
      </w:r>
      <w:proofErr w:type="spellEnd"/>
      <w:r w:rsidRPr="008E1750">
        <w:rPr>
          <w:rFonts w:asciiTheme="majorBidi" w:eastAsia="Times New Roman" w:hAnsiTheme="majorBidi" w:cstheme="majorBidi"/>
          <w:sz w:val="24"/>
          <w:szCs w:val="24"/>
          <w:vertAlign w:val="subscript"/>
        </w:rPr>
        <w:t xml:space="preserve"> </w:t>
      </w:r>
      <w:r w:rsidRPr="009E7148">
        <w:rPr>
          <w:rFonts w:asciiTheme="majorBidi" w:eastAsia="Times New Roman" w:hAnsiTheme="majorBidi" w:cstheme="majorBidi"/>
          <w:sz w:val="24"/>
          <w:szCs w:val="24"/>
        </w:rPr>
        <w:t>(B)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8E1750">
        <w:rPr>
          <w:rFonts w:asciiTheme="majorBidi" w:eastAsia="Times New Roman" w:hAnsiTheme="majorBidi" w:cstheme="majorBidi"/>
          <w:sz w:val="24"/>
          <w:szCs w:val="24"/>
        </w:rPr>
        <w:t xml:space="preserve">and </w:t>
      </w:r>
      <w:r w:rsidRPr="008E1750">
        <w:rPr>
          <w:rFonts w:asciiTheme="majorBidi" w:eastAsia="Times New Roman" w:hAnsiTheme="majorBidi" w:cstheme="majorBidi"/>
          <w:i/>
          <w:iCs/>
          <w:sz w:val="24"/>
          <w:szCs w:val="24"/>
        </w:rPr>
        <w:t>I</w:t>
      </w:r>
      <w:r w:rsidRPr="008E1750">
        <w:rPr>
          <w:rFonts w:asciiTheme="majorBidi" w:eastAsia="Times New Roman" w:hAnsiTheme="majorBidi" w:cstheme="majorBidi"/>
          <w:sz w:val="24"/>
          <w:szCs w:val="24"/>
          <w:vertAlign w:val="subscript"/>
        </w:rPr>
        <w:t xml:space="preserve">f </w:t>
      </w:r>
      <w:r w:rsidRPr="009E7148">
        <w:rPr>
          <w:rFonts w:asciiTheme="majorBidi" w:eastAsia="Times New Roman" w:hAnsiTheme="majorBidi" w:cstheme="majorBidi"/>
          <w:sz w:val="24"/>
          <w:szCs w:val="24"/>
        </w:rPr>
        <w:t>(C)</w:t>
      </w:r>
      <w:r w:rsidRPr="009E7148" w:rsidDel="009E7148">
        <w:rPr>
          <w:sz w:val="22"/>
          <w:szCs w:val="24"/>
        </w:rPr>
        <w:t xml:space="preserve"> </w:t>
      </w:r>
      <w:r>
        <w:rPr>
          <w:sz w:val="22"/>
          <w:szCs w:val="24"/>
        </w:rPr>
        <w:t>.</w:t>
      </w:r>
      <w:r w:rsidR="00025FC0">
        <w:rPr>
          <w:sz w:val="22"/>
          <w:szCs w:val="24"/>
        </w:rPr>
        <w:pict w14:anchorId="29845F85">
          <v:rect id="_x0000_i1025" style="width:0;height:1.5pt" o:hralign="center" o:hrstd="t" o:hr="t" fillcolor="#a0a0a0" stroked="f"/>
        </w:pict>
      </w:r>
    </w:p>
    <w:p w14:paraId="491C22C3" w14:textId="77777777" w:rsidR="00E14F10" w:rsidRDefault="00E14F10" w:rsidP="00E14F10">
      <w:pPr>
        <w:rPr>
          <w:sz w:val="24"/>
          <w:szCs w:val="24"/>
        </w:rPr>
      </w:pPr>
    </w:p>
    <w:p w14:paraId="576E7FC9" w14:textId="77777777" w:rsidR="00E14F10" w:rsidRDefault="00E14F10" w:rsidP="00E14F10">
      <w:pPr>
        <w:rPr>
          <w:sz w:val="24"/>
          <w:szCs w:val="24"/>
        </w:rPr>
      </w:pPr>
    </w:p>
    <w:p w14:paraId="45291FE8" w14:textId="77777777" w:rsidR="00E14F10" w:rsidRDefault="00E14F10" w:rsidP="00E14F10">
      <w:pPr>
        <w:rPr>
          <w:sz w:val="24"/>
          <w:szCs w:val="24"/>
        </w:rPr>
      </w:pPr>
    </w:p>
    <w:p w14:paraId="55B9D19C" w14:textId="77777777" w:rsidR="00E14F10" w:rsidRDefault="00E14F10" w:rsidP="00E14F10">
      <w:pPr>
        <w:rPr>
          <w:sz w:val="24"/>
          <w:szCs w:val="24"/>
        </w:rPr>
      </w:pPr>
    </w:p>
    <w:p w14:paraId="54AB2EB4" w14:textId="77777777" w:rsidR="00E14F10" w:rsidRDefault="00E14F10" w:rsidP="00E14F10">
      <w:pPr>
        <w:rPr>
          <w:sz w:val="24"/>
          <w:szCs w:val="24"/>
        </w:rPr>
      </w:pPr>
    </w:p>
    <w:p w14:paraId="462B91D9" w14:textId="77777777" w:rsidR="00E14F10" w:rsidRDefault="00E14F10" w:rsidP="00E14F10">
      <w:pPr>
        <w:rPr>
          <w:sz w:val="24"/>
          <w:szCs w:val="24"/>
        </w:rPr>
      </w:pPr>
    </w:p>
    <w:p w14:paraId="1086FF3C" w14:textId="77777777" w:rsidR="00E14F10" w:rsidRPr="00540ABE" w:rsidRDefault="00E14F10" w:rsidP="00E14F10">
      <w:pPr>
        <w:spacing w:line="240" w:lineRule="auto"/>
        <w:rPr>
          <w:sz w:val="22"/>
          <w:szCs w:val="24"/>
        </w:rPr>
      </w:pPr>
      <w:r>
        <w:rPr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56513161" wp14:editId="03E03BB2">
            <wp:extent cx="5328285" cy="5172710"/>
            <wp:effectExtent l="0" t="0" r="5715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igureS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517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2"/>
          <w:szCs w:val="24"/>
        </w:rPr>
        <w:t>F</w:t>
      </w:r>
      <w:r w:rsidRPr="00540ABE">
        <w:rPr>
          <w:b/>
          <w:sz w:val="22"/>
          <w:szCs w:val="24"/>
        </w:rPr>
        <w:t>igure S2.</w:t>
      </w:r>
      <w:r w:rsidRPr="00540ABE">
        <w:rPr>
          <w:sz w:val="22"/>
          <w:szCs w:val="24"/>
        </w:rPr>
        <w:t xml:space="preserve"> The gradient distribution in (A)</w:t>
      </w:r>
      <w:r w:rsidRPr="00540ABE">
        <w:rPr>
          <w:rFonts w:eastAsia="Times New Roman"/>
          <w:sz w:val="22"/>
          <w:szCs w:val="24"/>
        </w:rPr>
        <w:t xml:space="preserve"> </w:t>
      </w:r>
      <w:r w:rsidRPr="00540ABE">
        <w:rPr>
          <w:sz w:val="22"/>
          <w:szCs w:val="24"/>
        </w:rPr>
        <w:t>cell capacitance (</w:t>
      </w:r>
      <w:r w:rsidRPr="00540ABE">
        <w:rPr>
          <w:i/>
          <w:sz w:val="22"/>
          <w:szCs w:val="24"/>
        </w:rPr>
        <w:t>C</w:t>
      </w:r>
      <w:r w:rsidRPr="00540ABE">
        <w:rPr>
          <w:sz w:val="22"/>
          <w:szCs w:val="24"/>
          <w:vertAlign w:val="subscript"/>
        </w:rPr>
        <w:t>m</w:t>
      </w:r>
      <w:r w:rsidRPr="00540ABE">
        <w:rPr>
          <w:sz w:val="22"/>
          <w:szCs w:val="24"/>
        </w:rPr>
        <w:t>) and (B) diffusion (</w:t>
      </w:r>
      <w:r w:rsidRPr="00540ABE">
        <w:rPr>
          <w:i/>
          <w:sz w:val="22"/>
          <w:szCs w:val="24"/>
        </w:rPr>
        <w:t>D</w:t>
      </w:r>
      <w:r w:rsidRPr="00540ABE">
        <w:rPr>
          <w:sz w:val="22"/>
          <w:szCs w:val="24"/>
        </w:rPr>
        <w:t xml:space="preserve">) in both longitudinal and transverse directions of the 2D tissue slice. Figure adapted from </w:t>
      </w:r>
      <w:r w:rsidRPr="00540ABE">
        <w:rPr>
          <w:sz w:val="22"/>
          <w:szCs w:val="24"/>
        </w:rPr>
        <w:fldChar w:fldCharType="begin" w:fldLock="1"/>
      </w:r>
      <w:r w:rsidRPr="00540ABE">
        <w:rPr>
          <w:sz w:val="22"/>
          <w:szCs w:val="24"/>
        </w:rPr>
        <w:instrText>ADDIN CSL_CITATION {"citationItems":[{"id":"ITEM-1","itemData":{"DOI":"10.1063/1.5002664","author":[{"dropping-particle":"","family":"Bai","given":"Xiangyun","non-dropping-particle":"","parse-names":false,"suffix":""},{"dropping-particle":"","family":"Wang","given":"Kuanquan","non-dropping-particle":"","parse-names":false,"suffix":""},{"dropping-particle":"","family":"Yuan","given":"Yongfeng","non-dropping-particle":"","parse-names":false,"suffix":""},{"dropping-particle":"","family":"Li","given":"Qince","non-dropping-particle":"","parse-names":false,"suffix":""},{"dropping-particle":"","family":"Dobrzynski","given":"Halina","non-dropping-particle":"","parse-names":false,"suffix":""},{"dropping-particle":"","family":"Boyett","given":"Mark R","non-dropping-particle":"","parse-names":false,"suffix":""},{"dropping-particle":"","family":"Hancox","given":"Jules C","non-dropping-particle":"","parse-names":false,"suffix":""},{"dropping-particle":"","family":"Zhang","given":"Henggui","non-dropping-particle":"","parse-names":false,"suffix":""}],"id":"ITEM-1","issued":{"date-parts":[["2017"]]},"title":"simulation study Mechanism underlying impaired cardiac pacemaking rhythm during ischemia : A simulation study","type":"article-journal","volume":"093934"},"uris":["http://www.mendeley.com/documents/?uuid=4c24762f-f9d4-4088-8082-a2d383ff971c"]}],"mendeley":{"formattedCitation":"[28]","plainTextFormattedCitation":"[28]","previouslyFormattedCitation":"[28]"},"properties":{"noteIndex":0},"schema":"https://github.com/citation-style-language/schema/raw/master/csl-citation.json"}</w:instrText>
      </w:r>
      <w:r w:rsidRPr="00540ABE">
        <w:rPr>
          <w:sz w:val="22"/>
          <w:szCs w:val="24"/>
        </w:rPr>
        <w:fldChar w:fldCharType="separate"/>
      </w:r>
      <w:r w:rsidRPr="00540ABE">
        <w:rPr>
          <w:noProof/>
          <w:sz w:val="22"/>
          <w:szCs w:val="24"/>
        </w:rPr>
        <w:t>[28]</w:t>
      </w:r>
      <w:r w:rsidRPr="00540ABE">
        <w:rPr>
          <w:sz w:val="22"/>
          <w:szCs w:val="24"/>
        </w:rPr>
        <w:fldChar w:fldCharType="end"/>
      </w:r>
      <w:r w:rsidRPr="00540ABE">
        <w:rPr>
          <w:sz w:val="22"/>
          <w:szCs w:val="24"/>
        </w:rPr>
        <w:t xml:space="preserve">.The decline of the Cx43 protein expression in the SAN of rat represented as percentage during </w:t>
      </w:r>
      <w:r w:rsidRPr="00540ABE">
        <w:rPr>
          <w:rFonts w:asciiTheme="majorBidi" w:eastAsia="Times New Roman" w:hAnsiTheme="majorBidi" w:cstheme="majorBidi"/>
          <w:sz w:val="24"/>
          <w:szCs w:val="24"/>
        </w:rPr>
        <w:t>developmental maturation</w:t>
      </w:r>
      <w:r w:rsidRPr="00540ABE">
        <w:rPr>
          <w:sz w:val="22"/>
          <w:szCs w:val="24"/>
        </w:rPr>
        <w:t xml:space="preserve">.(C) </w:t>
      </w:r>
      <w:r w:rsidRPr="00540ABE">
        <w:rPr>
          <w:sz w:val="22"/>
          <w:szCs w:val="24"/>
        </w:rPr>
        <w:fldChar w:fldCharType="begin" w:fldLock="1"/>
      </w:r>
      <w:r w:rsidRPr="00540ABE">
        <w:rPr>
          <w:sz w:val="22"/>
          <w:szCs w:val="24"/>
        </w:rPr>
        <w:instrText>ADDIN CSL_CITATION {"citationItems":[{"id":"ITEM-1","itemData":{"DOI":"10.1113/jphysiol.2004.072108","ISSN":"00223751","author":[{"dropping-particle":"","family":"Jones","given":"Sandra A.","non-dropping-particle":"","parse-names":false,"suffix":""},{"dropping-particle":"","family":"Lancaster","given":"Matthew K.","non-dropping-particle":"","parse-names":false,"suffix":""},{"dropping-particle":"","family":"Boyett","given":"Mark R.","non-dropping-particle":"","parse-names":false,"suffix":""}],"container-title":"The Journal of Physiology","id":"ITEM-1","issue":"2","issued":{"date-parts":[["2004","10"]]},"page":"429-437","publisher":"Blackwell Science Ltd","title":"Ageing-related changes of connexins and conduction within the sinoatrial node","type":"article-journal","volume":"560"},"uris":["http://www.mendeley.com/documents/?uuid=617b85c5-d817-3443-8e39-74f741a6bfd8"]}],"mendeley":{"formattedCitation":"[22]","plainTextFormattedCitation":"[22]","previouslyFormattedCitation":"[22]"},"properties":{"noteIndex":0},"schema":"https://github.com/citation-style-language/schema/raw/master/csl-citation.json"}</w:instrText>
      </w:r>
      <w:r w:rsidRPr="00540ABE">
        <w:rPr>
          <w:sz w:val="22"/>
          <w:szCs w:val="24"/>
        </w:rPr>
        <w:fldChar w:fldCharType="separate"/>
      </w:r>
      <w:r w:rsidRPr="00540ABE">
        <w:rPr>
          <w:noProof/>
          <w:sz w:val="22"/>
          <w:szCs w:val="24"/>
        </w:rPr>
        <w:t>[22]</w:t>
      </w:r>
      <w:r w:rsidRPr="00540ABE">
        <w:rPr>
          <w:sz w:val="22"/>
          <w:szCs w:val="24"/>
        </w:rPr>
        <w:fldChar w:fldCharType="end"/>
      </w:r>
    </w:p>
    <w:p w14:paraId="25FA6CA0" w14:textId="77777777" w:rsidR="00E14F10" w:rsidRPr="00DE76D3" w:rsidRDefault="00025FC0" w:rsidP="00E14F10">
      <w:pPr>
        <w:spacing w:line="240" w:lineRule="auto"/>
        <w:rPr>
          <w:rFonts w:eastAsia="Times New Roman"/>
          <w:sz w:val="24"/>
          <w:szCs w:val="24"/>
        </w:rPr>
      </w:pPr>
      <w:r>
        <w:rPr>
          <w:sz w:val="22"/>
          <w:szCs w:val="24"/>
        </w:rPr>
        <w:pict w14:anchorId="4C5ECCE4">
          <v:rect id="_x0000_i1026" style="width:0;height:1.5pt" o:hralign="center" o:hrstd="t" o:hr="t" fillcolor="#a0a0a0" stroked="f"/>
        </w:pict>
      </w:r>
    </w:p>
    <w:p w14:paraId="13260913" w14:textId="77777777" w:rsidR="00E14F10" w:rsidRPr="00DE76D3" w:rsidRDefault="00E14F10" w:rsidP="00E14F10">
      <w:pPr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6BE72DA1" wp14:editId="1ECE5B6C">
            <wp:extent cx="5328285" cy="7529195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fure S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752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6D44D" w14:textId="77777777" w:rsidR="00E14F10" w:rsidRPr="007E165E" w:rsidRDefault="00E14F10" w:rsidP="00E14F10">
      <w:pPr>
        <w:spacing w:line="240" w:lineRule="auto"/>
        <w:rPr>
          <w:sz w:val="22"/>
          <w:szCs w:val="24"/>
        </w:rPr>
      </w:pPr>
      <w:r w:rsidRPr="007E165E">
        <w:rPr>
          <w:b/>
          <w:sz w:val="22"/>
          <w:szCs w:val="24"/>
        </w:rPr>
        <w:t>Figure S3</w:t>
      </w:r>
      <w:r w:rsidRPr="007E165E">
        <w:rPr>
          <w:sz w:val="22"/>
          <w:szCs w:val="24"/>
        </w:rPr>
        <w:t>. Simulated peripheral SAN action potentials in the neonate (black lines) as compared with the adult (red lines) (Ai-</w:t>
      </w:r>
      <w:proofErr w:type="spellStart"/>
      <w:r w:rsidRPr="007E165E">
        <w:rPr>
          <w:sz w:val="22"/>
          <w:szCs w:val="24"/>
        </w:rPr>
        <w:t>Aii</w:t>
      </w:r>
      <w:proofErr w:type="spellEnd"/>
      <w:r w:rsidRPr="007E165E">
        <w:rPr>
          <w:sz w:val="22"/>
          <w:szCs w:val="24"/>
        </w:rPr>
        <w:t xml:space="preserve">) and their underlying time courses of ionic channel currents </w:t>
      </w:r>
      <w:proofErr w:type="spellStart"/>
      <w:r w:rsidRPr="007E165E">
        <w:rPr>
          <w:i/>
          <w:color w:val="000000" w:themeColor="text1"/>
          <w:sz w:val="22"/>
          <w:szCs w:val="24"/>
        </w:rPr>
        <w:t>I</w:t>
      </w:r>
      <w:r w:rsidRPr="007E165E">
        <w:rPr>
          <w:color w:val="000000" w:themeColor="text1"/>
          <w:sz w:val="22"/>
          <w:szCs w:val="24"/>
          <w:vertAlign w:val="subscript"/>
        </w:rPr>
        <w:t>Na</w:t>
      </w:r>
      <w:proofErr w:type="spellEnd"/>
      <w:r w:rsidRPr="007E165E">
        <w:rPr>
          <w:sz w:val="22"/>
          <w:szCs w:val="24"/>
        </w:rPr>
        <w:t xml:space="preserve">, </w:t>
      </w:r>
      <w:proofErr w:type="spellStart"/>
      <w:r w:rsidRPr="007E165E">
        <w:rPr>
          <w:i/>
          <w:sz w:val="22"/>
          <w:szCs w:val="24"/>
        </w:rPr>
        <w:t>I</w:t>
      </w:r>
      <w:r w:rsidRPr="007E165E">
        <w:rPr>
          <w:sz w:val="22"/>
          <w:szCs w:val="24"/>
          <w:vertAlign w:val="subscript"/>
        </w:rPr>
        <w:t>Ca,L</w:t>
      </w:r>
      <w:proofErr w:type="spellEnd"/>
      <w:r w:rsidRPr="007E165E">
        <w:rPr>
          <w:sz w:val="22"/>
          <w:szCs w:val="24"/>
        </w:rPr>
        <w:t xml:space="preserve">, </w:t>
      </w:r>
      <w:r w:rsidRPr="007E165E">
        <w:rPr>
          <w:i/>
          <w:sz w:val="22"/>
          <w:szCs w:val="24"/>
        </w:rPr>
        <w:t>I</w:t>
      </w:r>
      <w:r w:rsidRPr="007E165E">
        <w:rPr>
          <w:sz w:val="22"/>
          <w:szCs w:val="24"/>
          <w:vertAlign w:val="subscript"/>
        </w:rPr>
        <w:t>f</w:t>
      </w:r>
      <w:r w:rsidRPr="007E165E">
        <w:rPr>
          <w:sz w:val="22"/>
          <w:szCs w:val="24"/>
        </w:rPr>
        <w:t xml:space="preserve">, </w:t>
      </w:r>
      <w:proofErr w:type="spellStart"/>
      <w:r w:rsidRPr="007E165E">
        <w:rPr>
          <w:i/>
          <w:sz w:val="22"/>
          <w:szCs w:val="24"/>
        </w:rPr>
        <w:t>I</w:t>
      </w:r>
      <w:r w:rsidRPr="007E165E">
        <w:rPr>
          <w:sz w:val="22"/>
          <w:szCs w:val="24"/>
          <w:vertAlign w:val="subscript"/>
        </w:rPr>
        <w:t>NaCa</w:t>
      </w:r>
      <w:proofErr w:type="spellEnd"/>
      <w:r w:rsidRPr="007E165E">
        <w:rPr>
          <w:sz w:val="22"/>
          <w:szCs w:val="24"/>
        </w:rPr>
        <w:t xml:space="preserve">, </w:t>
      </w:r>
      <w:proofErr w:type="spellStart"/>
      <w:r w:rsidRPr="007E165E">
        <w:rPr>
          <w:i/>
          <w:sz w:val="22"/>
          <w:szCs w:val="24"/>
        </w:rPr>
        <w:t>I</w:t>
      </w:r>
      <w:r w:rsidRPr="007E165E">
        <w:rPr>
          <w:sz w:val="22"/>
          <w:szCs w:val="24"/>
          <w:vertAlign w:val="subscript"/>
        </w:rPr>
        <w:t>Kr</w:t>
      </w:r>
      <w:proofErr w:type="spellEnd"/>
      <w:r w:rsidRPr="007E165E">
        <w:rPr>
          <w:sz w:val="22"/>
          <w:szCs w:val="24"/>
        </w:rPr>
        <w:t xml:space="preserve"> and</w:t>
      </w:r>
      <w:r w:rsidRPr="007E165E">
        <w:rPr>
          <w:i/>
          <w:sz w:val="22"/>
          <w:szCs w:val="24"/>
        </w:rPr>
        <w:t xml:space="preserve"> I</w:t>
      </w:r>
      <w:r w:rsidRPr="007E165E">
        <w:rPr>
          <w:sz w:val="22"/>
          <w:szCs w:val="24"/>
          <w:vertAlign w:val="subscript"/>
        </w:rPr>
        <w:t xml:space="preserve">Ks </w:t>
      </w:r>
      <w:r w:rsidRPr="007E165E">
        <w:rPr>
          <w:sz w:val="22"/>
          <w:szCs w:val="24"/>
        </w:rPr>
        <w:t>(Bi-</w:t>
      </w:r>
      <w:proofErr w:type="spellStart"/>
      <w:r w:rsidRPr="007E165E">
        <w:rPr>
          <w:sz w:val="22"/>
          <w:szCs w:val="24"/>
        </w:rPr>
        <w:t>Gii</w:t>
      </w:r>
      <w:proofErr w:type="spellEnd"/>
      <w:r w:rsidRPr="007E165E">
        <w:rPr>
          <w:sz w:val="22"/>
          <w:szCs w:val="24"/>
        </w:rPr>
        <w:t>).</w:t>
      </w:r>
    </w:p>
    <w:p w14:paraId="137B62DF" w14:textId="77777777" w:rsidR="00E14F10" w:rsidRPr="00DE76D3" w:rsidRDefault="00025FC0" w:rsidP="00E14F10">
      <w:pPr>
        <w:spacing w:line="240" w:lineRule="auto"/>
        <w:rPr>
          <w:sz w:val="24"/>
          <w:szCs w:val="24"/>
        </w:rPr>
      </w:pPr>
      <w:r>
        <w:rPr>
          <w:sz w:val="22"/>
          <w:szCs w:val="24"/>
        </w:rPr>
        <w:pict w14:anchorId="6D96014B">
          <v:rect id="_x0000_i1027" style="width:0;height:1.5pt" o:hralign="center" o:hrstd="t" o:hr="t" fillcolor="#a0a0a0" stroked="f"/>
        </w:pict>
      </w:r>
    </w:p>
    <w:p w14:paraId="7F8CB0C4" w14:textId="77777777" w:rsidR="00E14F10" w:rsidRPr="00DE76D3" w:rsidRDefault="00E14F10" w:rsidP="00E14F10">
      <w:pPr>
        <w:jc w:val="center"/>
        <w:rPr>
          <w:sz w:val="24"/>
          <w:szCs w:val="24"/>
          <w:vertAlign w:val="superscript"/>
        </w:rPr>
      </w:pPr>
      <w:r>
        <w:rPr>
          <w:noProof/>
          <w:sz w:val="24"/>
          <w:szCs w:val="24"/>
          <w:vertAlign w:val="superscript"/>
          <w:lang w:val="en-US" w:eastAsia="en-US"/>
        </w:rPr>
        <w:lastRenderedPageBreak/>
        <w:drawing>
          <wp:inline distT="0" distB="0" distL="0" distR="0" wp14:anchorId="2EBC89E4" wp14:editId="1202BC2F">
            <wp:extent cx="4047744" cy="5511320"/>
            <wp:effectExtent l="0" t="0" r="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S4_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245" cy="551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65267" w14:textId="77777777" w:rsidR="00E14F10" w:rsidRPr="007E165E" w:rsidRDefault="00E14F10" w:rsidP="00E14F10">
      <w:pPr>
        <w:spacing w:line="240" w:lineRule="auto"/>
        <w:jc w:val="left"/>
        <w:rPr>
          <w:sz w:val="22"/>
          <w:szCs w:val="24"/>
        </w:rPr>
      </w:pPr>
      <w:r w:rsidRPr="00897EBD">
        <w:rPr>
          <w:b/>
          <w:sz w:val="22"/>
          <w:szCs w:val="24"/>
        </w:rPr>
        <w:t>Figure S4</w:t>
      </w:r>
      <w:r w:rsidRPr="007E165E">
        <w:rPr>
          <w:sz w:val="22"/>
          <w:szCs w:val="24"/>
        </w:rPr>
        <w:t xml:space="preserve">. Bar chart comparison of the main AP characteristic of peripheral SAN cells: MDP (A), TOP (B), PA (C), </w:t>
      </w:r>
      <w:proofErr w:type="spellStart"/>
      <w:r w:rsidRPr="007E165E">
        <w:rPr>
          <w:sz w:val="22"/>
          <w:szCs w:val="24"/>
        </w:rPr>
        <w:t>d</w:t>
      </w:r>
      <w:r w:rsidRPr="007E165E">
        <w:rPr>
          <w:i/>
          <w:sz w:val="22"/>
          <w:szCs w:val="24"/>
        </w:rPr>
        <w:t>V</w:t>
      </w:r>
      <w:proofErr w:type="spellEnd"/>
      <w:r w:rsidRPr="007E165E">
        <w:rPr>
          <w:sz w:val="22"/>
          <w:szCs w:val="24"/>
        </w:rPr>
        <w:t>/</w:t>
      </w:r>
      <w:proofErr w:type="spellStart"/>
      <w:r w:rsidRPr="007E165E">
        <w:rPr>
          <w:sz w:val="22"/>
          <w:szCs w:val="24"/>
        </w:rPr>
        <w:t>d</w:t>
      </w:r>
      <w:r w:rsidRPr="007E165E">
        <w:rPr>
          <w:i/>
          <w:sz w:val="22"/>
          <w:szCs w:val="24"/>
        </w:rPr>
        <w:t>t</w:t>
      </w:r>
      <w:r w:rsidRPr="007E165E">
        <w:rPr>
          <w:sz w:val="22"/>
          <w:szCs w:val="24"/>
          <w:vertAlign w:val="subscript"/>
        </w:rPr>
        <w:t>max</w:t>
      </w:r>
      <w:proofErr w:type="spellEnd"/>
      <w:r w:rsidRPr="007E165E">
        <w:rPr>
          <w:sz w:val="22"/>
          <w:szCs w:val="24"/>
        </w:rPr>
        <w:t xml:space="preserve"> (D), reduction of HR (E), and CL (F) in the neonate (grey) corresponding to the adult (red).</w:t>
      </w:r>
    </w:p>
    <w:p w14:paraId="1774155C" w14:textId="77777777" w:rsidR="00E14F10" w:rsidRPr="00DE76D3" w:rsidRDefault="00025FC0" w:rsidP="00E14F10">
      <w:pPr>
        <w:spacing w:line="240" w:lineRule="auto"/>
        <w:jc w:val="left"/>
        <w:rPr>
          <w:sz w:val="24"/>
          <w:szCs w:val="24"/>
        </w:rPr>
      </w:pPr>
      <w:r>
        <w:rPr>
          <w:sz w:val="22"/>
          <w:szCs w:val="24"/>
        </w:rPr>
        <w:pict w14:anchorId="0DFA0E13">
          <v:rect id="_x0000_i1028" style="width:0;height:1.5pt" o:hralign="center" o:hrstd="t" o:hr="t" fillcolor="#a0a0a0" stroked="f"/>
        </w:pict>
      </w:r>
    </w:p>
    <w:p w14:paraId="5B641907" w14:textId="77777777" w:rsidR="00E14F10" w:rsidRPr="007E165E" w:rsidRDefault="00E14F10" w:rsidP="00E14F10">
      <w:pPr>
        <w:rPr>
          <w:sz w:val="22"/>
          <w:szCs w:val="24"/>
        </w:rPr>
      </w:pPr>
      <w:r>
        <w:rPr>
          <w:b/>
          <w:sz w:val="22"/>
          <w:szCs w:val="24"/>
        </w:rPr>
        <w:t xml:space="preserve">Table </w:t>
      </w:r>
      <w:r w:rsidRPr="007E165E">
        <w:rPr>
          <w:rFonts w:eastAsia="Times New Roman"/>
          <w:b/>
          <w:sz w:val="22"/>
          <w:szCs w:val="24"/>
        </w:rPr>
        <w:t>S1</w:t>
      </w:r>
      <w:r w:rsidRPr="007E165E">
        <w:rPr>
          <w:sz w:val="22"/>
          <w:szCs w:val="24"/>
        </w:rPr>
        <w:t>. AP characteristics of the neonate and adult peripheral SA node cell models.</w:t>
      </w:r>
    </w:p>
    <w:tbl>
      <w:tblPr>
        <w:tblStyle w:val="TableGrid"/>
        <w:tblW w:w="8275" w:type="dxa"/>
        <w:tblLook w:val="04A0" w:firstRow="1" w:lastRow="0" w:firstColumn="1" w:lastColumn="0" w:noHBand="0" w:noVBand="1"/>
      </w:tblPr>
      <w:tblGrid>
        <w:gridCol w:w="1016"/>
        <w:gridCol w:w="1679"/>
        <w:gridCol w:w="1128"/>
        <w:gridCol w:w="1184"/>
        <w:gridCol w:w="1430"/>
        <w:gridCol w:w="1838"/>
      </w:tblGrid>
      <w:tr w:rsidR="00E14F10" w:rsidRPr="00DE76D3" w14:paraId="54F2870D" w14:textId="77777777" w:rsidTr="00E14F10">
        <w:trPr>
          <w:trHeight w:val="567"/>
        </w:trPr>
        <w:tc>
          <w:tcPr>
            <w:tcW w:w="1016" w:type="dxa"/>
            <w:shd w:val="clear" w:color="auto" w:fill="D9D9D9" w:themeFill="background1" w:themeFillShade="D9"/>
          </w:tcPr>
          <w:p w14:paraId="2A20FAA2" w14:textId="77777777" w:rsidR="00E14F10" w:rsidRPr="00DE76D3" w:rsidRDefault="00E14F10" w:rsidP="008F63C8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shd w:val="clear" w:color="auto" w:fill="D9D9D9" w:themeFill="background1" w:themeFillShade="D9"/>
          </w:tcPr>
          <w:p w14:paraId="4E3BF191" w14:textId="77777777" w:rsidR="00E14F10" w:rsidRPr="00DE76D3" w:rsidRDefault="00E14F10" w:rsidP="008F63C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E76D3">
              <w:rPr>
                <w:rFonts w:ascii="Times New Roman" w:hAnsi="Times New Roman" w:cs="Times New Roman"/>
                <w:sz w:val="24"/>
                <w:szCs w:val="24"/>
              </w:rPr>
              <w:t>References</w:t>
            </w:r>
          </w:p>
        </w:tc>
        <w:tc>
          <w:tcPr>
            <w:tcW w:w="1128" w:type="dxa"/>
            <w:shd w:val="clear" w:color="auto" w:fill="D9D9D9" w:themeFill="background1" w:themeFillShade="D9"/>
          </w:tcPr>
          <w:p w14:paraId="6CAF23E9" w14:textId="77777777" w:rsidR="00E14F10" w:rsidRPr="00DE76D3" w:rsidRDefault="00E14F10" w:rsidP="008F63C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E76D3">
              <w:rPr>
                <w:rFonts w:ascii="Times New Roman" w:hAnsi="Times New Roman" w:cs="Times New Roman"/>
                <w:sz w:val="24"/>
                <w:szCs w:val="24"/>
              </w:rPr>
              <w:t>PA (mV)</w:t>
            </w:r>
          </w:p>
        </w:tc>
        <w:tc>
          <w:tcPr>
            <w:tcW w:w="1184" w:type="dxa"/>
            <w:shd w:val="clear" w:color="auto" w:fill="D9D9D9" w:themeFill="background1" w:themeFillShade="D9"/>
          </w:tcPr>
          <w:p w14:paraId="1601927D" w14:textId="77777777" w:rsidR="00E14F10" w:rsidRPr="00DE76D3" w:rsidRDefault="00E14F10" w:rsidP="008F63C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E76D3">
              <w:rPr>
                <w:rFonts w:ascii="Times New Roman" w:hAnsi="Times New Roman" w:cs="Times New Roman"/>
                <w:sz w:val="24"/>
                <w:szCs w:val="24"/>
              </w:rPr>
              <w:t>CL (</w:t>
            </w:r>
            <w:proofErr w:type="spellStart"/>
            <w:r w:rsidRPr="00DE76D3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proofErr w:type="spellEnd"/>
            <w:r w:rsidRPr="00DE76D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30" w:type="dxa"/>
            <w:shd w:val="clear" w:color="auto" w:fill="D9D9D9" w:themeFill="background1" w:themeFillShade="D9"/>
          </w:tcPr>
          <w:p w14:paraId="555D8E2A" w14:textId="77777777" w:rsidR="00E14F10" w:rsidRPr="00DE76D3" w:rsidRDefault="00E14F10" w:rsidP="008F63C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E76D3">
              <w:rPr>
                <w:rFonts w:ascii="Times New Roman" w:hAnsi="Times New Roman" w:cs="Times New Roman"/>
                <w:sz w:val="24"/>
                <w:szCs w:val="24"/>
              </w:rPr>
              <w:t>MDP (mV)</w:t>
            </w:r>
          </w:p>
        </w:tc>
        <w:tc>
          <w:tcPr>
            <w:tcW w:w="1838" w:type="dxa"/>
            <w:shd w:val="clear" w:color="auto" w:fill="D9D9D9" w:themeFill="background1" w:themeFillShade="D9"/>
          </w:tcPr>
          <w:p w14:paraId="0123C96A" w14:textId="77777777" w:rsidR="00E14F10" w:rsidRPr="00DE76D3" w:rsidRDefault="00E14F10" w:rsidP="008F63C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6D3">
              <w:rPr>
                <w:rFonts w:ascii="Times New Roman" w:hAnsi="Times New Roman" w:cs="Times New Roman"/>
                <w:sz w:val="24"/>
                <w:szCs w:val="24"/>
              </w:rPr>
              <w:t>dV</w:t>
            </w:r>
            <w:proofErr w:type="spellEnd"/>
            <w:r w:rsidRPr="00DE76D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E76D3">
              <w:rPr>
                <w:rFonts w:ascii="Times New Roman" w:hAnsi="Times New Roman" w:cs="Times New Roman"/>
                <w:sz w:val="24"/>
                <w:szCs w:val="24"/>
              </w:rPr>
              <w:t>dt</w:t>
            </w:r>
            <w:r w:rsidRPr="0048751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proofErr w:type="spellEnd"/>
            <w:r w:rsidRPr="00DE76D3">
              <w:rPr>
                <w:rFonts w:ascii="Times New Roman" w:hAnsi="Times New Roman" w:cs="Times New Roman"/>
                <w:sz w:val="24"/>
                <w:szCs w:val="24"/>
              </w:rPr>
              <w:t xml:space="preserve"> (V/s)</w:t>
            </w:r>
          </w:p>
        </w:tc>
      </w:tr>
      <w:tr w:rsidR="00E14F10" w:rsidRPr="00DE76D3" w14:paraId="507EF738" w14:textId="77777777" w:rsidTr="00E14F10">
        <w:trPr>
          <w:trHeight w:val="567"/>
        </w:trPr>
        <w:tc>
          <w:tcPr>
            <w:tcW w:w="1016" w:type="dxa"/>
            <w:shd w:val="clear" w:color="auto" w:fill="BFBFBF" w:themeFill="background1" w:themeFillShade="BF"/>
            <w:vAlign w:val="center"/>
          </w:tcPr>
          <w:p w14:paraId="7733E99E" w14:textId="77777777" w:rsidR="00E14F10" w:rsidRPr="00DE76D3" w:rsidRDefault="00E14F10" w:rsidP="008F63C8">
            <w:pPr>
              <w:pStyle w:val="NoSpacing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6D3">
              <w:rPr>
                <w:rFonts w:ascii="Times New Roman" w:eastAsia="Times New Roman" w:hAnsi="Times New Roman" w:cs="Times New Roman"/>
                <w:sz w:val="24"/>
                <w:szCs w:val="24"/>
              </w:rPr>
              <w:t>Neonate</w:t>
            </w:r>
          </w:p>
        </w:tc>
        <w:tc>
          <w:tcPr>
            <w:tcW w:w="1679" w:type="dxa"/>
            <w:vAlign w:val="center"/>
          </w:tcPr>
          <w:p w14:paraId="1D964D49" w14:textId="77777777" w:rsidR="00E14F10" w:rsidRPr="00DE76D3" w:rsidRDefault="00E14F10" w:rsidP="008F63C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6D3">
              <w:rPr>
                <w:rFonts w:ascii="Times New Roman" w:hAnsi="Times New Roman" w:cs="Times New Roman"/>
                <w:sz w:val="24"/>
                <w:szCs w:val="24"/>
              </w:rPr>
              <w:t>Our model</w:t>
            </w:r>
          </w:p>
        </w:tc>
        <w:tc>
          <w:tcPr>
            <w:tcW w:w="1128" w:type="dxa"/>
            <w:vAlign w:val="center"/>
          </w:tcPr>
          <w:p w14:paraId="2A1F98CD" w14:textId="77777777" w:rsidR="00E14F10" w:rsidRPr="00DE76D3" w:rsidRDefault="00E14F10" w:rsidP="008F63C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6D3">
              <w:rPr>
                <w:rFonts w:ascii="Times New Roman" w:hAnsi="Times New Roman" w:cs="Times New Roman"/>
                <w:sz w:val="24"/>
                <w:szCs w:val="24"/>
              </w:rPr>
              <w:t>31.69</w:t>
            </w:r>
          </w:p>
        </w:tc>
        <w:tc>
          <w:tcPr>
            <w:tcW w:w="1184" w:type="dxa"/>
            <w:vAlign w:val="center"/>
          </w:tcPr>
          <w:p w14:paraId="1935BB8E" w14:textId="77777777" w:rsidR="00E14F10" w:rsidRPr="00DE76D3" w:rsidRDefault="00E14F10" w:rsidP="008F63C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6D3">
              <w:rPr>
                <w:rFonts w:ascii="Times New Roman" w:hAnsi="Times New Roman" w:cs="Times New Roman"/>
                <w:sz w:val="24"/>
                <w:szCs w:val="24"/>
              </w:rPr>
              <w:t>156.23</w:t>
            </w:r>
          </w:p>
        </w:tc>
        <w:tc>
          <w:tcPr>
            <w:tcW w:w="1430" w:type="dxa"/>
            <w:vAlign w:val="center"/>
          </w:tcPr>
          <w:p w14:paraId="3D68EA36" w14:textId="77777777" w:rsidR="00E14F10" w:rsidRPr="00CF6875" w:rsidRDefault="00E14F10" w:rsidP="008F63C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6875">
              <w:rPr>
                <w:rFonts w:ascii="Times New Roman" w:hAnsi="Times New Roman" w:cs="Times New Roman"/>
                <w:sz w:val="24"/>
                <w:szCs w:val="24"/>
              </w:rPr>
              <w:t>-78.45</w:t>
            </w:r>
          </w:p>
        </w:tc>
        <w:tc>
          <w:tcPr>
            <w:tcW w:w="1838" w:type="dxa"/>
            <w:vAlign w:val="center"/>
          </w:tcPr>
          <w:p w14:paraId="7CEDF939" w14:textId="77777777" w:rsidR="00E14F10" w:rsidRPr="00CF6875" w:rsidRDefault="00E14F10" w:rsidP="008F63C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6875">
              <w:rPr>
                <w:rFonts w:ascii="Times New Roman" w:hAnsi="Times New Roman" w:cs="Times New Roman"/>
                <w:sz w:val="24"/>
                <w:szCs w:val="24"/>
              </w:rPr>
              <w:t>72.83</w:t>
            </w:r>
          </w:p>
        </w:tc>
      </w:tr>
      <w:tr w:rsidR="00E14F10" w:rsidRPr="00DE76D3" w14:paraId="62CE77BE" w14:textId="77777777" w:rsidTr="00E14F10">
        <w:trPr>
          <w:trHeight w:val="567"/>
        </w:trPr>
        <w:tc>
          <w:tcPr>
            <w:tcW w:w="1016" w:type="dxa"/>
            <w:shd w:val="clear" w:color="auto" w:fill="BFBFBF" w:themeFill="background1" w:themeFillShade="BF"/>
            <w:vAlign w:val="center"/>
          </w:tcPr>
          <w:p w14:paraId="31DEEE65" w14:textId="77777777" w:rsidR="00E14F10" w:rsidRPr="00DE76D3" w:rsidRDefault="00E14F10" w:rsidP="008F63C8">
            <w:pPr>
              <w:pStyle w:val="NoSpacing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6D3">
              <w:rPr>
                <w:rFonts w:ascii="Times New Roman" w:eastAsia="Times New Roman" w:hAnsi="Times New Roman" w:cs="Times New Roman"/>
                <w:sz w:val="24"/>
                <w:szCs w:val="24"/>
              </w:rPr>
              <w:t>Adult</w:t>
            </w:r>
          </w:p>
        </w:tc>
        <w:tc>
          <w:tcPr>
            <w:tcW w:w="1679" w:type="dxa"/>
            <w:vAlign w:val="center"/>
          </w:tcPr>
          <w:p w14:paraId="506C645E" w14:textId="77777777" w:rsidR="00E14F10" w:rsidRPr="00DE76D3" w:rsidRDefault="00E14F10" w:rsidP="008F63C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6D3">
              <w:rPr>
                <w:rFonts w:ascii="Times New Roman" w:hAnsi="Times New Roman" w:cs="Times New Roman"/>
                <w:sz w:val="24"/>
                <w:szCs w:val="24"/>
              </w:rPr>
              <w:t xml:space="preserve">Zhang </w:t>
            </w:r>
            <w:r w:rsidRPr="00DE76D3">
              <w:rPr>
                <w:rFonts w:ascii="Times New Roman" w:hAnsi="Times New Roman" w:cs="Times New Roman"/>
                <w:i/>
                <w:sz w:val="24"/>
                <w:szCs w:val="24"/>
              </w:rPr>
              <w:t>et 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.[26]</w:t>
            </w:r>
          </w:p>
        </w:tc>
        <w:tc>
          <w:tcPr>
            <w:tcW w:w="1128" w:type="dxa"/>
            <w:vAlign w:val="center"/>
          </w:tcPr>
          <w:p w14:paraId="69535585" w14:textId="77777777" w:rsidR="00E14F10" w:rsidRPr="00DE76D3" w:rsidRDefault="00E14F10" w:rsidP="008F63C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6D3">
              <w:rPr>
                <w:rFonts w:ascii="Times New Roman" w:hAnsi="Times New Roman" w:cs="Times New Roman"/>
                <w:sz w:val="24"/>
                <w:szCs w:val="24"/>
              </w:rPr>
              <w:t>23.07</w:t>
            </w:r>
          </w:p>
        </w:tc>
        <w:tc>
          <w:tcPr>
            <w:tcW w:w="1184" w:type="dxa"/>
            <w:vAlign w:val="center"/>
          </w:tcPr>
          <w:p w14:paraId="3D04B452" w14:textId="77777777" w:rsidR="00E14F10" w:rsidRPr="00DE76D3" w:rsidRDefault="00E14F10" w:rsidP="008F63C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6D3">
              <w:rPr>
                <w:rFonts w:ascii="Times New Roman" w:hAnsi="Times New Roman" w:cs="Times New Roman"/>
                <w:sz w:val="24"/>
                <w:szCs w:val="24"/>
              </w:rPr>
              <w:t>175.39</w:t>
            </w:r>
          </w:p>
        </w:tc>
        <w:tc>
          <w:tcPr>
            <w:tcW w:w="1430" w:type="dxa"/>
            <w:vAlign w:val="center"/>
          </w:tcPr>
          <w:p w14:paraId="788681EE" w14:textId="77777777" w:rsidR="00E14F10" w:rsidRPr="00CF6875" w:rsidRDefault="00E14F10" w:rsidP="008F63C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6875">
              <w:rPr>
                <w:rFonts w:ascii="Times New Roman" w:hAnsi="Times New Roman" w:cs="Times New Roman"/>
                <w:sz w:val="24"/>
                <w:szCs w:val="24"/>
              </w:rPr>
              <w:t>-77.96</w:t>
            </w:r>
          </w:p>
        </w:tc>
        <w:tc>
          <w:tcPr>
            <w:tcW w:w="1838" w:type="dxa"/>
            <w:vAlign w:val="center"/>
          </w:tcPr>
          <w:p w14:paraId="5B3386FD" w14:textId="77777777" w:rsidR="00E14F10" w:rsidRPr="00CF6875" w:rsidRDefault="00E14F10" w:rsidP="008F63C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6875">
              <w:rPr>
                <w:rFonts w:ascii="Times New Roman" w:hAnsi="Times New Roman" w:cs="Times New Roman"/>
                <w:sz w:val="24"/>
                <w:szCs w:val="24"/>
              </w:rPr>
              <w:t>70.16</w:t>
            </w:r>
          </w:p>
        </w:tc>
      </w:tr>
    </w:tbl>
    <w:p w14:paraId="25D49A14" w14:textId="77777777" w:rsidR="00E14F10" w:rsidRPr="00DE76D3" w:rsidRDefault="00E14F10" w:rsidP="00E14F10">
      <w:pPr>
        <w:jc w:val="left"/>
        <w:rPr>
          <w:sz w:val="24"/>
          <w:szCs w:val="24"/>
        </w:rPr>
        <w:sectPr w:rsidR="00E14F10" w:rsidRPr="00DE76D3" w:rsidSect="00025FC0">
          <w:pgSz w:w="11906" w:h="16838"/>
          <w:pgMar w:top="1418" w:right="1247" w:bottom="1418" w:left="2268" w:header="708" w:footer="708" w:gutter="0"/>
          <w:cols w:space="708"/>
          <w:docGrid w:linePitch="381"/>
        </w:sectPr>
      </w:pPr>
    </w:p>
    <w:p w14:paraId="6827B3E0" w14:textId="77777777" w:rsidR="00E14F10" w:rsidRPr="00DE76D3" w:rsidRDefault="00E14F10" w:rsidP="00E14F10">
      <w:pPr>
        <w:spacing w:line="240" w:lineRule="auto"/>
        <w:jc w:val="center"/>
        <w:rPr>
          <w:b/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4CFAAED1" wp14:editId="48115F71">
            <wp:extent cx="6754091" cy="4722724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igureS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334" cy="477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C8492" w14:textId="77777777" w:rsidR="00E14F10" w:rsidRPr="00FA15F8" w:rsidRDefault="00E14F10" w:rsidP="00E14F10">
      <w:pPr>
        <w:spacing w:after="0" w:line="240" w:lineRule="auto"/>
        <w:jc w:val="left"/>
        <w:rPr>
          <w:szCs w:val="24"/>
        </w:rPr>
        <w:sectPr w:rsidR="00E14F10" w:rsidRPr="00FA15F8" w:rsidSect="009A74B0">
          <w:pgSz w:w="16838" w:h="11906" w:orient="landscape"/>
          <w:pgMar w:top="1985" w:right="1247" w:bottom="1440" w:left="1418" w:header="708" w:footer="708" w:gutter="0"/>
          <w:cols w:space="708"/>
          <w:docGrid w:linePitch="381"/>
        </w:sectPr>
      </w:pPr>
      <w:r w:rsidRPr="007E165E">
        <w:rPr>
          <w:b/>
          <w:sz w:val="22"/>
          <w:szCs w:val="24"/>
        </w:rPr>
        <w:t xml:space="preserve">Figure S5. </w:t>
      </w:r>
      <w:r w:rsidRPr="007E165E">
        <w:rPr>
          <w:sz w:val="22"/>
          <w:szCs w:val="24"/>
        </w:rPr>
        <w:t>Simulated individual effects of ion-channel remodelling on central SAN action potentials in the adult and the underlying ionic currents (Ai-</w:t>
      </w:r>
      <w:proofErr w:type="spellStart"/>
      <w:r w:rsidRPr="007E165E">
        <w:rPr>
          <w:sz w:val="22"/>
          <w:szCs w:val="24"/>
        </w:rPr>
        <w:t>Aii</w:t>
      </w:r>
      <w:proofErr w:type="spellEnd"/>
      <w:r w:rsidRPr="007E165E">
        <w:rPr>
          <w:sz w:val="22"/>
          <w:szCs w:val="24"/>
        </w:rPr>
        <w:t xml:space="preserve">) </w:t>
      </w:r>
      <w:proofErr w:type="spellStart"/>
      <w:r w:rsidRPr="007E165E">
        <w:rPr>
          <w:i/>
          <w:sz w:val="22"/>
          <w:szCs w:val="24"/>
        </w:rPr>
        <w:t>I</w:t>
      </w:r>
      <w:r w:rsidRPr="007E165E">
        <w:rPr>
          <w:sz w:val="22"/>
          <w:szCs w:val="24"/>
          <w:vertAlign w:val="subscript"/>
        </w:rPr>
        <w:t>Na</w:t>
      </w:r>
      <w:proofErr w:type="spellEnd"/>
      <w:r w:rsidRPr="007E165E">
        <w:rPr>
          <w:sz w:val="22"/>
          <w:szCs w:val="24"/>
        </w:rPr>
        <w:t xml:space="preserve">, (Bi-Bii) </w:t>
      </w:r>
      <w:proofErr w:type="spellStart"/>
      <w:r w:rsidRPr="007E165E">
        <w:rPr>
          <w:i/>
          <w:sz w:val="22"/>
          <w:szCs w:val="24"/>
        </w:rPr>
        <w:t>I</w:t>
      </w:r>
      <w:r w:rsidRPr="007E165E">
        <w:rPr>
          <w:sz w:val="22"/>
          <w:szCs w:val="24"/>
          <w:vertAlign w:val="subscript"/>
        </w:rPr>
        <w:t>Ca,L</w:t>
      </w:r>
      <w:proofErr w:type="spellEnd"/>
      <w:r w:rsidRPr="007E165E">
        <w:rPr>
          <w:sz w:val="22"/>
          <w:szCs w:val="24"/>
        </w:rPr>
        <w:t>, (Ci-</w:t>
      </w:r>
      <w:proofErr w:type="spellStart"/>
      <w:r w:rsidRPr="007E165E">
        <w:rPr>
          <w:sz w:val="22"/>
          <w:szCs w:val="24"/>
        </w:rPr>
        <w:t>Cii</w:t>
      </w:r>
      <w:proofErr w:type="spellEnd"/>
      <w:r w:rsidRPr="007E165E">
        <w:rPr>
          <w:sz w:val="22"/>
          <w:szCs w:val="24"/>
        </w:rPr>
        <w:t xml:space="preserve">) </w:t>
      </w:r>
      <w:r w:rsidRPr="007E165E">
        <w:rPr>
          <w:i/>
          <w:sz w:val="22"/>
          <w:szCs w:val="24"/>
        </w:rPr>
        <w:t>I</w:t>
      </w:r>
      <w:r w:rsidRPr="007E165E">
        <w:rPr>
          <w:sz w:val="22"/>
          <w:szCs w:val="24"/>
          <w:vertAlign w:val="subscript"/>
        </w:rPr>
        <w:t>f</w:t>
      </w:r>
      <w:r w:rsidRPr="007E165E">
        <w:rPr>
          <w:sz w:val="22"/>
          <w:szCs w:val="24"/>
        </w:rPr>
        <w:t>, (</w:t>
      </w:r>
      <w:r w:rsidRPr="007E165E">
        <w:rPr>
          <w:iCs/>
          <w:sz w:val="22"/>
          <w:szCs w:val="24"/>
        </w:rPr>
        <w:t>Di-</w:t>
      </w:r>
      <w:proofErr w:type="spellStart"/>
      <w:r w:rsidRPr="007E165E">
        <w:rPr>
          <w:iCs/>
          <w:sz w:val="22"/>
          <w:szCs w:val="24"/>
        </w:rPr>
        <w:t>Dii</w:t>
      </w:r>
      <w:proofErr w:type="spellEnd"/>
      <w:r w:rsidRPr="007E165E">
        <w:rPr>
          <w:sz w:val="22"/>
          <w:szCs w:val="24"/>
        </w:rPr>
        <w:t xml:space="preserve">) </w:t>
      </w:r>
      <w:proofErr w:type="spellStart"/>
      <w:r w:rsidRPr="007E165E">
        <w:rPr>
          <w:i/>
          <w:sz w:val="22"/>
          <w:szCs w:val="24"/>
        </w:rPr>
        <w:t>I</w:t>
      </w:r>
      <w:r w:rsidRPr="007E165E">
        <w:rPr>
          <w:sz w:val="22"/>
          <w:szCs w:val="24"/>
          <w:vertAlign w:val="subscript"/>
        </w:rPr>
        <w:t>Kr</w:t>
      </w:r>
      <w:proofErr w:type="spellEnd"/>
      <w:r w:rsidRPr="007E165E">
        <w:rPr>
          <w:iCs/>
          <w:sz w:val="22"/>
          <w:szCs w:val="24"/>
        </w:rPr>
        <w:t>,</w:t>
      </w:r>
      <w:r w:rsidRPr="007E165E">
        <w:rPr>
          <w:i/>
          <w:sz w:val="22"/>
          <w:szCs w:val="24"/>
        </w:rPr>
        <w:t xml:space="preserve"> </w:t>
      </w:r>
      <w:r w:rsidRPr="007E165E">
        <w:rPr>
          <w:sz w:val="22"/>
          <w:szCs w:val="24"/>
        </w:rPr>
        <w:t>(</w:t>
      </w:r>
      <w:proofErr w:type="spellStart"/>
      <w:r w:rsidRPr="007E165E">
        <w:rPr>
          <w:sz w:val="22"/>
          <w:szCs w:val="24"/>
        </w:rPr>
        <w:t>Ei-Eii</w:t>
      </w:r>
      <w:proofErr w:type="spellEnd"/>
      <w:r w:rsidRPr="007E165E">
        <w:rPr>
          <w:sz w:val="22"/>
          <w:szCs w:val="24"/>
        </w:rPr>
        <w:t xml:space="preserve">) </w:t>
      </w:r>
      <w:r w:rsidRPr="007E165E">
        <w:rPr>
          <w:i/>
          <w:sz w:val="22"/>
          <w:szCs w:val="24"/>
        </w:rPr>
        <w:t>I</w:t>
      </w:r>
      <w:r w:rsidRPr="007E165E">
        <w:rPr>
          <w:sz w:val="22"/>
          <w:szCs w:val="24"/>
          <w:vertAlign w:val="subscript"/>
        </w:rPr>
        <w:t>Ks</w:t>
      </w:r>
      <w:r w:rsidRPr="007E165E">
        <w:rPr>
          <w:sz w:val="22"/>
          <w:szCs w:val="24"/>
        </w:rPr>
        <w:t xml:space="preserve"> and (Fi-</w:t>
      </w:r>
      <w:proofErr w:type="spellStart"/>
      <w:r w:rsidRPr="007E165E">
        <w:rPr>
          <w:sz w:val="22"/>
          <w:szCs w:val="24"/>
        </w:rPr>
        <w:t>Fii</w:t>
      </w:r>
      <w:proofErr w:type="spellEnd"/>
      <w:r w:rsidRPr="007E165E">
        <w:rPr>
          <w:sz w:val="22"/>
          <w:szCs w:val="24"/>
        </w:rPr>
        <w:t xml:space="preserve">) </w:t>
      </w:r>
      <w:proofErr w:type="spellStart"/>
      <w:r w:rsidRPr="007E165E">
        <w:rPr>
          <w:i/>
          <w:sz w:val="22"/>
          <w:szCs w:val="24"/>
        </w:rPr>
        <w:t>I</w:t>
      </w:r>
      <w:r w:rsidRPr="007E165E">
        <w:rPr>
          <w:sz w:val="22"/>
          <w:szCs w:val="24"/>
          <w:vertAlign w:val="subscript"/>
        </w:rPr>
        <w:t>NaCa</w:t>
      </w:r>
      <w:proofErr w:type="spellEnd"/>
      <w:r w:rsidR="00025FC0">
        <w:rPr>
          <w:sz w:val="22"/>
          <w:szCs w:val="24"/>
        </w:rPr>
        <w:pict w14:anchorId="5D8751E2">
          <v:rect id="_x0000_i1029" style="width:0;height:1.5pt" o:hralign="center" o:hrstd="t" o:hr="t" fillcolor="#a0a0a0" stroked="f"/>
        </w:pict>
      </w:r>
    </w:p>
    <w:p w14:paraId="04E6B9F9" w14:textId="77777777" w:rsidR="00E14F10" w:rsidRDefault="00E14F10" w:rsidP="00E14F10">
      <w:pPr>
        <w:spacing w:after="0" w:line="240" w:lineRule="auto"/>
        <w:jc w:val="left"/>
        <w:rPr>
          <w:szCs w:val="24"/>
        </w:rPr>
      </w:pPr>
    </w:p>
    <w:p w14:paraId="22792C46" w14:textId="77777777" w:rsidR="00E14F10" w:rsidRPr="00DE76D3" w:rsidRDefault="00E14F10" w:rsidP="00E14F10">
      <w:pPr>
        <w:pStyle w:val="Default"/>
        <w:spacing w:line="360" w:lineRule="auto"/>
        <w:jc w:val="center"/>
        <w:rPr>
          <w:rFonts w:eastAsia="Times New Roman"/>
          <w:color w:val="000000" w:themeColor="text1"/>
        </w:rPr>
      </w:pPr>
      <w:r w:rsidRPr="00DE76D3">
        <w:rPr>
          <w:noProof/>
          <w:lang w:val="en-US" w:eastAsia="en-US"/>
        </w:rPr>
        <w:drawing>
          <wp:inline distT="0" distB="0" distL="0" distR="0" wp14:anchorId="2B5D3128" wp14:editId="31338E25">
            <wp:extent cx="6483927" cy="4502653"/>
            <wp:effectExtent l="0" t="0" r="0" b="0"/>
            <wp:docPr id="55" name="Picture 55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ure-S7 SCALE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376" cy="451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4305B" w14:textId="77777777" w:rsidR="00E14F10" w:rsidRPr="007E165E" w:rsidRDefault="00E14F10" w:rsidP="00E14F10">
      <w:pPr>
        <w:spacing w:after="0" w:line="240" w:lineRule="auto"/>
        <w:jc w:val="left"/>
        <w:rPr>
          <w:b/>
          <w:sz w:val="22"/>
          <w:szCs w:val="24"/>
        </w:rPr>
      </w:pPr>
      <w:r w:rsidRPr="007E165E">
        <w:rPr>
          <w:b/>
          <w:sz w:val="22"/>
          <w:szCs w:val="24"/>
        </w:rPr>
        <w:t>Figure S</w:t>
      </w:r>
      <w:r>
        <w:rPr>
          <w:b/>
          <w:sz w:val="22"/>
          <w:szCs w:val="24"/>
        </w:rPr>
        <w:t>6</w:t>
      </w:r>
      <w:r w:rsidRPr="007E165E">
        <w:rPr>
          <w:b/>
          <w:sz w:val="22"/>
          <w:szCs w:val="24"/>
        </w:rPr>
        <w:t xml:space="preserve">. </w:t>
      </w:r>
      <w:proofErr w:type="spellStart"/>
      <w:r w:rsidRPr="007E165E">
        <w:rPr>
          <w:sz w:val="22"/>
          <w:szCs w:val="24"/>
        </w:rPr>
        <w:t>ACh</w:t>
      </w:r>
      <w:proofErr w:type="spellEnd"/>
      <w:r w:rsidRPr="007E165E">
        <w:rPr>
          <w:sz w:val="22"/>
          <w:szCs w:val="24"/>
        </w:rPr>
        <w:t xml:space="preserve"> effect at a concentration of 3×10</w:t>
      </w:r>
      <w:r w:rsidRPr="007E165E">
        <w:rPr>
          <w:sz w:val="22"/>
          <w:szCs w:val="24"/>
          <w:vertAlign w:val="superscript"/>
        </w:rPr>
        <w:t>-8</w:t>
      </w:r>
      <w:r w:rsidRPr="007E165E">
        <w:rPr>
          <w:sz w:val="22"/>
          <w:szCs w:val="24"/>
        </w:rPr>
        <w:t>M on the propagation of the SAN and surrounding area of the neonate (A) and adult (B) rabbit 2D tissue. Snapshots of the activation pattern at various timings are shown.</w:t>
      </w:r>
    </w:p>
    <w:p w14:paraId="3EDFCC01" w14:textId="77777777" w:rsidR="00E14F10" w:rsidRPr="00FA15F8" w:rsidRDefault="00025FC0" w:rsidP="00E14F10">
      <w:pPr>
        <w:spacing w:after="0" w:line="240" w:lineRule="auto"/>
        <w:jc w:val="left"/>
        <w:rPr>
          <w:szCs w:val="24"/>
        </w:rPr>
        <w:sectPr w:rsidR="00E14F10" w:rsidRPr="00FA15F8" w:rsidSect="00F42AF9">
          <w:pgSz w:w="16838" w:h="11906" w:orient="landscape"/>
          <w:pgMar w:top="1985" w:right="1247" w:bottom="1440" w:left="1418" w:header="708" w:footer="708" w:gutter="0"/>
          <w:cols w:space="708"/>
          <w:docGrid w:linePitch="381"/>
        </w:sectPr>
      </w:pPr>
      <w:r>
        <w:rPr>
          <w:sz w:val="22"/>
          <w:szCs w:val="24"/>
        </w:rPr>
        <w:pict w14:anchorId="21E0E747">
          <v:rect id="_x0000_i1030" style="width:0;height:1.5pt" o:hralign="center" o:hrstd="t" o:hr="t" fillcolor="#a0a0a0" stroked="f"/>
        </w:pict>
      </w:r>
    </w:p>
    <w:p w14:paraId="2AA21E01" w14:textId="77777777" w:rsidR="00E14F10" w:rsidRPr="00DE76D3" w:rsidRDefault="00E14F10" w:rsidP="00E14F10">
      <w:pPr>
        <w:jc w:val="center"/>
        <w:rPr>
          <w:sz w:val="24"/>
          <w:szCs w:val="24"/>
        </w:rPr>
      </w:pPr>
      <w:r w:rsidRPr="00DE76D3">
        <w:rPr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4C154D5C" wp14:editId="68458F99">
            <wp:extent cx="7018221" cy="4521528"/>
            <wp:effectExtent l="0" t="0" r="0" b="0"/>
            <wp:docPr id="56" name="Picture 56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ure-S8_SCAL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240" cy="453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5C576" w14:textId="77777777" w:rsidR="00E14F10" w:rsidRPr="007E165E" w:rsidRDefault="00E14F10" w:rsidP="00E14F10">
      <w:pPr>
        <w:spacing w:after="0" w:line="240" w:lineRule="auto"/>
        <w:jc w:val="left"/>
        <w:rPr>
          <w:rFonts w:asciiTheme="minorHAnsi" w:hAnsiTheme="minorHAnsi"/>
          <w:sz w:val="22"/>
          <w:szCs w:val="24"/>
        </w:rPr>
      </w:pPr>
      <w:r w:rsidRPr="007E165E">
        <w:rPr>
          <w:b/>
          <w:sz w:val="22"/>
          <w:szCs w:val="24"/>
        </w:rPr>
        <w:t>Figure S</w:t>
      </w:r>
      <w:r>
        <w:rPr>
          <w:b/>
          <w:sz w:val="22"/>
          <w:szCs w:val="24"/>
        </w:rPr>
        <w:t>7.</w:t>
      </w:r>
      <w:r w:rsidRPr="007E165E">
        <w:rPr>
          <w:rFonts w:asciiTheme="minorHAnsi" w:hAnsiTheme="minorHAnsi"/>
          <w:sz w:val="22"/>
          <w:szCs w:val="24"/>
        </w:rPr>
        <w:t xml:space="preserve"> </w:t>
      </w:r>
      <w:proofErr w:type="spellStart"/>
      <w:r w:rsidRPr="007E165E">
        <w:rPr>
          <w:rFonts w:asciiTheme="minorHAnsi" w:hAnsiTheme="minorHAnsi"/>
          <w:sz w:val="22"/>
          <w:szCs w:val="24"/>
        </w:rPr>
        <w:t>ACh</w:t>
      </w:r>
      <w:proofErr w:type="spellEnd"/>
      <w:r w:rsidRPr="007E165E">
        <w:rPr>
          <w:rFonts w:asciiTheme="minorHAnsi" w:hAnsiTheme="minorHAnsi"/>
          <w:sz w:val="22"/>
          <w:szCs w:val="24"/>
        </w:rPr>
        <w:t xml:space="preserve"> effect at a concentration of 8×10</w:t>
      </w:r>
      <w:r w:rsidRPr="007E165E">
        <w:rPr>
          <w:rFonts w:asciiTheme="minorHAnsi" w:hAnsiTheme="minorHAnsi"/>
          <w:sz w:val="22"/>
          <w:szCs w:val="24"/>
          <w:vertAlign w:val="superscript"/>
        </w:rPr>
        <w:t>-8</w:t>
      </w:r>
      <w:r w:rsidRPr="007E165E">
        <w:rPr>
          <w:rFonts w:asciiTheme="minorHAnsi" w:hAnsiTheme="minorHAnsi"/>
          <w:sz w:val="22"/>
          <w:szCs w:val="24"/>
        </w:rPr>
        <w:t>M on the propagation of the SAN and surrounding area of the neonate (A) and adult (B) rabbit 2D tissue. Snapshots of the activation pattern at various times are shown.</w:t>
      </w:r>
    </w:p>
    <w:p w14:paraId="63550313" w14:textId="77777777" w:rsidR="00E14F10" w:rsidRPr="00FA15F8" w:rsidRDefault="00025FC0" w:rsidP="00E14F10">
      <w:pPr>
        <w:spacing w:after="0" w:line="240" w:lineRule="auto"/>
        <w:jc w:val="left"/>
        <w:rPr>
          <w:szCs w:val="24"/>
        </w:rPr>
        <w:sectPr w:rsidR="00E14F10" w:rsidRPr="00FA15F8" w:rsidSect="002E525D">
          <w:pgSz w:w="16838" w:h="11906" w:orient="landscape"/>
          <w:pgMar w:top="1985" w:right="1247" w:bottom="1440" w:left="1418" w:header="708" w:footer="708" w:gutter="0"/>
          <w:cols w:space="708"/>
          <w:docGrid w:linePitch="381"/>
        </w:sectPr>
      </w:pPr>
      <w:r>
        <w:rPr>
          <w:sz w:val="22"/>
          <w:szCs w:val="24"/>
        </w:rPr>
        <w:pict w14:anchorId="4FA2BDDE">
          <v:rect id="_x0000_i1031" style="width:0;height:1.5pt" o:hralign="center" o:hrstd="t" o:hr="t" fillcolor="#a0a0a0" stroked="f"/>
        </w:pict>
      </w:r>
    </w:p>
    <w:p w14:paraId="4F63ED7B" w14:textId="77777777" w:rsidR="00E14F10" w:rsidRDefault="00E14F10" w:rsidP="00E14F10">
      <w:pPr>
        <w:spacing w:line="240" w:lineRule="auto"/>
        <w:jc w:val="left"/>
        <w:rPr>
          <w:sz w:val="24"/>
          <w:szCs w:val="24"/>
        </w:rPr>
      </w:pPr>
    </w:p>
    <w:p w14:paraId="479A7202" w14:textId="77777777" w:rsidR="00E14F10" w:rsidRDefault="00E14F10" w:rsidP="00E14F10">
      <w:pPr>
        <w:jc w:val="center"/>
        <w:rPr>
          <w:b/>
          <w:sz w:val="22"/>
          <w:szCs w:val="24"/>
        </w:rPr>
      </w:pPr>
      <w:r>
        <w:rPr>
          <w:noProof/>
          <w:sz w:val="22"/>
          <w:szCs w:val="24"/>
          <w:lang w:val="en-US" w:eastAsia="en-US"/>
        </w:rPr>
        <w:drawing>
          <wp:inline distT="0" distB="0" distL="0" distR="0" wp14:anchorId="315ACCF5" wp14:editId="0375AEA5">
            <wp:extent cx="4121404" cy="4128595"/>
            <wp:effectExtent l="0" t="0" r="0" b="5715"/>
            <wp:docPr id="1" name="Picture 1" descr="A close up of a colorful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FigureS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824" cy="416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86E7" w14:textId="77777777" w:rsidR="00E14F10" w:rsidRPr="002E525D" w:rsidRDefault="00E14F10" w:rsidP="00E14F10">
      <w:pPr>
        <w:jc w:val="left"/>
        <w:rPr>
          <w:sz w:val="22"/>
          <w:szCs w:val="22"/>
        </w:rPr>
        <w:sectPr w:rsidR="00E14F10" w:rsidRPr="002E525D" w:rsidSect="00411B0E">
          <w:type w:val="nextColumn"/>
          <w:pgSz w:w="16838" w:h="11906" w:orient="landscape"/>
          <w:pgMar w:top="1588" w:right="1588" w:bottom="1588" w:left="1701" w:header="708" w:footer="708" w:gutter="0"/>
          <w:cols w:space="708"/>
          <w:docGrid w:linePitch="381"/>
        </w:sectPr>
      </w:pPr>
      <w:r w:rsidRPr="00A26A70">
        <w:rPr>
          <w:b/>
          <w:sz w:val="22"/>
          <w:szCs w:val="24"/>
        </w:rPr>
        <w:t>Figure S</w:t>
      </w:r>
      <w:r>
        <w:rPr>
          <w:b/>
          <w:sz w:val="22"/>
          <w:szCs w:val="24"/>
        </w:rPr>
        <w:t>8</w:t>
      </w:r>
      <w:r w:rsidRPr="00A26A70">
        <w:rPr>
          <w:b/>
          <w:sz w:val="22"/>
          <w:szCs w:val="24"/>
        </w:rPr>
        <w:t xml:space="preserve">. </w:t>
      </w:r>
      <w:r w:rsidRPr="00A26A70">
        <w:rPr>
          <w:sz w:val="22"/>
          <w:szCs w:val="24"/>
        </w:rPr>
        <w:t xml:space="preserve">Multi-leading </w:t>
      </w:r>
      <w:proofErr w:type="spellStart"/>
      <w:r w:rsidRPr="00A26A70">
        <w:rPr>
          <w:sz w:val="22"/>
          <w:szCs w:val="24"/>
        </w:rPr>
        <w:t>pacemaking</w:t>
      </w:r>
      <w:proofErr w:type="spellEnd"/>
      <w:r w:rsidRPr="00A26A70">
        <w:rPr>
          <w:sz w:val="22"/>
          <w:szCs w:val="24"/>
        </w:rPr>
        <w:t xml:space="preserve"> sites resulting from ion-channel remodelling in the absence of connexin remodelling. Snapshots of the activation pattern at various timings are shown.</w:t>
      </w:r>
      <w:r w:rsidRPr="002E525D" w:rsidDel="00A26A70">
        <w:rPr>
          <w:sz w:val="22"/>
          <w:szCs w:val="24"/>
        </w:rPr>
        <w:t xml:space="preserve"> </w:t>
      </w:r>
      <w:r w:rsidR="00025FC0">
        <w:rPr>
          <w:sz w:val="22"/>
          <w:szCs w:val="24"/>
        </w:rPr>
        <w:pict w14:anchorId="54B9A909">
          <v:rect id="_x0000_i1032" style="width:0;height:1.5pt" o:hrstd="t" o:hr="t" fillcolor="#a0a0a0" stroked="f"/>
        </w:pict>
      </w:r>
    </w:p>
    <w:p w14:paraId="2D880D08" w14:textId="77777777" w:rsidR="00E14F10" w:rsidRPr="00587F75" w:rsidRDefault="00E14F10" w:rsidP="00E14F10">
      <w:pPr>
        <w:pStyle w:val="Heading2"/>
        <w:rPr>
          <w:rFonts w:cs="Times New Roman"/>
          <w:b w:val="0"/>
          <w:sz w:val="28"/>
          <w:szCs w:val="24"/>
        </w:rPr>
      </w:pPr>
      <w:r w:rsidRPr="00587F75">
        <w:rPr>
          <w:rFonts w:cs="Times New Roman"/>
          <w:sz w:val="28"/>
          <w:szCs w:val="24"/>
        </w:rPr>
        <w:lastRenderedPageBreak/>
        <w:t>References</w:t>
      </w:r>
    </w:p>
    <w:p w14:paraId="5768BFD3" w14:textId="77777777" w:rsidR="00E14F10" w:rsidRPr="00EE4DD3" w:rsidRDefault="00E14F10" w:rsidP="00E14F10">
      <w:pPr>
        <w:widowControl w:val="0"/>
        <w:autoSpaceDE w:val="0"/>
        <w:autoSpaceDN w:val="0"/>
        <w:adjustRightInd w:val="0"/>
        <w:ind w:left="640" w:hanging="640"/>
        <w:jc w:val="left"/>
        <w:rPr>
          <w:noProof/>
          <w:sz w:val="24"/>
          <w:szCs w:val="24"/>
        </w:rPr>
      </w:pPr>
    </w:p>
    <w:p w14:paraId="6893EC46" w14:textId="77777777" w:rsidR="00E14F10" w:rsidRPr="00EE4DD3" w:rsidRDefault="00E14F10" w:rsidP="00E14F10">
      <w:pPr>
        <w:widowControl w:val="0"/>
        <w:autoSpaceDE w:val="0"/>
        <w:autoSpaceDN w:val="0"/>
        <w:adjustRightInd w:val="0"/>
        <w:ind w:left="640" w:hanging="640"/>
        <w:jc w:val="left"/>
        <w:rPr>
          <w:noProof/>
          <w:sz w:val="24"/>
          <w:szCs w:val="24"/>
        </w:rPr>
      </w:pPr>
      <w:r w:rsidRPr="00EE4DD3">
        <w:rPr>
          <w:noProof/>
          <w:sz w:val="24"/>
          <w:szCs w:val="24"/>
        </w:rPr>
        <w:t xml:space="preserve">22. </w:t>
      </w:r>
      <w:r w:rsidRPr="00EE4DD3">
        <w:rPr>
          <w:noProof/>
          <w:sz w:val="24"/>
          <w:szCs w:val="24"/>
        </w:rPr>
        <w:tab/>
        <w:t>Jones SA, Lancaster MK, Boyett MR. Ageing-related changes of connexins and conduction within the sinoatrial node. J Physiol [Internet]. 2004 Oct [cited 2017 Jul 26];560(2):429–37. Available from: http://doi.wiley.com/10.1113/jphysiol.2004.072108</w:t>
      </w:r>
    </w:p>
    <w:p w14:paraId="0DDC257B" w14:textId="77777777" w:rsidR="00E14F10" w:rsidRPr="00EE4DD3" w:rsidRDefault="00E14F10" w:rsidP="00E14F10">
      <w:pPr>
        <w:widowControl w:val="0"/>
        <w:autoSpaceDE w:val="0"/>
        <w:autoSpaceDN w:val="0"/>
        <w:adjustRightInd w:val="0"/>
        <w:ind w:left="640" w:hanging="640"/>
        <w:jc w:val="left"/>
        <w:rPr>
          <w:noProof/>
          <w:sz w:val="24"/>
          <w:szCs w:val="24"/>
        </w:rPr>
      </w:pPr>
      <w:r w:rsidRPr="008A1A30">
        <w:rPr>
          <w:sz w:val="24"/>
          <w:lang w:val="pt-BR"/>
        </w:rPr>
        <w:t xml:space="preserve">26. </w:t>
      </w:r>
      <w:r w:rsidRPr="008A1A30">
        <w:rPr>
          <w:sz w:val="24"/>
          <w:lang w:val="pt-BR"/>
        </w:rPr>
        <w:tab/>
        <w:t xml:space="preserve">Zhang H, Holden A V, Kodama I, Honjo H, Lei M, Varghese T, et al. </w:t>
      </w:r>
      <w:r w:rsidRPr="00EE4DD3">
        <w:rPr>
          <w:noProof/>
          <w:sz w:val="24"/>
          <w:szCs w:val="24"/>
        </w:rPr>
        <w:t xml:space="preserve">Mathematical models of action potentials in the periphery and center of the rabbit sinoatrial node. Am J Physiol Hear Circ Physiol. 2000;279(2000):H397–H421. </w:t>
      </w:r>
    </w:p>
    <w:p w14:paraId="51969050" w14:textId="77777777" w:rsidR="00E14F10" w:rsidRPr="000A7644" w:rsidRDefault="00E14F10" w:rsidP="00E14F10">
      <w:pPr>
        <w:widowControl w:val="0"/>
        <w:autoSpaceDE w:val="0"/>
        <w:autoSpaceDN w:val="0"/>
        <w:adjustRightInd w:val="0"/>
        <w:jc w:val="left"/>
        <w:rPr>
          <w:rFonts w:asciiTheme="majorBidi" w:hAnsiTheme="majorBidi" w:cstheme="majorBidi"/>
          <w:noProof/>
          <w:sz w:val="22"/>
          <w:szCs w:val="22"/>
        </w:rPr>
      </w:pPr>
      <w:r w:rsidRPr="00EE4DD3">
        <w:rPr>
          <w:noProof/>
          <w:sz w:val="24"/>
          <w:szCs w:val="24"/>
        </w:rPr>
        <w:t xml:space="preserve">28. </w:t>
      </w:r>
      <w:r w:rsidRPr="00EE4DD3">
        <w:rPr>
          <w:noProof/>
          <w:sz w:val="24"/>
          <w:szCs w:val="24"/>
        </w:rPr>
        <w:tab/>
        <w:t>B</w:t>
      </w:r>
      <w:r w:rsidRPr="007D7281">
        <w:rPr>
          <w:rFonts w:asciiTheme="majorBidi" w:hAnsiTheme="majorBidi" w:cstheme="majorBidi"/>
          <w:noProof/>
          <w:sz w:val="22"/>
          <w:szCs w:val="22"/>
        </w:rPr>
        <w:t>ai X, Wang K, Yuan Y, Li Q, Dobrzynski H, Boyett MR.</w:t>
      </w:r>
      <w:r w:rsidRPr="007D7281">
        <w:rPr>
          <w:rFonts w:asciiTheme="majorBidi" w:hAnsiTheme="majorBidi" w:cstheme="majorBidi"/>
          <w:sz w:val="22"/>
          <w:szCs w:val="22"/>
        </w:rPr>
        <w:t xml:space="preserve"> </w:t>
      </w:r>
      <w:r w:rsidRPr="007D7281">
        <w:rPr>
          <w:rFonts w:asciiTheme="majorBidi" w:hAnsiTheme="majorBidi" w:cstheme="majorBidi"/>
          <w:noProof/>
          <w:sz w:val="22"/>
          <w:szCs w:val="22"/>
        </w:rPr>
        <w:t xml:space="preserve">Mechanism underlying </w:t>
      </w:r>
      <w:r>
        <w:rPr>
          <w:rFonts w:asciiTheme="majorBidi" w:hAnsiTheme="majorBidi" w:cstheme="majorBidi"/>
          <w:noProof/>
          <w:sz w:val="22"/>
          <w:szCs w:val="22"/>
        </w:rPr>
        <w:t xml:space="preserve">   </w:t>
      </w:r>
      <w:r w:rsidRPr="007D7281">
        <w:rPr>
          <w:rFonts w:asciiTheme="majorBidi" w:hAnsiTheme="majorBidi" w:cstheme="majorBidi"/>
          <w:noProof/>
          <w:sz w:val="22"/>
          <w:szCs w:val="22"/>
        </w:rPr>
        <w:t>impaired cardiac pa</w:t>
      </w:r>
      <w:r>
        <w:rPr>
          <w:rFonts w:asciiTheme="majorBidi" w:hAnsiTheme="majorBidi" w:cstheme="majorBidi"/>
          <w:noProof/>
          <w:sz w:val="22"/>
          <w:szCs w:val="22"/>
        </w:rPr>
        <w:t xml:space="preserve">cemaking rhythm during ischemia. </w:t>
      </w:r>
      <w:r w:rsidRPr="007D7281">
        <w:rPr>
          <w:rFonts w:asciiTheme="majorBidi" w:hAnsiTheme="majorBidi" w:cstheme="majorBidi"/>
          <w:noProof/>
          <w:sz w:val="22"/>
          <w:szCs w:val="22"/>
        </w:rPr>
        <w:t xml:space="preserve"> A simulation study.</w:t>
      </w:r>
      <w:r w:rsidRPr="007D7281">
        <w:rPr>
          <w:rFonts w:asciiTheme="majorBidi" w:hAnsiTheme="majorBidi" w:cstheme="majorBidi"/>
          <w:sz w:val="22"/>
          <w:szCs w:val="22"/>
        </w:rPr>
        <w:t xml:space="preserve"> </w:t>
      </w:r>
      <w:r w:rsidRPr="007D7281">
        <w:rPr>
          <w:rFonts w:asciiTheme="majorBidi" w:hAnsiTheme="majorBidi" w:cstheme="majorBidi"/>
          <w:noProof/>
          <w:sz w:val="22"/>
          <w:szCs w:val="22"/>
        </w:rPr>
        <w:t xml:space="preserve">the American </w:t>
      </w:r>
      <w:r>
        <w:rPr>
          <w:rFonts w:asciiTheme="majorBidi" w:hAnsiTheme="majorBidi" w:cstheme="majorBidi"/>
          <w:noProof/>
          <w:sz w:val="22"/>
          <w:szCs w:val="22"/>
        </w:rPr>
        <w:t xml:space="preserve"> </w:t>
      </w:r>
      <w:r w:rsidRPr="007D7281">
        <w:rPr>
          <w:rFonts w:asciiTheme="majorBidi" w:hAnsiTheme="majorBidi" w:cstheme="majorBidi"/>
          <w:noProof/>
          <w:sz w:val="22"/>
          <w:szCs w:val="22"/>
        </w:rPr>
        <w:t>Institute of Physics. 2017</w:t>
      </w:r>
      <w:r w:rsidRPr="007D7281">
        <w:rPr>
          <w:rFonts w:asciiTheme="majorBidi" w:hAnsiTheme="majorBidi" w:cstheme="majorBidi"/>
          <w:color w:val="000000"/>
          <w:sz w:val="22"/>
          <w:szCs w:val="22"/>
        </w:rPr>
        <w:t xml:space="preserve"> Chaos </w:t>
      </w:r>
      <w:r w:rsidRPr="007D7281">
        <w:rPr>
          <w:rFonts w:asciiTheme="majorBidi" w:hAnsiTheme="majorBidi" w:cstheme="majorBidi"/>
          <w:b/>
          <w:bCs/>
          <w:color w:val="000000"/>
          <w:sz w:val="22"/>
          <w:szCs w:val="22"/>
        </w:rPr>
        <w:t>27</w:t>
      </w:r>
      <w:r w:rsidRPr="007D7281">
        <w:rPr>
          <w:rFonts w:asciiTheme="majorBidi" w:hAnsiTheme="majorBidi" w:cstheme="majorBidi"/>
          <w:color w:val="000000"/>
          <w:sz w:val="22"/>
          <w:szCs w:val="22"/>
        </w:rPr>
        <w:t>, 093934</w:t>
      </w:r>
      <w:r w:rsidRPr="007D7281">
        <w:rPr>
          <w:rFonts w:asciiTheme="majorBidi" w:hAnsiTheme="majorBidi" w:cstheme="majorBidi"/>
          <w:noProof/>
          <w:sz w:val="22"/>
          <w:szCs w:val="22"/>
        </w:rPr>
        <w:t xml:space="preserve">. doi: 10.1063/1.5002664 </w:t>
      </w:r>
    </w:p>
    <w:p w14:paraId="182B227C" w14:textId="77777777" w:rsidR="00E14F10" w:rsidRPr="00924CBA" w:rsidRDefault="00E14F10" w:rsidP="00E14F10">
      <w:pPr>
        <w:rPr>
          <w:sz w:val="24"/>
          <w:szCs w:val="24"/>
        </w:rPr>
      </w:pPr>
    </w:p>
    <w:p w14:paraId="49D6A538" w14:textId="77777777" w:rsidR="00D70F9A" w:rsidRDefault="00D70F9A"/>
    <w:sectPr w:rsidR="00D70F9A" w:rsidSect="00E14F10">
      <w:pgSz w:w="11906" w:h="16838"/>
      <w:pgMar w:top="1588" w:right="1588" w:bottom="1701" w:left="1588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F10"/>
    <w:rsid w:val="00025FC0"/>
    <w:rsid w:val="00BF0B9E"/>
    <w:rsid w:val="00D70F9A"/>
    <w:rsid w:val="00E14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BB1E0B0"/>
  <w15:chartTrackingRefBased/>
  <w15:docId w15:val="{C4F3A460-F60F-49C4-AD59-CA2731F2F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F10"/>
    <w:pPr>
      <w:spacing w:after="200" w:line="360" w:lineRule="auto"/>
      <w:jc w:val="both"/>
    </w:pPr>
    <w:rPr>
      <w:rFonts w:ascii="Times New Roman" w:eastAsiaTheme="minorEastAsia" w:hAnsi="Times New Roman" w:cs="Times New Roman"/>
      <w:sz w:val="28"/>
      <w:szCs w:val="28"/>
      <w:lang w:val="en-GB"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4F10"/>
    <w:pPr>
      <w:keepNext/>
      <w:keepLines/>
      <w:spacing w:before="200" w:after="0"/>
      <w:jc w:val="left"/>
      <w:outlineLvl w:val="1"/>
    </w:pPr>
    <w:rPr>
      <w:rFonts w:eastAsiaTheme="majorEastAsia" w:cstheme="majorBid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14F10"/>
    <w:pPr>
      <w:spacing w:after="0" w:line="240" w:lineRule="auto"/>
    </w:pPr>
    <w:rPr>
      <w:rFonts w:eastAsiaTheme="minorEastAsia"/>
      <w:lang w:val="en-GB" w:eastAsia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link w:val="NoSpacingChar"/>
    <w:uiPriority w:val="1"/>
    <w:qFormat/>
    <w:rsid w:val="00E14F10"/>
    <w:pPr>
      <w:spacing w:after="0" w:line="240" w:lineRule="auto"/>
    </w:pPr>
    <w:rPr>
      <w:rFonts w:eastAsiaTheme="minorEastAsia"/>
      <w:lang w:val="en-GB" w:eastAsia="en-GB"/>
    </w:rPr>
  </w:style>
  <w:style w:type="paragraph" w:customStyle="1" w:styleId="Default">
    <w:name w:val="Default"/>
    <w:rsid w:val="00E14F10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en-GB"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E14F10"/>
    <w:rPr>
      <w:rFonts w:eastAsiaTheme="minorEastAsia"/>
      <w:lang w:val="en-GB" w:eastAsia="en-GB"/>
    </w:rPr>
  </w:style>
  <w:style w:type="character" w:styleId="LineNumber">
    <w:name w:val="line number"/>
    <w:basedOn w:val="DefaultParagraphFont"/>
    <w:uiPriority w:val="99"/>
    <w:semiHidden/>
    <w:unhideWhenUsed/>
    <w:rsid w:val="00E14F10"/>
  </w:style>
  <w:style w:type="character" w:customStyle="1" w:styleId="Heading2Char">
    <w:name w:val="Heading 2 Char"/>
    <w:basedOn w:val="DefaultParagraphFont"/>
    <w:link w:val="Heading2"/>
    <w:uiPriority w:val="9"/>
    <w:rsid w:val="00E14F10"/>
    <w:rPr>
      <w:rFonts w:ascii="Times New Roman" w:eastAsiaTheme="majorEastAsia" w:hAnsi="Times New Roman" w:cstheme="majorBidi"/>
      <w:b/>
      <w:bCs/>
      <w:sz w:val="26"/>
      <w:szCs w:val="2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819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 Alghamdi</dc:creator>
  <cp:keywords/>
  <dc:description/>
  <cp:lastModifiedBy>Adefolakemi</cp:lastModifiedBy>
  <cp:revision>2</cp:revision>
  <dcterms:created xsi:type="dcterms:W3CDTF">2020-11-17T17:03:00Z</dcterms:created>
  <dcterms:modified xsi:type="dcterms:W3CDTF">2020-11-17T17:03:00Z</dcterms:modified>
</cp:coreProperties>
</file>