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7E3DD" w14:textId="77777777" w:rsidR="0074583A" w:rsidRPr="0074583A" w:rsidRDefault="0074583A" w:rsidP="0074583A">
      <w:pPr>
        <w:jc w:val="both"/>
        <w:rPr>
          <w:rFonts w:ascii="Times New Roman" w:hAnsi="Times New Roman"/>
          <w:sz w:val="24"/>
          <w:szCs w:val="24"/>
        </w:rPr>
      </w:pPr>
    </w:p>
    <w:p w14:paraId="7CEB8EE6" w14:textId="5A3E726B" w:rsidR="000C4D86" w:rsidRPr="000C4D86" w:rsidRDefault="000C4D86" w:rsidP="000C4D8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C4D86">
        <w:rPr>
          <w:rFonts w:ascii="Times New Roman" w:hAnsi="Times New Roman"/>
          <w:b/>
          <w:bCs/>
          <w:sz w:val="24"/>
          <w:szCs w:val="24"/>
        </w:rPr>
        <w:t xml:space="preserve">Search strategy </w:t>
      </w:r>
    </w:p>
    <w:p w14:paraId="3C4F794C" w14:textId="25F87D9E" w:rsidR="0074583A" w:rsidRDefault="0074583A" w:rsidP="000C4D86">
      <w:pPr>
        <w:jc w:val="both"/>
        <w:rPr>
          <w:rFonts w:ascii="Times New Roman" w:hAnsi="Times New Roman"/>
          <w:sz w:val="24"/>
          <w:szCs w:val="24"/>
        </w:rPr>
      </w:pPr>
      <w:r w:rsidRPr="0074583A">
        <w:rPr>
          <w:rFonts w:ascii="Times New Roman" w:hAnsi="Times New Roman"/>
          <w:sz w:val="24"/>
          <w:szCs w:val="24"/>
        </w:rPr>
        <w:t>This review follows the recommendations of the 2009 guidelines for the systematic review of preferred reporting items for systematic review and meta-analysis (PRISMA).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E9D">
        <w:rPr>
          <w:rFonts w:ascii="Times New Roman" w:hAnsi="Times New Roman"/>
          <w:sz w:val="24"/>
          <w:szCs w:val="24"/>
        </w:rPr>
        <w:t>PubMed</w:t>
      </w:r>
      <w:r w:rsidR="000C4D86">
        <w:rPr>
          <w:rFonts w:ascii="Times New Roman" w:hAnsi="Times New Roman"/>
          <w:sz w:val="24"/>
          <w:szCs w:val="24"/>
        </w:rPr>
        <w:t xml:space="preserve"> (</w:t>
      </w:r>
      <w:hyperlink r:id="rId4" w:history="1">
        <w:r w:rsidR="000C4D86" w:rsidRPr="00685ACB">
          <w:rPr>
            <w:rStyle w:val="Hipervnculo"/>
            <w:rFonts w:ascii="Times New Roman" w:hAnsi="Times New Roman"/>
            <w:sz w:val="24"/>
            <w:szCs w:val="24"/>
          </w:rPr>
          <w:t>https://pubmed.ncbi.nlm.nih.gov/</w:t>
        </w:r>
      </w:hyperlink>
      <w:r w:rsidR="000C4D86">
        <w:rPr>
          <w:rFonts w:ascii="Times New Roman" w:hAnsi="Times New Roman"/>
          <w:sz w:val="24"/>
          <w:szCs w:val="24"/>
        </w:rPr>
        <w:t xml:space="preserve">) was </w:t>
      </w:r>
      <w:r w:rsidRPr="002A1E9D">
        <w:rPr>
          <w:rFonts w:ascii="Times New Roman" w:hAnsi="Times New Roman"/>
          <w:sz w:val="24"/>
          <w:szCs w:val="24"/>
        </w:rPr>
        <w:t xml:space="preserve">systematically searched from </w:t>
      </w:r>
      <w:r w:rsidR="00027A32">
        <w:rPr>
          <w:rFonts w:ascii="Times New Roman" w:hAnsi="Times New Roman"/>
          <w:sz w:val="24"/>
          <w:szCs w:val="24"/>
        </w:rPr>
        <w:t>1960</w:t>
      </w:r>
      <w:r w:rsidRPr="002A1E9D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 xml:space="preserve">May </w:t>
      </w:r>
      <w:r w:rsidRPr="002A1E9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2A1E9D">
        <w:rPr>
          <w:rFonts w:ascii="Times New Roman" w:hAnsi="Times New Roman"/>
          <w:sz w:val="24"/>
          <w:szCs w:val="24"/>
        </w:rPr>
        <w:t>.  The following search strategy was use</w:t>
      </w:r>
      <w:r w:rsidR="00027A32">
        <w:rPr>
          <w:rFonts w:ascii="Times New Roman" w:hAnsi="Times New Roman"/>
          <w:sz w:val="24"/>
          <w:szCs w:val="24"/>
        </w:rPr>
        <w:t>d</w:t>
      </w:r>
      <w:r w:rsidRPr="002A1E9D">
        <w:rPr>
          <w:rFonts w:ascii="Times New Roman" w:hAnsi="Times New Roman"/>
          <w:sz w:val="24"/>
          <w:szCs w:val="24"/>
        </w:rPr>
        <w:t>: (</w:t>
      </w:r>
      <w:r>
        <w:rPr>
          <w:rFonts w:ascii="Times New Roman" w:hAnsi="Times New Roman"/>
          <w:sz w:val="24"/>
          <w:szCs w:val="24"/>
        </w:rPr>
        <w:t>“</w:t>
      </w:r>
      <w:r w:rsidRPr="0074583A">
        <w:rPr>
          <w:rFonts w:ascii="Times New Roman" w:hAnsi="Times New Roman"/>
          <w:sz w:val="24"/>
          <w:szCs w:val="24"/>
        </w:rPr>
        <w:t>Metabolism, Inborn Errors</w:t>
      </w:r>
      <w:r>
        <w:rPr>
          <w:rFonts w:ascii="Times New Roman" w:hAnsi="Times New Roman"/>
          <w:sz w:val="24"/>
          <w:szCs w:val="24"/>
        </w:rPr>
        <w:t xml:space="preserve">” OR </w:t>
      </w:r>
      <w:r w:rsidRPr="002A1E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Metabolic disease”) AND (“</w:t>
      </w:r>
      <w:r w:rsidRPr="002A1E9D">
        <w:rPr>
          <w:rFonts w:ascii="Times New Roman" w:hAnsi="Times New Roman"/>
          <w:sz w:val="24"/>
          <w:szCs w:val="24"/>
        </w:rPr>
        <w:t>Paroxysmal dyskinesia” OR “Chorea” OR “Dystonia” OR “Tremor” OR “Ataxia” OR “Parkinsonism” OR “Myoclonus” OR “Stereotypies” OR “Tics” OR “Tourette syndrome” OR “Spastic paraparesis”</w:t>
      </w:r>
      <w:r>
        <w:rPr>
          <w:rFonts w:ascii="Times New Roman" w:hAnsi="Times New Roman"/>
          <w:sz w:val="24"/>
          <w:szCs w:val="24"/>
        </w:rPr>
        <w:t xml:space="preserve"> OR “</w:t>
      </w:r>
      <w:r w:rsidR="00027A3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ovement disorder”). </w:t>
      </w:r>
      <w:r w:rsidR="000C4D86" w:rsidRPr="000C4D86">
        <w:rPr>
          <w:rFonts w:ascii="Times New Roman" w:hAnsi="Times New Roman"/>
          <w:sz w:val="24"/>
          <w:szCs w:val="24"/>
        </w:rPr>
        <w:t>The search also includes disease-specific chapters in Genereviews</w:t>
      </w:r>
      <w:r w:rsidR="000C4D86">
        <w:rPr>
          <w:rFonts w:ascii="Times New Roman" w:hAnsi="Times New Roman"/>
          <w:sz w:val="24"/>
          <w:szCs w:val="24"/>
        </w:rPr>
        <w:t xml:space="preserve"> (</w:t>
      </w:r>
      <w:hyperlink r:id="rId5" w:history="1">
        <w:r w:rsidR="000C4D86" w:rsidRPr="00685ACB">
          <w:rPr>
            <w:rStyle w:val="Hipervnculo"/>
            <w:rFonts w:ascii="Times New Roman" w:hAnsi="Times New Roman"/>
            <w:sz w:val="24"/>
            <w:szCs w:val="24"/>
          </w:rPr>
          <w:t>https://www.ncbi.nlm.nih.gov/books/NBK1116/</w:t>
        </w:r>
      </w:hyperlink>
      <w:r w:rsidR="000C4D86">
        <w:rPr>
          <w:rFonts w:ascii="Times New Roman" w:hAnsi="Times New Roman"/>
          <w:sz w:val="24"/>
          <w:szCs w:val="24"/>
        </w:rPr>
        <w:t>)</w:t>
      </w:r>
      <w:r w:rsidR="000C4D86" w:rsidRPr="000C4D86">
        <w:rPr>
          <w:rFonts w:ascii="Times New Roman" w:hAnsi="Times New Roman"/>
          <w:sz w:val="24"/>
          <w:szCs w:val="24"/>
        </w:rPr>
        <w:t>.</w:t>
      </w:r>
      <w:r w:rsidR="000C4D86">
        <w:rPr>
          <w:rFonts w:ascii="Times New Roman" w:hAnsi="Times New Roman"/>
          <w:sz w:val="24"/>
          <w:szCs w:val="24"/>
        </w:rPr>
        <w:t xml:space="preserve"> </w:t>
      </w:r>
    </w:p>
    <w:p w14:paraId="48F7CF6B" w14:textId="18E9CC36" w:rsidR="00E80B22" w:rsidRPr="002A1E9D" w:rsidRDefault="00E80B22" w:rsidP="00E80B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the event of MD </w:t>
      </w:r>
      <w:r w:rsidRPr="00E80B22">
        <w:rPr>
          <w:rFonts w:ascii="Times New Roman" w:hAnsi="Times New Roman"/>
          <w:sz w:val="24"/>
          <w:szCs w:val="24"/>
        </w:rPr>
        <w:t>in the neonatal period, the Age criteri</w:t>
      </w:r>
      <w:r>
        <w:rPr>
          <w:rFonts w:ascii="Times New Roman" w:hAnsi="Times New Roman"/>
          <w:sz w:val="24"/>
          <w:szCs w:val="24"/>
        </w:rPr>
        <w:t xml:space="preserve">a: Neonate: Newborn – 1 month </w:t>
      </w:r>
      <w:r w:rsidRPr="00E80B22">
        <w:rPr>
          <w:rFonts w:ascii="Times New Roman" w:hAnsi="Times New Roman"/>
          <w:sz w:val="24"/>
          <w:szCs w:val="24"/>
        </w:rPr>
        <w:t xml:space="preserve"> was selected in PubMed</w:t>
      </w:r>
      <w:r>
        <w:rPr>
          <w:rFonts w:ascii="Times New Roman" w:hAnsi="Times New Roman"/>
          <w:sz w:val="24"/>
          <w:szCs w:val="24"/>
        </w:rPr>
        <w:t xml:space="preserve">. Regarding DBS, </w:t>
      </w:r>
      <w:r w:rsidRPr="00E80B22">
        <w:rPr>
          <w:rFonts w:ascii="Times New Roman" w:hAnsi="Times New Roman"/>
          <w:sz w:val="24"/>
          <w:szCs w:val="24"/>
        </w:rPr>
        <w:t xml:space="preserve">the search was </w:t>
      </w:r>
      <w:r>
        <w:rPr>
          <w:rFonts w:ascii="Times New Roman" w:hAnsi="Times New Roman"/>
          <w:sz w:val="24"/>
          <w:szCs w:val="24"/>
        </w:rPr>
        <w:t xml:space="preserve">conducted through this strategy:  </w:t>
      </w:r>
      <w:r w:rsidRPr="002A1E9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“</w:t>
      </w:r>
      <w:r w:rsidRPr="0074583A">
        <w:rPr>
          <w:rFonts w:ascii="Times New Roman" w:hAnsi="Times New Roman"/>
          <w:sz w:val="24"/>
          <w:szCs w:val="24"/>
        </w:rPr>
        <w:t>Metabolism, Inborn Errors</w:t>
      </w:r>
      <w:r>
        <w:rPr>
          <w:rFonts w:ascii="Times New Roman" w:hAnsi="Times New Roman"/>
          <w:sz w:val="24"/>
          <w:szCs w:val="24"/>
        </w:rPr>
        <w:t xml:space="preserve">” OR </w:t>
      </w:r>
      <w:r w:rsidRPr="002A1E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Metabolic disease”) AND (“Deep brain stimulation”)</w:t>
      </w:r>
      <w:r w:rsidR="00E3309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FED3F7C" w14:textId="77777777" w:rsidR="0074583A" w:rsidRPr="002A1E9D" w:rsidRDefault="0074583A" w:rsidP="0074583A">
      <w:pPr>
        <w:jc w:val="both"/>
        <w:rPr>
          <w:rFonts w:ascii="Times New Roman" w:hAnsi="Times New Roman"/>
          <w:b/>
          <w:sz w:val="24"/>
          <w:szCs w:val="24"/>
        </w:rPr>
      </w:pPr>
      <w:r w:rsidRPr="002A1E9D">
        <w:rPr>
          <w:rFonts w:ascii="Times New Roman" w:hAnsi="Times New Roman"/>
          <w:b/>
          <w:sz w:val="24"/>
          <w:szCs w:val="24"/>
        </w:rPr>
        <w:t xml:space="preserve">Selection criteria </w:t>
      </w:r>
    </w:p>
    <w:p w14:paraId="4968486C" w14:textId="00102F1C" w:rsidR="00027A32" w:rsidRPr="00027A32" w:rsidRDefault="0074583A" w:rsidP="0074583A">
      <w:pPr>
        <w:jc w:val="both"/>
        <w:rPr>
          <w:rFonts w:ascii="Times New Roman" w:hAnsi="Times New Roman"/>
          <w:sz w:val="24"/>
          <w:szCs w:val="24"/>
        </w:rPr>
      </w:pPr>
      <w:r w:rsidRPr="00027A32">
        <w:rPr>
          <w:rFonts w:ascii="Times New Roman" w:hAnsi="Times New Roman"/>
          <w:sz w:val="24"/>
          <w:szCs w:val="24"/>
        </w:rPr>
        <w:t>Eligible literature was included if they simultaneously fulfilled the predefined criteria. These studies 1) were prospective cohort studies o</w:t>
      </w:r>
      <w:r w:rsidR="00E80B22">
        <w:rPr>
          <w:rFonts w:ascii="Times New Roman" w:hAnsi="Times New Roman"/>
          <w:sz w:val="24"/>
          <w:szCs w:val="24"/>
        </w:rPr>
        <w:t>r</w:t>
      </w:r>
      <w:r w:rsidRPr="00027A32">
        <w:rPr>
          <w:rFonts w:ascii="Times New Roman" w:hAnsi="Times New Roman"/>
          <w:sz w:val="24"/>
          <w:szCs w:val="24"/>
        </w:rPr>
        <w:t xml:space="preserve"> clinical cases in which the participants</w:t>
      </w:r>
      <w:r w:rsidR="00027A32" w:rsidRPr="00027A32">
        <w:rPr>
          <w:rFonts w:ascii="Times New Roman" w:hAnsi="Times New Roman"/>
          <w:sz w:val="24"/>
          <w:szCs w:val="24"/>
        </w:rPr>
        <w:t xml:space="preserve"> younger than 18 years old </w:t>
      </w:r>
      <w:r w:rsidRPr="00027A32">
        <w:rPr>
          <w:rFonts w:ascii="Times New Roman" w:hAnsi="Times New Roman"/>
          <w:sz w:val="24"/>
          <w:szCs w:val="24"/>
        </w:rPr>
        <w:t xml:space="preserve">present any </w:t>
      </w:r>
      <w:r w:rsidR="00027A32" w:rsidRPr="00027A32">
        <w:rPr>
          <w:rFonts w:ascii="Times New Roman" w:hAnsi="Times New Roman"/>
          <w:sz w:val="24"/>
          <w:szCs w:val="24"/>
        </w:rPr>
        <w:t>movement disorder and suffered one of the IEMs included in the classification of Ferreira et al., 2019</w:t>
      </w:r>
      <w:r w:rsidRPr="00027A32">
        <w:rPr>
          <w:rFonts w:ascii="Times New Roman" w:hAnsi="Times New Roman"/>
          <w:sz w:val="24"/>
          <w:szCs w:val="24"/>
        </w:rPr>
        <w:t>. Studies were excluded if they did not meet the inclusion criteria. Nonoriginal research (reviews, commentaries, conference abstracts and editorial) and duplicated studies were excluded. If &gt;1 article was found to have used the same data, the one with higher quality score</w:t>
      </w:r>
      <w:r w:rsidR="00E80B22">
        <w:rPr>
          <w:rFonts w:ascii="Times New Roman" w:hAnsi="Times New Roman"/>
          <w:sz w:val="24"/>
          <w:szCs w:val="24"/>
        </w:rPr>
        <w:t xml:space="preserve"> was chosen</w:t>
      </w:r>
      <w:r w:rsidRPr="00027A32">
        <w:rPr>
          <w:rFonts w:ascii="Times New Roman" w:hAnsi="Times New Roman"/>
          <w:sz w:val="24"/>
          <w:szCs w:val="24"/>
        </w:rPr>
        <w:t>, and where the score was equal, the study with the larger sample size</w:t>
      </w:r>
      <w:r w:rsidR="00E80B22">
        <w:rPr>
          <w:rFonts w:ascii="Times New Roman" w:hAnsi="Times New Roman"/>
          <w:sz w:val="24"/>
          <w:szCs w:val="24"/>
        </w:rPr>
        <w:t xml:space="preserve"> was chosen</w:t>
      </w:r>
      <w:r w:rsidRPr="00027A32">
        <w:rPr>
          <w:rFonts w:ascii="Times New Roman" w:hAnsi="Times New Roman"/>
          <w:sz w:val="24"/>
          <w:szCs w:val="24"/>
        </w:rPr>
        <w:t xml:space="preserve">. </w:t>
      </w:r>
      <w:r w:rsidR="00027A32" w:rsidRPr="00027A32">
        <w:rPr>
          <w:rFonts w:ascii="Times New Roman" w:hAnsi="Times New Roman"/>
          <w:sz w:val="24"/>
          <w:szCs w:val="24"/>
        </w:rPr>
        <w:t>If there was more than one article on the same disease, preference was given to the article that contained a more detailed description of the MD. In some IEM in which different MD phenotypes were described, more than one article per IEM has been included.</w:t>
      </w:r>
    </w:p>
    <w:p w14:paraId="0BF90925" w14:textId="52CACEB1" w:rsidR="0074583A" w:rsidRPr="002A1E9D" w:rsidRDefault="0074583A" w:rsidP="0074583A">
      <w:pPr>
        <w:jc w:val="both"/>
        <w:rPr>
          <w:rFonts w:ascii="Times New Roman" w:hAnsi="Times New Roman"/>
          <w:b/>
          <w:sz w:val="24"/>
          <w:szCs w:val="24"/>
        </w:rPr>
      </w:pPr>
      <w:r w:rsidRPr="002A1E9D">
        <w:rPr>
          <w:rFonts w:ascii="Times New Roman" w:hAnsi="Times New Roman"/>
          <w:b/>
          <w:sz w:val="24"/>
          <w:szCs w:val="24"/>
        </w:rPr>
        <w:t>Data extraction and quality assessment</w:t>
      </w:r>
    </w:p>
    <w:p w14:paraId="6BE09320" w14:textId="5EA613CD" w:rsidR="0074583A" w:rsidRPr="002A1E9D" w:rsidRDefault="0074583A" w:rsidP="000C4D86">
      <w:pPr>
        <w:jc w:val="both"/>
        <w:rPr>
          <w:rFonts w:ascii="Times New Roman" w:hAnsi="Times New Roman"/>
          <w:sz w:val="24"/>
          <w:szCs w:val="24"/>
        </w:rPr>
      </w:pPr>
      <w:r w:rsidRPr="002A1E9D">
        <w:rPr>
          <w:rFonts w:ascii="Times New Roman" w:hAnsi="Times New Roman"/>
          <w:sz w:val="24"/>
          <w:szCs w:val="24"/>
        </w:rPr>
        <w:t>The following information was extracted from each article: name of the first author, publication year,</w:t>
      </w:r>
      <w:r w:rsidR="000C4D86">
        <w:rPr>
          <w:rFonts w:ascii="Times New Roman" w:hAnsi="Times New Roman"/>
          <w:sz w:val="24"/>
          <w:szCs w:val="24"/>
        </w:rPr>
        <w:t xml:space="preserve"> MD phenotype and other clinical features, </w:t>
      </w:r>
      <w:r>
        <w:rPr>
          <w:rFonts w:ascii="Times New Roman" w:hAnsi="Times New Roman"/>
          <w:sz w:val="24"/>
          <w:szCs w:val="24"/>
        </w:rPr>
        <w:t xml:space="preserve">biochemical </w:t>
      </w:r>
      <w:r w:rsidR="000C4D86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radiological data (</w:t>
      </w:r>
      <w:r w:rsidR="000C4D86">
        <w:rPr>
          <w:rFonts w:ascii="Times New Roman" w:hAnsi="Times New Roman"/>
          <w:sz w:val="24"/>
          <w:szCs w:val="24"/>
        </w:rPr>
        <w:t xml:space="preserve">CT, </w:t>
      </w:r>
      <w:r>
        <w:rPr>
          <w:rFonts w:ascii="Times New Roman" w:hAnsi="Times New Roman"/>
          <w:sz w:val="24"/>
          <w:szCs w:val="24"/>
        </w:rPr>
        <w:t>b</w:t>
      </w:r>
      <w:r w:rsidRPr="00D4304D">
        <w:rPr>
          <w:rFonts w:ascii="Times New Roman" w:hAnsi="Times New Roman"/>
          <w:sz w:val="24"/>
          <w:szCs w:val="24"/>
        </w:rPr>
        <w:t>rain MRI</w:t>
      </w:r>
      <w:r>
        <w:rPr>
          <w:rFonts w:ascii="Times New Roman" w:hAnsi="Times New Roman"/>
          <w:sz w:val="24"/>
          <w:szCs w:val="24"/>
        </w:rPr>
        <w:t xml:space="preserve"> and spectroscopy)</w:t>
      </w:r>
      <w:r w:rsidR="000C4D86">
        <w:rPr>
          <w:rFonts w:ascii="Times New Roman" w:hAnsi="Times New Roman"/>
          <w:sz w:val="24"/>
          <w:szCs w:val="24"/>
        </w:rPr>
        <w:t xml:space="preserve"> and disease-specific </w:t>
      </w:r>
      <w:r>
        <w:rPr>
          <w:rFonts w:ascii="Times New Roman" w:hAnsi="Times New Roman"/>
          <w:sz w:val="24"/>
          <w:szCs w:val="24"/>
        </w:rPr>
        <w:t>t</w:t>
      </w:r>
      <w:r w:rsidRPr="00D4304D">
        <w:rPr>
          <w:rFonts w:ascii="Times New Roman" w:hAnsi="Times New Roman"/>
          <w:sz w:val="24"/>
          <w:szCs w:val="24"/>
        </w:rPr>
        <w:t>reatment</w:t>
      </w:r>
      <w:r>
        <w:rPr>
          <w:rFonts w:ascii="Times New Roman" w:hAnsi="Times New Roman"/>
          <w:sz w:val="24"/>
          <w:szCs w:val="24"/>
        </w:rPr>
        <w:t xml:space="preserve">. </w:t>
      </w:r>
      <w:r w:rsidR="000C4D86" w:rsidRPr="000C4D86">
        <w:rPr>
          <w:rFonts w:ascii="Times New Roman" w:hAnsi="Times New Roman"/>
          <w:sz w:val="24"/>
          <w:szCs w:val="24"/>
        </w:rPr>
        <w:t xml:space="preserve">The information obtained from this search is presented in </w:t>
      </w:r>
      <w:r w:rsidR="00E80B22" w:rsidRPr="00E80B22">
        <w:rPr>
          <w:rFonts w:ascii="Times New Roman" w:hAnsi="Times New Roman"/>
          <w:b/>
          <w:bCs/>
          <w:sz w:val="24"/>
          <w:szCs w:val="24"/>
        </w:rPr>
        <w:t>S</w:t>
      </w:r>
      <w:r w:rsidR="000C4D86" w:rsidRPr="00E80B22">
        <w:rPr>
          <w:rFonts w:ascii="Times New Roman" w:hAnsi="Times New Roman"/>
          <w:b/>
          <w:bCs/>
          <w:sz w:val="24"/>
          <w:szCs w:val="24"/>
        </w:rPr>
        <w:t xml:space="preserve">upplementary </w:t>
      </w:r>
      <w:r w:rsidR="00E80B22" w:rsidRPr="00E80B22">
        <w:rPr>
          <w:rFonts w:ascii="Times New Roman" w:hAnsi="Times New Roman"/>
          <w:b/>
          <w:bCs/>
          <w:sz w:val="24"/>
          <w:szCs w:val="24"/>
        </w:rPr>
        <w:t>T</w:t>
      </w:r>
      <w:r w:rsidR="000C4D86" w:rsidRPr="00E80B22">
        <w:rPr>
          <w:rFonts w:ascii="Times New Roman" w:hAnsi="Times New Roman"/>
          <w:b/>
          <w:bCs/>
          <w:sz w:val="24"/>
          <w:szCs w:val="24"/>
        </w:rPr>
        <w:t>able 1</w:t>
      </w:r>
      <w:r w:rsidR="000C4D86" w:rsidRPr="000C4D86">
        <w:rPr>
          <w:rFonts w:ascii="Times New Roman" w:hAnsi="Times New Roman"/>
          <w:sz w:val="24"/>
          <w:szCs w:val="24"/>
        </w:rPr>
        <w:t xml:space="preserve"> following the classification of Ferreira et al., 2019 available at</w:t>
      </w:r>
      <w:r w:rsidR="00EA51DE">
        <w:rPr>
          <w:rFonts w:ascii="Times New Roman" w:hAnsi="Times New Roman"/>
          <w:sz w:val="24"/>
          <w:szCs w:val="24"/>
        </w:rPr>
        <w:t xml:space="preserve"> </w:t>
      </w:r>
      <w:r w:rsidR="00EA51DE" w:rsidRPr="00EA51DE">
        <w:rPr>
          <w:rFonts w:ascii="Times New Roman" w:hAnsi="Times New Roman"/>
          <w:sz w:val="24"/>
          <w:szCs w:val="24"/>
        </w:rPr>
        <w:t>doi:10.1016/j.ymgme.2019.03.007.</w:t>
      </w:r>
      <w:r w:rsidR="000C4D86" w:rsidRPr="000C4D86">
        <w:rPr>
          <w:rFonts w:ascii="Times New Roman" w:hAnsi="Times New Roman"/>
          <w:sz w:val="24"/>
          <w:szCs w:val="24"/>
        </w:rPr>
        <w:t>.</w:t>
      </w:r>
    </w:p>
    <w:p w14:paraId="63E99F3A" w14:textId="77777777" w:rsidR="0074583A" w:rsidRDefault="0074583A"/>
    <w:sectPr w:rsidR="007458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3A"/>
    <w:rsid w:val="00027A32"/>
    <w:rsid w:val="000C4D86"/>
    <w:rsid w:val="0074583A"/>
    <w:rsid w:val="0082345A"/>
    <w:rsid w:val="00E3309C"/>
    <w:rsid w:val="00E80B22"/>
    <w:rsid w:val="00EA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942FAF"/>
  <w15:chartTrackingRefBased/>
  <w15:docId w15:val="{9C05914F-6421-2D4F-BA00-8FD4D3C4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83A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583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83A"/>
    <w:rPr>
      <w:rFonts w:ascii="Times New Roman" w:eastAsia="Calibri" w:hAnsi="Times New Roman" w:cs="Times New Roman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0C4D8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C4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books/NBK1116/" TargetMode="External"/><Relationship Id="rId4" Type="http://schemas.openxmlformats.org/officeDocument/2006/relationships/hyperlink" Target="https://pubmed.ncbi.nlm.nih.gov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Darío Ortigoza Escobar</dc:creator>
  <cp:keywords/>
  <dc:description/>
  <cp:lastModifiedBy>Juan Darío Ortigoza Escobar</cp:lastModifiedBy>
  <cp:revision>3</cp:revision>
  <dcterms:created xsi:type="dcterms:W3CDTF">2020-09-08T18:08:00Z</dcterms:created>
  <dcterms:modified xsi:type="dcterms:W3CDTF">2020-09-24T06:26:00Z</dcterms:modified>
</cp:coreProperties>
</file>