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Supplementary material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Number of dolphin sightings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surveys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effort (km) between 2015 and 2018, for each year and for the whole period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(2015-2018)</w:t>
      </w:r>
    </w:p>
    <w:tbl>
      <w:tblPr>
        <w:tblW w:w="588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71"/>
        <w:gridCol w:w="1538"/>
        <w:gridCol w:w="1338"/>
        <w:gridCol w:w="1442"/>
      </w:tblGrid>
      <w:tr>
        <w:tblPrEx>
          <w:shd w:val="clear" w:color="auto" w:fill="cadfff"/>
        </w:tblPrEx>
        <w:trPr>
          <w:trHeight w:val="261" w:hRule="atLeast"/>
        </w:trPr>
        <w:tc>
          <w:tcPr>
            <w:tcW w:type="dxa" w:w="1571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Year</w:t>
            </w:r>
          </w:p>
        </w:tc>
        <w:tc>
          <w:tcPr>
            <w:tcW w:type="dxa" w:w="1537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Surveys</w:t>
            </w:r>
          </w:p>
        </w:tc>
        <w:tc>
          <w:tcPr>
            <w:tcW w:type="dxa" w:w="1338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km</w:t>
            </w:r>
          </w:p>
        </w:tc>
        <w:tc>
          <w:tcPr>
            <w:tcW w:type="dxa" w:w="1441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Sightings </w:t>
            </w:r>
          </w:p>
        </w:tc>
      </w:tr>
      <w:tr>
        <w:tblPrEx>
          <w:shd w:val="clear" w:color="auto" w:fill="cadfff"/>
        </w:tblPrEx>
        <w:trPr>
          <w:trHeight w:val="259" w:hRule="atLeast"/>
        </w:trPr>
        <w:tc>
          <w:tcPr>
            <w:tcW w:type="dxa" w:w="1571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2015</w:t>
            </w:r>
          </w:p>
        </w:tc>
        <w:tc>
          <w:tcPr>
            <w:tcW w:type="dxa" w:w="1537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98</w:t>
            </w:r>
          </w:p>
        </w:tc>
        <w:tc>
          <w:tcPr>
            <w:tcW w:type="dxa" w:w="1338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rtl w:val="0"/>
                <w:lang w:val="en-US"/>
              </w:rPr>
              <w:t>664</w:t>
            </w:r>
          </w:p>
        </w:tc>
        <w:tc>
          <w:tcPr>
            <w:tcW w:type="dxa" w:w="1441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59</w:t>
            </w:r>
          </w:p>
        </w:tc>
      </w:tr>
      <w:tr>
        <w:tblPrEx>
          <w:shd w:val="clear" w:color="auto" w:fill="cadfff"/>
        </w:tblPrEx>
        <w:trPr>
          <w:trHeight w:val="254" w:hRule="atLeast"/>
        </w:trPr>
        <w:tc>
          <w:tcPr>
            <w:tcW w:type="dxa" w:w="157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2016</w:t>
            </w:r>
          </w:p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88</w:t>
            </w:r>
          </w:p>
        </w:tc>
        <w:tc>
          <w:tcPr>
            <w:tcW w:type="dxa" w:w="13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rtl w:val="0"/>
                <w:lang w:val="en-US"/>
              </w:rPr>
              <w:t>608</w:t>
            </w:r>
          </w:p>
        </w:tc>
        <w:tc>
          <w:tcPr>
            <w:tcW w:type="dxa" w:w="14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64</w:t>
            </w:r>
          </w:p>
        </w:tc>
      </w:tr>
      <w:tr>
        <w:tblPrEx>
          <w:shd w:val="clear" w:color="auto" w:fill="cadfff"/>
        </w:tblPrEx>
        <w:trPr>
          <w:trHeight w:val="254" w:hRule="atLeast"/>
        </w:trPr>
        <w:tc>
          <w:tcPr>
            <w:tcW w:type="dxa" w:w="157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2017</w:t>
            </w:r>
          </w:p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102</w:t>
            </w:r>
          </w:p>
        </w:tc>
        <w:tc>
          <w:tcPr>
            <w:tcW w:type="dxa" w:w="13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rtl w:val="0"/>
                <w:lang w:val="en-US"/>
              </w:rPr>
              <w:t>819</w:t>
            </w:r>
          </w:p>
        </w:tc>
        <w:tc>
          <w:tcPr>
            <w:tcW w:type="dxa" w:w="14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97</w:t>
            </w:r>
          </w:p>
        </w:tc>
      </w:tr>
      <w:tr>
        <w:tblPrEx>
          <w:shd w:val="clear" w:color="auto" w:fill="cadfff"/>
        </w:tblPrEx>
        <w:trPr>
          <w:trHeight w:val="254" w:hRule="atLeast"/>
        </w:trPr>
        <w:tc>
          <w:tcPr>
            <w:tcW w:type="dxa" w:w="157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2018</w:t>
            </w:r>
          </w:p>
        </w:tc>
        <w:tc>
          <w:tcPr>
            <w:tcW w:type="dxa" w:w="15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103</w:t>
            </w:r>
          </w:p>
        </w:tc>
        <w:tc>
          <w:tcPr>
            <w:tcW w:type="dxa" w:w="13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rtl w:val="0"/>
                <w:lang w:val="en-US"/>
              </w:rPr>
              <w:t>767</w:t>
            </w:r>
          </w:p>
        </w:tc>
        <w:tc>
          <w:tcPr>
            <w:tcW w:type="dxa" w:w="14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87</w:t>
            </w:r>
          </w:p>
        </w:tc>
      </w:tr>
      <w:tr>
        <w:tblPrEx>
          <w:shd w:val="clear" w:color="auto" w:fill="cadfff"/>
        </w:tblPrEx>
        <w:trPr>
          <w:trHeight w:val="259" w:hRule="atLeast"/>
        </w:trPr>
        <w:tc>
          <w:tcPr>
            <w:tcW w:type="dxa" w:w="1571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2015-2018 </w:t>
            </w:r>
          </w:p>
        </w:tc>
        <w:tc>
          <w:tcPr>
            <w:tcW w:type="dxa" w:w="1537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SUM(B2:B5) \# "0" \* MERGEFORMAT</w:instrText>
            </w:r>
            <w:r>
              <w:rPr/>
              <w:fldChar w:fldCharType="separate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391</w:t>
            </w:r>
            <w:r>
              <w:rPr/>
              <w:fldChar w:fldCharType="end" w:fldLock="0"/>
            </w:r>
          </w:p>
        </w:tc>
        <w:tc>
          <w:tcPr>
            <w:tcW w:type="dxa" w:w="1338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10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rtl w:val="0"/>
                <w:lang w:val="en-US"/>
              </w:rPr>
              <w:t>858</w:t>
            </w:r>
          </w:p>
        </w:tc>
        <w:tc>
          <w:tcPr>
            <w:tcW w:type="dxa" w:w="1441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307</w:t>
            </w:r>
          </w:p>
        </w:tc>
      </w:tr>
    </w:tbl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216" w:hanging="216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Arial Unicode MS" w:cs="Arial Unicode MS" w:hAnsi="Arial Unicode MS" w:eastAsia="Arial Unicode MS"/>
          <w:u w:color="000000"/>
        </w:rPr>
      </w:pPr>
    </w:p>
    <w:p>
      <w:pPr>
        <w:pStyle w:val="Di default"/>
        <w:spacing w:after="16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en-US"/>
        </w:rPr>
        <w:br w:type="page"/>
      </w: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-1010283</wp:posOffset>
            </wp:positionH>
            <wp:positionV relativeFrom="page">
              <wp:posOffset>3312160</wp:posOffset>
            </wp:positionV>
            <wp:extent cx="8014970" cy="4510405"/>
            <wp:effectExtent l="0" t="0" r="0" b="0"/>
            <wp:wrapSquare wrapText="bothSides" distL="57150" distR="57150" distT="57150" distB="57150"/>
            <wp:docPr id="1073741825" name="officeArt object" descr="Fig.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g.3.png" descr="Fig.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4970" cy="4510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Supplementary material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Likelihood of boat presence, SST mean and Habitat effect on likelihood of dolphin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presence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(cloglog output) for a) all groups; b) groups without calves; c) groups with calves.  </w:t>
      </w: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i default"/>
        <w:spacing w:after="160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