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7706" w:rsidRPr="00674338" w:rsidRDefault="00807706" w:rsidP="00807706">
      <w:pPr>
        <w:autoSpaceDE w:val="0"/>
        <w:autoSpaceDN w:val="0"/>
        <w:adjustRightInd w:val="0"/>
        <w:spacing w:before="0" w:after="0"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Supplementary </w:t>
      </w:r>
      <w:r w:rsidRPr="00674338">
        <w:rPr>
          <w:rFonts w:cs="Times New Roman"/>
          <w:b/>
          <w:szCs w:val="24"/>
        </w:rPr>
        <w:t xml:space="preserve">Methods. </w:t>
      </w:r>
    </w:p>
    <w:p w:rsidR="00807706" w:rsidRPr="00674338" w:rsidRDefault="00807706" w:rsidP="00807706">
      <w:pPr>
        <w:autoSpaceDE w:val="0"/>
        <w:autoSpaceDN w:val="0"/>
        <w:adjustRightInd w:val="0"/>
        <w:spacing w:before="0" w:after="0" w:line="240" w:lineRule="auto"/>
        <w:rPr>
          <w:rFonts w:cs="Times New Roman"/>
          <w:szCs w:val="24"/>
          <w:lang w:val="en-US"/>
        </w:rPr>
      </w:pPr>
      <w:r w:rsidRPr="00674338">
        <w:rPr>
          <w:rFonts w:cs="Times New Roman"/>
          <w:szCs w:val="24"/>
        </w:rPr>
        <w:t xml:space="preserve">In order to determine if injecting the </w:t>
      </w:r>
      <w:r w:rsidRPr="004432CB">
        <w:rPr>
          <w:rFonts w:cs="Times New Roman"/>
          <w:szCs w:val="24"/>
          <w:vertAlign w:val="superscript"/>
        </w:rPr>
        <w:t>15</w:t>
      </w:r>
      <w:r w:rsidRPr="00674338">
        <w:rPr>
          <w:rFonts w:cs="Times New Roman"/>
          <w:szCs w:val="24"/>
        </w:rPr>
        <w:t>N</w:t>
      </w:r>
      <w:r w:rsidRPr="004432CB">
        <w:rPr>
          <w:rFonts w:cs="Times New Roman"/>
          <w:szCs w:val="24"/>
          <w:vertAlign w:val="subscript"/>
        </w:rPr>
        <w:t>2</w:t>
      </w:r>
      <w:r w:rsidRPr="00674338">
        <w:rPr>
          <w:rFonts w:cs="Times New Roman"/>
          <w:szCs w:val="24"/>
        </w:rPr>
        <w:t xml:space="preserve"> tracer as a bubble or previously dissolved in filtered seawater had an impact of N</w:t>
      </w:r>
      <w:r w:rsidRPr="004432CB">
        <w:rPr>
          <w:rFonts w:cs="Times New Roman"/>
          <w:szCs w:val="24"/>
          <w:vertAlign w:val="subscript"/>
        </w:rPr>
        <w:t>2</w:t>
      </w:r>
      <w:r w:rsidRPr="00674338">
        <w:rPr>
          <w:rFonts w:cs="Times New Roman"/>
          <w:szCs w:val="24"/>
        </w:rPr>
        <w:t xml:space="preserve"> fixation rates, we sampled 12 gallons of surface seawater at one occasion. Six of them were amended with 5 ml of </w:t>
      </w:r>
      <w:r w:rsidRPr="004432CB">
        <w:rPr>
          <w:rFonts w:cs="Times New Roman"/>
          <w:szCs w:val="24"/>
          <w:vertAlign w:val="superscript"/>
        </w:rPr>
        <w:t>15</w:t>
      </w:r>
      <w:r w:rsidRPr="00674338">
        <w:rPr>
          <w:rFonts w:cs="Times New Roman"/>
          <w:szCs w:val="24"/>
        </w:rPr>
        <w:t>N</w:t>
      </w:r>
      <w:r w:rsidRPr="004432CB">
        <w:rPr>
          <w:rFonts w:cs="Times New Roman"/>
          <w:szCs w:val="24"/>
          <w:vertAlign w:val="subscript"/>
        </w:rPr>
        <w:t>2</w:t>
      </w:r>
      <w:r w:rsidRPr="00674338">
        <w:rPr>
          <w:rFonts w:cs="Times New Roman"/>
          <w:szCs w:val="24"/>
        </w:rPr>
        <w:t xml:space="preserve"> (</w:t>
      </w:r>
      <w:r w:rsidRPr="00674338">
        <w:rPr>
          <w:rFonts w:eastAsiaTheme="minorHAnsi" w:cs="Times New Roman"/>
          <w:szCs w:val="24"/>
          <w:lang w:val="en-CA" w:eastAsia="en-US"/>
        </w:rPr>
        <w:t xml:space="preserve">98.9% Cambridge isotope) </w:t>
      </w:r>
      <w:r w:rsidRPr="00674338">
        <w:rPr>
          <w:rFonts w:cs="Times New Roman"/>
          <w:szCs w:val="24"/>
        </w:rPr>
        <w:t xml:space="preserve">using a gas tight syringe, and six were amended </w:t>
      </w:r>
      <w:r w:rsidRPr="00674338">
        <w:rPr>
          <w:rFonts w:eastAsiaTheme="minorHAnsi" w:cs="Times New Roman"/>
          <w:szCs w:val="24"/>
          <w:lang w:val="en-CA" w:eastAsia="en-US"/>
        </w:rPr>
        <w:t>with 5</w:t>
      </w:r>
      <w:r>
        <w:rPr>
          <w:rFonts w:eastAsiaTheme="minorHAnsi" w:cs="Times New Roman"/>
          <w:szCs w:val="24"/>
          <w:lang w:val="en-CA" w:eastAsia="en-US"/>
        </w:rPr>
        <w:t>%</w:t>
      </w:r>
      <w:r w:rsidRPr="00674338">
        <w:rPr>
          <w:rFonts w:eastAsiaTheme="minorHAnsi" w:cs="Times New Roman"/>
          <w:szCs w:val="24"/>
          <w:lang w:val="en-CA" w:eastAsia="en-US"/>
        </w:rPr>
        <w:t xml:space="preserve"> </w:t>
      </w:r>
      <w:proofErr w:type="spellStart"/>
      <w:r w:rsidRPr="00674338">
        <w:rPr>
          <w:rFonts w:eastAsiaTheme="minorHAnsi" w:cs="Times New Roman"/>
          <w:szCs w:val="24"/>
          <w:lang w:val="en-CA" w:eastAsia="en-US"/>
        </w:rPr>
        <w:t>vol</w:t>
      </w:r>
      <w:proofErr w:type="spellEnd"/>
      <w:r w:rsidRPr="00674338">
        <w:rPr>
          <w:rFonts w:eastAsiaTheme="minorHAnsi" w:cs="Times New Roman"/>
          <w:szCs w:val="24"/>
          <w:lang w:val="en-CA" w:eastAsia="en-US"/>
        </w:rPr>
        <w:t xml:space="preserve"> : </w:t>
      </w:r>
      <w:proofErr w:type="spellStart"/>
      <w:r w:rsidRPr="00674338">
        <w:rPr>
          <w:rFonts w:eastAsiaTheme="minorHAnsi" w:cs="Times New Roman"/>
          <w:szCs w:val="24"/>
          <w:lang w:val="en-CA" w:eastAsia="en-US"/>
        </w:rPr>
        <w:t>vol</w:t>
      </w:r>
      <w:proofErr w:type="spellEnd"/>
      <w:r w:rsidRPr="00674338">
        <w:rPr>
          <w:rFonts w:eastAsiaTheme="minorHAnsi" w:cs="Times New Roman"/>
          <w:szCs w:val="24"/>
          <w:lang w:val="en-CA" w:eastAsia="en-US"/>
        </w:rPr>
        <w:t xml:space="preserve"> of </w:t>
      </w:r>
      <w:r w:rsidRPr="004432CB">
        <w:rPr>
          <w:rFonts w:eastAsiaTheme="minorHAnsi" w:cs="Times New Roman"/>
          <w:szCs w:val="24"/>
          <w:vertAlign w:val="superscript"/>
          <w:lang w:val="en-CA" w:eastAsia="en-US"/>
        </w:rPr>
        <w:t>15</w:t>
      </w:r>
      <w:r w:rsidRPr="00674338">
        <w:rPr>
          <w:rFonts w:eastAsiaTheme="minorHAnsi" w:cs="Times New Roman"/>
          <w:szCs w:val="24"/>
          <w:lang w:val="en-CA" w:eastAsia="en-US"/>
        </w:rPr>
        <w:t>N</w:t>
      </w:r>
      <w:r w:rsidRPr="004432CB">
        <w:rPr>
          <w:rFonts w:eastAsiaTheme="minorHAnsi" w:cs="Times New Roman"/>
          <w:szCs w:val="24"/>
          <w:vertAlign w:val="subscript"/>
          <w:lang w:val="en-CA" w:eastAsia="en-US"/>
        </w:rPr>
        <w:t>2</w:t>
      </w:r>
      <w:r w:rsidRPr="00674338">
        <w:rPr>
          <w:rFonts w:eastAsiaTheme="minorHAnsi" w:cs="Times New Roman"/>
          <w:szCs w:val="24"/>
          <w:lang w:val="en-CA" w:eastAsia="en-US"/>
        </w:rPr>
        <w:t>-enriched seawater</w:t>
      </w:r>
      <w:r w:rsidRPr="00674338">
        <w:rPr>
          <w:rFonts w:cs="Times New Roman"/>
          <w:szCs w:val="24"/>
        </w:rPr>
        <w:t xml:space="preserve"> prepared as described in Berthelot et al., (2015). Briefly, lagoon </w:t>
      </w:r>
      <w:proofErr w:type="spellStart"/>
      <w:r w:rsidRPr="00674338">
        <w:rPr>
          <w:rFonts w:cs="Times New Roman"/>
          <w:szCs w:val="24"/>
        </w:rPr>
        <w:t>seaw</w:t>
      </w:r>
      <w:r w:rsidRPr="00674338">
        <w:rPr>
          <w:rFonts w:eastAsiaTheme="minorHAnsi" w:cs="Times New Roman"/>
          <w:szCs w:val="24"/>
          <w:lang w:val="en-CA" w:eastAsia="en-US"/>
        </w:rPr>
        <w:t>ater</w:t>
      </w:r>
      <w:proofErr w:type="spellEnd"/>
      <w:r w:rsidRPr="00674338">
        <w:rPr>
          <w:rFonts w:eastAsiaTheme="minorHAnsi" w:cs="Times New Roman"/>
          <w:szCs w:val="24"/>
          <w:lang w:val="en-CA" w:eastAsia="en-US"/>
        </w:rPr>
        <w:t xml:space="preserve"> was first degassed through a degassing membrane (</w:t>
      </w:r>
      <w:proofErr w:type="spellStart"/>
      <w:r w:rsidRPr="00674338">
        <w:rPr>
          <w:rFonts w:eastAsiaTheme="minorHAnsi" w:cs="Times New Roman"/>
          <w:szCs w:val="24"/>
          <w:lang w:val="en-CA" w:eastAsia="en-US"/>
        </w:rPr>
        <w:t>Membrana</w:t>
      </w:r>
      <w:proofErr w:type="spellEnd"/>
      <w:r w:rsidRPr="00674338">
        <w:rPr>
          <w:rFonts w:eastAsiaTheme="minorHAnsi" w:cs="Times New Roman"/>
          <w:szCs w:val="24"/>
          <w:lang w:val="en-CA" w:eastAsia="en-US"/>
        </w:rPr>
        <w:t>, Minimodule®, flow rate fixed at 450</w:t>
      </w:r>
      <w:r>
        <w:rPr>
          <w:rFonts w:eastAsiaTheme="minorHAnsi" w:cs="Times New Roman"/>
          <w:szCs w:val="24"/>
          <w:lang w:val="en-CA" w:eastAsia="en-US"/>
        </w:rPr>
        <w:t xml:space="preserve"> </w:t>
      </w:r>
      <w:r w:rsidRPr="00674338">
        <w:rPr>
          <w:rFonts w:eastAsiaTheme="minorHAnsi" w:cs="Times New Roman"/>
          <w:szCs w:val="24"/>
          <w:lang w:val="en-CA" w:eastAsia="en-US"/>
        </w:rPr>
        <w:t>mL min</w:t>
      </w:r>
      <w:r w:rsidRPr="00674338">
        <w:rPr>
          <w:rFonts w:eastAsiaTheme="minorHAnsi" w:cs="Times New Roman"/>
          <w:szCs w:val="24"/>
          <w:vertAlign w:val="superscript"/>
          <w:lang w:val="en-CA" w:eastAsia="en-US"/>
        </w:rPr>
        <w:t>-1</w:t>
      </w:r>
      <w:r w:rsidRPr="00674338">
        <w:rPr>
          <w:rFonts w:eastAsiaTheme="minorHAnsi" w:cs="Times New Roman"/>
          <w:szCs w:val="24"/>
          <w:lang w:val="en-CA" w:eastAsia="en-US"/>
        </w:rPr>
        <w:t>) connected to a vacuum pump (&lt; 200 mbar absolute pressure) for at least 1 h. It was then tightly closed with no head space with a silicone septum cap and amended with 1</w:t>
      </w:r>
      <w:r>
        <w:rPr>
          <w:rFonts w:eastAsiaTheme="minorHAnsi" w:cs="Times New Roman"/>
          <w:szCs w:val="24"/>
          <w:lang w:val="en-CA" w:eastAsia="en-US"/>
        </w:rPr>
        <w:t xml:space="preserve"> </w:t>
      </w:r>
      <w:r w:rsidRPr="00674338">
        <w:rPr>
          <w:rFonts w:eastAsiaTheme="minorHAnsi" w:cs="Times New Roman"/>
          <w:szCs w:val="24"/>
          <w:lang w:val="en-CA" w:eastAsia="en-US"/>
        </w:rPr>
        <w:t xml:space="preserve">mL of </w:t>
      </w:r>
      <w:r w:rsidRPr="004432CB">
        <w:rPr>
          <w:rFonts w:eastAsiaTheme="minorHAnsi" w:cs="Times New Roman"/>
          <w:szCs w:val="24"/>
          <w:vertAlign w:val="superscript"/>
          <w:lang w:val="en-CA" w:eastAsia="en-US"/>
        </w:rPr>
        <w:t>15</w:t>
      </w:r>
      <w:r w:rsidRPr="00674338">
        <w:rPr>
          <w:rFonts w:eastAsiaTheme="minorHAnsi" w:cs="Times New Roman"/>
          <w:szCs w:val="24"/>
          <w:lang w:val="en-CA" w:eastAsia="en-US"/>
        </w:rPr>
        <w:t>N</w:t>
      </w:r>
      <w:r w:rsidRPr="004432CB">
        <w:rPr>
          <w:rFonts w:eastAsiaTheme="minorHAnsi" w:cs="Times New Roman"/>
          <w:szCs w:val="24"/>
          <w:vertAlign w:val="subscript"/>
          <w:lang w:val="en-CA" w:eastAsia="en-US"/>
        </w:rPr>
        <w:t>2</w:t>
      </w:r>
      <w:r w:rsidRPr="00674338">
        <w:rPr>
          <w:rFonts w:eastAsiaTheme="minorHAnsi" w:cs="Times New Roman"/>
          <w:szCs w:val="24"/>
          <w:lang w:val="en-CA" w:eastAsia="en-US"/>
        </w:rPr>
        <w:t xml:space="preserve"> (98.9% Cambridge isotope) per 100 </w:t>
      </w:r>
      <w:proofErr w:type="spellStart"/>
      <w:r w:rsidRPr="00674338">
        <w:rPr>
          <w:rFonts w:eastAsiaTheme="minorHAnsi" w:cs="Times New Roman"/>
          <w:szCs w:val="24"/>
          <w:lang w:val="en-CA" w:eastAsia="en-US"/>
        </w:rPr>
        <w:t>mL.</w:t>
      </w:r>
      <w:proofErr w:type="spellEnd"/>
      <w:r w:rsidRPr="00674338">
        <w:rPr>
          <w:rFonts w:eastAsiaTheme="minorHAnsi" w:cs="Times New Roman"/>
          <w:szCs w:val="24"/>
          <w:lang w:val="en-CA" w:eastAsia="en-US"/>
        </w:rPr>
        <w:t xml:space="preserve"> The bottle was then shaken vigorously to promote </w:t>
      </w:r>
      <w:r w:rsidRPr="004432CB">
        <w:rPr>
          <w:rFonts w:eastAsiaTheme="minorHAnsi" w:cs="Times New Roman"/>
          <w:szCs w:val="24"/>
          <w:vertAlign w:val="superscript"/>
          <w:lang w:val="en-CA" w:eastAsia="en-US"/>
        </w:rPr>
        <w:t>15</w:t>
      </w:r>
      <w:r w:rsidRPr="00674338">
        <w:rPr>
          <w:rFonts w:eastAsiaTheme="minorHAnsi" w:cs="Times New Roman"/>
          <w:szCs w:val="24"/>
          <w:lang w:val="en-CA" w:eastAsia="en-US"/>
        </w:rPr>
        <w:t>N</w:t>
      </w:r>
      <w:r w:rsidRPr="004432CB">
        <w:rPr>
          <w:rFonts w:eastAsiaTheme="minorHAnsi" w:cs="Times New Roman"/>
          <w:szCs w:val="24"/>
          <w:vertAlign w:val="subscript"/>
          <w:lang w:val="en-CA" w:eastAsia="en-US"/>
        </w:rPr>
        <w:t>2</w:t>
      </w:r>
      <w:r w:rsidRPr="00674338">
        <w:rPr>
          <w:rFonts w:eastAsiaTheme="minorHAnsi" w:cs="Times New Roman"/>
          <w:szCs w:val="24"/>
          <w:lang w:val="en-CA" w:eastAsia="en-US"/>
        </w:rPr>
        <w:t xml:space="preserve"> dissolution.</w:t>
      </w:r>
      <w:r w:rsidRPr="00674338">
        <w:rPr>
          <w:rFonts w:cs="Times New Roman"/>
          <w:szCs w:val="24"/>
        </w:rPr>
        <w:t xml:space="preserve"> Bottles were then incubated altogether in deck incubators </w:t>
      </w:r>
      <w:r>
        <w:rPr>
          <w:rFonts w:cs="Times New Roman"/>
          <w:szCs w:val="24"/>
        </w:rPr>
        <w:t>a</w:t>
      </w:r>
      <w:r w:rsidRPr="00674338">
        <w:rPr>
          <w:rFonts w:cs="Times New Roman"/>
          <w:szCs w:val="24"/>
        </w:rPr>
        <w:t xml:space="preserve">s described in the Method section. In both cases, </w:t>
      </w:r>
      <w:r w:rsidRPr="00674338">
        <w:rPr>
          <w:rFonts w:cs="Times New Roman"/>
          <w:szCs w:val="24"/>
          <w:lang w:val="en-US"/>
        </w:rPr>
        <w:t xml:space="preserve">the </w:t>
      </w:r>
      <w:r w:rsidRPr="00674338">
        <w:rPr>
          <w:rFonts w:cs="Times New Roman"/>
          <w:szCs w:val="24"/>
          <w:vertAlign w:val="superscript"/>
          <w:lang w:val="en-US"/>
        </w:rPr>
        <w:t>15</w:t>
      </w:r>
      <w:r w:rsidRPr="00674338">
        <w:rPr>
          <w:rFonts w:cs="Times New Roman"/>
          <w:szCs w:val="24"/>
          <w:lang w:val="en-US"/>
        </w:rPr>
        <w:t>N</w:t>
      </w:r>
      <w:r>
        <w:rPr>
          <w:rFonts w:cs="Times New Roman"/>
          <w:szCs w:val="24"/>
          <w:lang w:val="en-US"/>
        </w:rPr>
        <w:t xml:space="preserve"> enrichment</w:t>
      </w:r>
      <w:r w:rsidRPr="00674338">
        <w:rPr>
          <w:rFonts w:cs="Times New Roman"/>
          <w:szCs w:val="24"/>
          <w:lang w:val="en-US"/>
        </w:rPr>
        <w:t xml:space="preserve"> of the dissolved N</w:t>
      </w:r>
      <w:r w:rsidRPr="00674338">
        <w:rPr>
          <w:rFonts w:cs="Times New Roman"/>
          <w:szCs w:val="24"/>
          <w:vertAlign w:val="subscript"/>
          <w:lang w:val="en-US"/>
        </w:rPr>
        <w:t>2</w:t>
      </w:r>
      <w:r w:rsidRPr="00674338">
        <w:rPr>
          <w:rFonts w:cs="Times New Roman"/>
          <w:szCs w:val="24"/>
          <w:lang w:val="en-US"/>
        </w:rPr>
        <w:t xml:space="preserve"> pool was measured in the incubation bottles after incubation by membrane inlet mass spectrometry (MIMS) according to </w:t>
      </w:r>
      <w:r w:rsidRPr="00674338">
        <w:rPr>
          <w:rFonts w:cs="Times New Roman"/>
          <w:szCs w:val="24"/>
          <w:lang w:val="en-US"/>
        </w:rPr>
        <w:fldChar w:fldCharType="begin" w:fldLock="1"/>
      </w:r>
      <w:r w:rsidRPr="00674338">
        <w:rPr>
          <w:rFonts w:cs="Times New Roman"/>
          <w:szCs w:val="24"/>
          <w:lang w:val="en-US"/>
        </w:rPr>
        <w:instrText>ADDIN CSL_CITATION {"citationItems":[{"id":"ITEM-1","itemData":{"author":[{"dropping-particle":"","family":"Kana","given":"Todd M","non-dropping-particle":"","parse-names":false,"suffix":""},{"dropping-particle":"","family":"Darkangelo","given":"Christina","non-dropping-particle":"","parse-names":false,"suffix":""},{"dropping-particle":"","family":"Hunt","given":"M Duane","non-dropping-particle":"","parse-names":false,"suffix":""},{"dropping-particle":"","family":"Oldham","given":"James B","non-dropping-particle":"","parse-names":false,"suffix":""},{"dropping-particle":"","family":"Bennett","given":"George E","non-dropping-particle":"","parse-names":false,"suffix":""},{"dropping-particle":"","family":"Cornwell","given":"Jeffrey C","non-dropping-particle":"","parse-names":false,"suffix":""}],"id":"ITEM-1","issue":"23","issued":{"date-parts":[["1994"]]},"page":"4166-4170","title":"Membrane lnlet Mass Spectrometer for Rapid Environmental Water Samples","type":"article-journal","volume":"66"},"uris":["http://www.mendeley.com/documents/?uuid=f17c348c-aa07-43b5-a314-2b974b3bf879"]}],"mendeley":{"formattedCitation":"(Kana et al. 1994)","manualFormatting":"Kana et al., (1994)","plainTextFormattedCitation":"(Kana et al. 1994)","previouslyFormattedCitation":"(Kana et al. 1994)"},"properties":{"noteIndex":0},"schema":"https://github.com/citation-style-language/schema/raw/master/csl-citation.json"}</w:instrText>
      </w:r>
      <w:r w:rsidRPr="00674338">
        <w:rPr>
          <w:rFonts w:cs="Times New Roman"/>
          <w:szCs w:val="24"/>
          <w:lang w:val="en-US"/>
        </w:rPr>
        <w:fldChar w:fldCharType="separate"/>
      </w:r>
      <w:r w:rsidRPr="00674338">
        <w:rPr>
          <w:rFonts w:cs="Times New Roman"/>
          <w:noProof/>
          <w:szCs w:val="24"/>
          <w:lang w:val="en-US"/>
        </w:rPr>
        <w:t>Kana et al., (1994)</w:t>
      </w:r>
      <w:r w:rsidRPr="00674338">
        <w:rPr>
          <w:rFonts w:cs="Times New Roman"/>
          <w:szCs w:val="24"/>
          <w:lang w:val="en-US"/>
        </w:rPr>
        <w:fldChar w:fldCharType="end"/>
      </w:r>
      <w:r w:rsidRPr="00674338">
        <w:rPr>
          <w:rFonts w:cs="Times New Roman"/>
          <w:szCs w:val="24"/>
          <w:lang w:val="en-US"/>
        </w:rPr>
        <w:t>.</w:t>
      </w:r>
    </w:p>
    <w:p w:rsidR="00807706" w:rsidRDefault="00807706" w:rsidP="00807706">
      <w:pPr>
        <w:autoSpaceDE w:val="0"/>
        <w:autoSpaceDN w:val="0"/>
        <w:adjustRightInd w:val="0"/>
        <w:spacing w:before="0" w:after="0" w:line="240" w:lineRule="auto"/>
        <w:jc w:val="left"/>
        <w:rPr>
          <w:rFonts w:cs="Times New Roman"/>
          <w:lang w:val="en-US"/>
        </w:rPr>
      </w:pPr>
    </w:p>
    <w:p w:rsidR="00807706" w:rsidRDefault="00807706" w:rsidP="00807706">
      <w:pPr>
        <w:autoSpaceDE w:val="0"/>
        <w:autoSpaceDN w:val="0"/>
        <w:adjustRightInd w:val="0"/>
        <w:spacing w:before="0" w:after="0" w:line="240" w:lineRule="auto"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Results.</w:t>
      </w:r>
    </w:p>
    <w:p w:rsidR="00807706" w:rsidRDefault="00807706" w:rsidP="00807706">
      <w:pPr>
        <w:autoSpaceDE w:val="0"/>
        <w:autoSpaceDN w:val="0"/>
        <w:adjustRightInd w:val="0"/>
        <w:spacing w:before="0" w:after="0" w:line="240" w:lineRule="auto"/>
        <w:jc w:val="left"/>
        <w:rPr>
          <w:rFonts w:cs="Times New Roman"/>
          <w:b/>
          <w:szCs w:val="24"/>
        </w:rPr>
      </w:pPr>
    </w:p>
    <w:p w:rsidR="00807706" w:rsidRDefault="00A36951" w:rsidP="00A36951">
      <w:pPr>
        <w:autoSpaceDE w:val="0"/>
        <w:autoSpaceDN w:val="0"/>
        <w:adjustRightInd w:val="0"/>
        <w:spacing w:before="0" w:after="0" w:line="240" w:lineRule="auto"/>
        <w:jc w:val="center"/>
      </w:pPr>
      <w:r w:rsidRPr="00A36951">
        <w:rPr>
          <w:noProof/>
        </w:rPr>
        <w:drawing>
          <wp:inline distT="0" distB="0" distL="0" distR="0" wp14:anchorId="21200924" wp14:editId="0280A633">
            <wp:extent cx="5197719" cy="2811585"/>
            <wp:effectExtent l="0" t="0" r="9525" b="8255"/>
            <wp:docPr id="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A36951" w:rsidRDefault="00A36951" w:rsidP="00A36951">
      <w:pPr>
        <w:snapToGrid w:val="0"/>
        <w:spacing w:before="0" w:after="0" w:line="240" w:lineRule="auto"/>
      </w:pPr>
      <w:r>
        <w:t xml:space="preserve">Figure S1. </w:t>
      </w:r>
      <w:r>
        <w:rPr>
          <w:rFonts w:cs="Times New Roman"/>
          <w:lang w:val="en-US"/>
        </w:rPr>
        <w:t>Average N</w:t>
      </w:r>
      <w:r w:rsidRPr="00466CB8">
        <w:rPr>
          <w:rFonts w:cs="Times New Roman"/>
          <w:vertAlign w:val="subscript"/>
          <w:lang w:val="en-US"/>
        </w:rPr>
        <w:t>2</w:t>
      </w:r>
      <w:r>
        <w:rPr>
          <w:rFonts w:cs="Times New Roman"/>
          <w:lang w:val="en-US"/>
        </w:rPr>
        <w:t xml:space="preserve"> fixation rates (blue bars, </w:t>
      </w:r>
      <w:r>
        <w:rPr>
          <w:rFonts w:eastAsiaTheme="minorHAnsi" w:cs="Times New Roman"/>
          <w:szCs w:val="24"/>
          <w:lang w:val="en-US" w:eastAsia="en-US"/>
        </w:rPr>
        <w:t>nmol N L</w:t>
      </w:r>
      <w:r w:rsidRPr="00B07DD8">
        <w:rPr>
          <w:rFonts w:eastAsiaTheme="minorHAnsi" w:cs="Times New Roman"/>
          <w:szCs w:val="24"/>
          <w:vertAlign w:val="superscript"/>
          <w:lang w:val="en-US" w:eastAsia="en-US"/>
        </w:rPr>
        <w:t>-1</w:t>
      </w:r>
      <w:r>
        <w:rPr>
          <w:rFonts w:eastAsiaTheme="minorHAnsi" w:cs="Times New Roman"/>
          <w:szCs w:val="24"/>
          <w:lang w:val="en-US" w:eastAsia="en-US"/>
        </w:rPr>
        <w:t xml:space="preserve"> d</w:t>
      </w:r>
      <w:r w:rsidRPr="00B07DD8">
        <w:rPr>
          <w:rFonts w:eastAsiaTheme="minorHAnsi" w:cs="Times New Roman"/>
          <w:szCs w:val="24"/>
          <w:vertAlign w:val="superscript"/>
          <w:lang w:val="en-US" w:eastAsia="en-US"/>
        </w:rPr>
        <w:t>-1</w:t>
      </w:r>
      <w:r>
        <w:rPr>
          <w:rFonts w:cs="Times New Roman"/>
          <w:lang w:val="en-US"/>
        </w:rPr>
        <w:t xml:space="preserve">) and </w:t>
      </w:r>
      <w:r w:rsidRPr="00F37160">
        <w:rPr>
          <w:rFonts w:cs="Times New Roman"/>
          <w:szCs w:val="24"/>
          <w:vertAlign w:val="superscript"/>
          <w:lang w:val="en-US"/>
        </w:rPr>
        <w:t>15</w:t>
      </w:r>
      <w:r w:rsidRPr="00F37160">
        <w:rPr>
          <w:rFonts w:cs="Times New Roman"/>
          <w:szCs w:val="24"/>
          <w:lang w:val="en-US"/>
        </w:rPr>
        <w:t xml:space="preserve">N enrichment </w:t>
      </w:r>
      <w:r>
        <w:rPr>
          <w:rFonts w:cs="Times New Roman"/>
          <w:szCs w:val="24"/>
          <w:lang w:val="en-US"/>
        </w:rPr>
        <w:t xml:space="preserve">(atom %) </w:t>
      </w:r>
      <w:r w:rsidRPr="00F37160">
        <w:rPr>
          <w:rFonts w:cs="Times New Roman"/>
          <w:szCs w:val="24"/>
          <w:lang w:val="en-US"/>
        </w:rPr>
        <w:t>of the dissolved N</w:t>
      </w:r>
      <w:r w:rsidRPr="00F37160">
        <w:rPr>
          <w:rFonts w:cs="Times New Roman"/>
          <w:szCs w:val="24"/>
          <w:vertAlign w:val="subscript"/>
          <w:lang w:val="en-US"/>
        </w:rPr>
        <w:t>2</w:t>
      </w:r>
      <w:r w:rsidRPr="00F37160">
        <w:rPr>
          <w:rFonts w:cs="Times New Roman"/>
          <w:szCs w:val="24"/>
          <w:lang w:val="en-US"/>
        </w:rPr>
        <w:t xml:space="preserve"> pool</w:t>
      </w:r>
      <w:r>
        <w:rPr>
          <w:rFonts w:cs="Times New Roman"/>
          <w:szCs w:val="24"/>
          <w:lang w:val="en-US"/>
        </w:rPr>
        <w:t xml:space="preserve"> in the incubation bottles</w:t>
      </w:r>
      <w:r>
        <w:rPr>
          <w:rFonts w:cs="Times New Roman"/>
          <w:lang w:val="en-US"/>
        </w:rPr>
        <w:t xml:space="preserve"> (red dots) (n=6) in both methods (left: addition of </w:t>
      </w:r>
      <w:r w:rsidRPr="004432CB">
        <w:rPr>
          <w:rFonts w:cs="Times New Roman"/>
          <w:vertAlign w:val="superscript"/>
          <w:lang w:val="en-US"/>
        </w:rPr>
        <w:t>15</w:t>
      </w:r>
      <w:r>
        <w:rPr>
          <w:rFonts w:cs="Times New Roman"/>
          <w:lang w:val="en-US"/>
        </w:rPr>
        <w:t>N</w:t>
      </w:r>
      <w:r w:rsidRPr="004432CB">
        <w:rPr>
          <w:rFonts w:cs="Times New Roman"/>
          <w:vertAlign w:val="subscript"/>
          <w:lang w:val="en-US"/>
        </w:rPr>
        <w:t>2</w:t>
      </w:r>
      <w:r>
        <w:rPr>
          <w:rFonts w:cs="Times New Roman"/>
          <w:lang w:val="en-US"/>
        </w:rPr>
        <w:t xml:space="preserve"> as a bubble (‘bubble’); right: addition of </w:t>
      </w:r>
      <w:r w:rsidRPr="00466CB8">
        <w:rPr>
          <w:rFonts w:cs="Times New Roman"/>
          <w:vertAlign w:val="superscript"/>
          <w:lang w:val="en-US"/>
        </w:rPr>
        <w:t>15</w:t>
      </w:r>
      <w:r>
        <w:rPr>
          <w:rFonts w:cs="Times New Roman"/>
          <w:lang w:val="en-US"/>
        </w:rPr>
        <w:t>N</w:t>
      </w:r>
      <w:r w:rsidRPr="00466CB8">
        <w:rPr>
          <w:rFonts w:cs="Times New Roman"/>
          <w:vertAlign w:val="subscript"/>
          <w:lang w:val="en-US"/>
        </w:rPr>
        <w:t>2</w:t>
      </w:r>
      <w:r>
        <w:rPr>
          <w:rFonts w:cs="Times New Roman"/>
          <w:lang w:val="en-US"/>
        </w:rPr>
        <w:t xml:space="preserve"> as </w:t>
      </w:r>
      <w:r w:rsidRPr="00466CB8">
        <w:rPr>
          <w:rFonts w:cs="Times New Roman"/>
          <w:vertAlign w:val="superscript"/>
          <w:lang w:val="en-US"/>
        </w:rPr>
        <w:t>15</w:t>
      </w:r>
      <w:r>
        <w:rPr>
          <w:rFonts w:cs="Times New Roman"/>
          <w:lang w:val="en-US"/>
        </w:rPr>
        <w:t>N</w:t>
      </w:r>
      <w:r w:rsidRPr="00466CB8">
        <w:rPr>
          <w:rFonts w:cs="Times New Roman"/>
          <w:vertAlign w:val="subscript"/>
          <w:lang w:val="en-US"/>
        </w:rPr>
        <w:t>2</w:t>
      </w:r>
      <w:r>
        <w:rPr>
          <w:rFonts w:cs="Times New Roman"/>
          <w:lang w:val="en-US"/>
        </w:rPr>
        <w:t>-enriched seawater ‘FSW’).</w:t>
      </w:r>
    </w:p>
    <w:p w:rsidR="00807706" w:rsidRPr="00A36951" w:rsidRDefault="00807706" w:rsidP="00807706">
      <w:pPr>
        <w:autoSpaceDE w:val="0"/>
        <w:autoSpaceDN w:val="0"/>
        <w:adjustRightInd w:val="0"/>
        <w:spacing w:before="0" w:after="0" w:line="240" w:lineRule="auto"/>
        <w:jc w:val="left"/>
        <w:rPr>
          <w:rFonts w:cs="Times New Roman"/>
        </w:rPr>
      </w:pPr>
    </w:p>
    <w:p w:rsidR="00807706" w:rsidRPr="00F37160" w:rsidRDefault="00807706" w:rsidP="00807706">
      <w:pPr>
        <w:autoSpaceDE w:val="0"/>
        <w:autoSpaceDN w:val="0"/>
        <w:adjustRightInd w:val="0"/>
        <w:spacing w:before="0" w:after="0" w:line="240" w:lineRule="auto"/>
        <w:rPr>
          <w:lang w:val="en-CA"/>
        </w:rPr>
      </w:pPr>
      <w:r w:rsidRPr="00F37160">
        <w:rPr>
          <w:rFonts w:cs="Times New Roman"/>
          <w:szCs w:val="24"/>
          <w:lang w:val="en-US"/>
        </w:rPr>
        <w:t xml:space="preserve">The </w:t>
      </w:r>
      <w:r w:rsidRPr="00F37160">
        <w:rPr>
          <w:rFonts w:cs="Times New Roman"/>
          <w:szCs w:val="24"/>
          <w:vertAlign w:val="superscript"/>
          <w:lang w:val="en-US"/>
        </w:rPr>
        <w:t>15</w:t>
      </w:r>
      <w:r w:rsidRPr="00F37160">
        <w:rPr>
          <w:rFonts w:cs="Times New Roman"/>
          <w:szCs w:val="24"/>
          <w:lang w:val="en-US"/>
        </w:rPr>
        <w:t>N enrichment of the dissolved N</w:t>
      </w:r>
      <w:r w:rsidRPr="00F37160">
        <w:rPr>
          <w:rFonts w:cs="Times New Roman"/>
          <w:szCs w:val="24"/>
          <w:vertAlign w:val="subscript"/>
          <w:lang w:val="en-US"/>
        </w:rPr>
        <w:t>2</w:t>
      </w:r>
      <w:r w:rsidRPr="00F37160">
        <w:rPr>
          <w:rFonts w:cs="Times New Roman"/>
          <w:szCs w:val="24"/>
          <w:lang w:val="en-US"/>
        </w:rPr>
        <w:t xml:space="preserve"> pool measured in the first set of bottles (bubble method) was 4.41 ± 0.51 (n=6) atom%, while it was 2.63 ± 0.06 (n=6) atom% in the second set of bottles (</w:t>
      </w:r>
      <w:r w:rsidRPr="004432CB">
        <w:rPr>
          <w:rFonts w:cs="Times New Roman"/>
          <w:szCs w:val="24"/>
          <w:vertAlign w:val="superscript"/>
          <w:lang w:val="en-US"/>
        </w:rPr>
        <w:t>15</w:t>
      </w:r>
      <w:r w:rsidRPr="00F37160">
        <w:rPr>
          <w:rFonts w:cs="Times New Roman"/>
          <w:szCs w:val="24"/>
          <w:lang w:val="en-US"/>
        </w:rPr>
        <w:t>N</w:t>
      </w:r>
      <w:r w:rsidRPr="004432CB">
        <w:rPr>
          <w:rFonts w:cs="Times New Roman"/>
          <w:szCs w:val="24"/>
          <w:vertAlign w:val="subscript"/>
          <w:lang w:val="en-US"/>
        </w:rPr>
        <w:t>2</w:t>
      </w:r>
      <w:r w:rsidRPr="00F37160">
        <w:rPr>
          <w:rFonts w:cs="Times New Roman"/>
          <w:szCs w:val="24"/>
          <w:lang w:val="en-US"/>
        </w:rPr>
        <w:t xml:space="preserve"> enriched seawater). The </w:t>
      </w:r>
      <w:r w:rsidRPr="00F37160">
        <w:rPr>
          <w:rFonts w:cs="Times New Roman"/>
          <w:szCs w:val="24"/>
          <w:vertAlign w:val="superscript"/>
          <w:lang w:val="en-US"/>
        </w:rPr>
        <w:t>15</w:t>
      </w:r>
      <w:r w:rsidRPr="00F37160">
        <w:rPr>
          <w:rFonts w:cs="Times New Roman"/>
          <w:szCs w:val="24"/>
          <w:lang w:val="en-US"/>
        </w:rPr>
        <w:t xml:space="preserve">N enrichment of particulate </w:t>
      </w:r>
      <w:r>
        <w:rPr>
          <w:rFonts w:cs="Times New Roman"/>
          <w:szCs w:val="24"/>
          <w:lang w:val="en-US"/>
        </w:rPr>
        <w:t>N</w:t>
      </w:r>
      <w:r w:rsidRPr="00F37160">
        <w:rPr>
          <w:rFonts w:cs="Times New Roman"/>
          <w:szCs w:val="24"/>
          <w:lang w:val="en-US"/>
        </w:rPr>
        <w:t xml:space="preserve"> in the first set of bottles was 0.382 ± 0.03 (n=6) atom%, and 0.372 ± 0.05 (n=6) atom% in the second set (data not shown). However, the resulting calculated N</w:t>
      </w:r>
      <w:r w:rsidRPr="004432CB">
        <w:rPr>
          <w:rFonts w:cs="Times New Roman"/>
          <w:szCs w:val="24"/>
          <w:vertAlign w:val="subscript"/>
          <w:lang w:val="en-US"/>
        </w:rPr>
        <w:t>2</w:t>
      </w:r>
      <w:r w:rsidRPr="00F37160">
        <w:rPr>
          <w:rFonts w:cs="Times New Roman"/>
          <w:szCs w:val="24"/>
          <w:lang w:val="en-US"/>
        </w:rPr>
        <w:t xml:space="preserve"> fixation rates were 4.0 ± 1.4 nmol N L</w:t>
      </w:r>
      <w:r w:rsidRPr="00F37160">
        <w:rPr>
          <w:rFonts w:cs="Times New Roman"/>
          <w:szCs w:val="24"/>
          <w:vertAlign w:val="superscript"/>
          <w:lang w:val="en-US"/>
        </w:rPr>
        <w:t>-1</w:t>
      </w:r>
      <w:r w:rsidRPr="00F37160">
        <w:rPr>
          <w:rFonts w:cs="Times New Roman"/>
          <w:szCs w:val="24"/>
          <w:lang w:val="en-US"/>
        </w:rPr>
        <w:t xml:space="preserve"> d</w:t>
      </w:r>
      <w:r w:rsidRPr="00F37160">
        <w:rPr>
          <w:rFonts w:cs="Times New Roman"/>
          <w:szCs w:val="24"/>
          <w:vertAlign w:val="superscript"/>
          <w:lang w:val="en-US"/>
        </w:rPr>
        <w:t>-1</w:t>
      </w:r>
      <w:r w:rsidRPr="00F37160">
        <w:rPr>
          <w:rFonts w:cs="Times New Roman"/>
          <w:szCs w:val="24"/>
          <w:lang w:val="en-US"/>
        </w:rPr>
        <w:t xml:space="preserve"> (n=6) in the first set (bubble method) and 3.8 ± 0.51 nmol N L</w:t>
      </w:r>
      <w:r w:rsidRPr="00F37160">
        <w:rPr>
          <w:rFonts w:cs="Times New Roman"/>
          <w:szCs w:val="24"/>
          <w:vertAlign w:val="superscript"/>
          <w:lang w:val="en-US"/>
        </w:rPr>
        <w:t>-1</w:t>
      </w:r>
      <w:r w:rsidRPr="00F37160">
        <w:rPr>
          <w:rFonts w:cs="Times New Roman"/>
          <w:szCs w:val="24"/>
          <w:lang w:val="en-US"/>
        </w:rPr>
        <w:t xml:space="preserve"> d</w:t>
      </w:r>
      <w:r w:rsidRPr="00F37160">
        <w:rPr>
          <w:rFonts w:cs="Times New Roman"/>
          <w:szCs w:val="24"/>
          <w:vertAlign w:val="superscript"/>
          <w:lang w:val="en-US"/>
        </w:rPr>
        <w:t>-1</w:t>
      </w:r>
      <w:r w:rsidRPr="00F37160">
        <w:rPr>
          <w:rFonts w:cs="Times New Roman"/>
          <w:szCs w:val="24"/>
          <w:lang w:val="en-US"/>
        </w:rPr>
        <w:t xml:space="preserve"> (n=6). Both distributions were not significantly different (p&gt;0.05). This result is consistent with previous studies conducted in the WTSP (Bonnet et al., 2016) and another </w:t>
      </w:r>
      <w:r w:rsidRPr="00F37160">
        <w:rPr>
          <w:rFonts w:eastAsiaTheme="minorHAnsi" w:cs="Times New Roman"/>
          <w:szCs w:val="24"/>
          <w:lang w:val="en-CA" w:eastAsia="en-US"/>
        </w:rPr>
        <w:t xml:space="preserve">recent extensive meta-analysis (13 studies, 368 observations) between bubble and enriched amendment experiments to measure </w:t>
      </w:r>
      <w:r w:rsidRPr="00F37160">
        <w:rPr>
          <w:rFonts w:eastAsiaTheme="minorHAnsi" w:cs="Times New Roman"/>
          <w:szCs w:val="24"/>
          <w:vertAlign w:val="superscript"/>
          <w:lang w:val="en-CA" w:eastAsia="en-US"/>
        </w:rPr>
        <w:t>15</w:t>
      </w:r>
      <w:r w:rsidRPr="00F37160">
        <w:rPr>
          <w:rFonts w:eastAsiaTheme="minorHAnsi" w:cs="Times New Roman"/>
          <w:szCs w:val="24"/>
          <w:lang w:val="en-CA" w:eastAsia="en-US"/>
        </w:rPr>
        <w:t>N</w:t>
      </w:r>
      <w:r w:rsidRPr="00F37160">
        <w:rPr>
          <w:rFonts w:eastAsiaTheme="minorHAnsi" w:cs="Times New Roman"/>
          <w:szCs w:val="24"/>
          <w:vertAlign w:val="subscript"/>
          <w:lang w:val="en-CA" w:eastAsia="en-US"/>
        </w:rPr>
        <w:t>2</w:t>
      </w:r>
      <w:r w:rsidRPr="00F37160">
        <w:rPr>
          <w:rFonts w:eastAsiaTheme="minorHAnsi" w:cs="Times New Roman"/>
          <w:szCs w:val="24"/>
          <w:lang w:val="en-CA" w:eastAsia="en-US"/>
        </w:rPr>
        <w:t xml:space="preserve"> rates reported that underestimation of N</w:t>
      </w:r>
      <w:r w:rsidRPr="00F37160">
        <w:rPr>
          <w:rFonts w:eastAsiaTheme="minorHAnsi" w:cs="Times New Roman"/>
          <w:szCs w:val="24"/>
          <w:vertAlign w:val="subscript"/>
          <w:lang w:val="en-CA" w:eastAsia="en-US"/>
        </w:rPr>
        <w:t>2</w:t>
      </w:r>
      <w:r w:rsidRPr="00F37160">
        <w:rPr>
          <w:rFonts w:eastAsiaTheme="minorHAnsi" w:cs="Times New Roman"/>
          <w:szCs w:val="24"/>
          <w:lang w:val="en-CA" w:eastAsia="en-US"/>
        </w:rPr>
        <w:t xml:space="preserve"> fixation is negligible in experiments that last 12–24 h (e.g., error is ~0.2</w:t>
      </w:r>
      <w:r>
        <w:rPr>
          <w:rFonts w:eastAsiaTheme="minorHAnsi" w:cs="Times New Roman"/>
          <w:szCs w:val="24"/>
          <w:lang w:val="en-CA" w:eastAsia="en-US"/>
        </w:rPr>
        <w:t>%</w:t>
      </w:r>
      <w:r w:rsidRPr="00F37160">
        <w:rPr>
          <w:rFonts w:eastAsiaTheme="minorHAnsi" w:cs="Times New Roman"/>
          <w:szCs w:val="24"/>
          <w:lang w:val="en-CA" w:eastAsia="en-US"/>
        </w:rPr>
        <w:t>) (</w:t>
      </w:r>
      <w:proofErr w:type="spellStart"/>
      <w:r w:rsidRPr="00F37160">
        <w:rPr>
          <w:rFonts w:eastAsiaTheme="minorHAnsi" w:cs="Times New Roman"/>
          <w:szCs w:val="24"/>
          <w:lang w:val="en-CA" w:eastAsia="en-US"/>
        </w:rPr>
        <w:t>Wannicke</w:t>
      </w:r>
      <w:proofErr w:type="spellEnd"/>
      <w:r w:rsidRPr="00F37160">
        <w:rPr>
          <w:rFonts w:eastAsiaTheme="minorHAnsi" w:cs="Times New Roman"/>
          <w:szCs w:val="24"/>
          <w:lang w:val="en-CA" w:eastAsia="en-US"/>
        </w:rPr>
        <w:t xml:space="preserve"> et al., 2018). </w:t>
      </w:r>
      <w:r w:rsidRPr="00F37160">
        <w:rPr>
          <w:rFonts w:cs="Times New Roman"/>
          <w:szCs w:val="24"/>
          <w:lang w:val="en-US"/>
        </w:rPr>
        <w:t>We thus considered that</w:t>
      </w:r>
      <w:r>
        <w:rPr>
          <w:rFonts w:cs="Times New Roman"/>
          <w:szCs w:val="24"/>
          <w:lang w:val="en-US"/>
        </w:rPr>
        <w:t xml:space="preserve"> the use of two different methods did not affect the resulting rates in our time series. </w:t>
      </w:r>
    </w:p>
    <w:p w:rsidR="00A62605" w:rsidRDefault="00A62605"/>
    <w:p w:rsidR="00A36951" w:rsidRDefault="00A36951" w:rsidP="00A36951">
      <w:pPr>
        <w:snapToGrid w:val="0"/>
        <w:spacing w:before="0" w:after="0" w:line="240" w:lineRule="auto"/>
      </w:pPr>
      <w:r>
        <w:lastRenderedPageBreak/>
        <w:t>Table S1.</w:t>
      </w:r>
      <w:r w:rsidRPr="001238D1">
        <w:t xml:space="preserve"> Supplementary data representing </w:t>
      </w:r>
      <w:r>
        <w:t>meteorological data (monthly average wind speed, monthly average wind direction and ENSO index)</w:t>
      </w:r>
      <w:r w:rsidRPr="001238D1">
        <w:t xml:space="preserve"> during </w:t>
      </w:r>
      <w:r>
        <w:t xml:space="preserve">the </w:t>
      </w:r>
      <w:r w:rsidRPr="001238D1">
        <w:t>GOPS survey.</w:t>
      </w:r>
    </w:p>
    <w:p w:rsidR="006C5CC8" w:rsidRDefault="006C5CC8" w:rsidP="00A36951">
      <w:pPr>
        <w:snapToGrid w:val="0"/>
        <w:spacing w:before="0" w:after="0" w:line="240" w:lineRule="auto"/>
      </w:pPr>
      <w:r>
        <w:rPr>
          <w:noProof/>
        </w:rPr>
        <w:drawing>
          <wp:inline distT="0" distB="0" distL="0" distR="0">
            <wp:extent cx="5760720" cy="7608922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_S1A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4"/>
                    <a:stretch/>
                  </pic:blipFill>
                  <pic:spPr bwMode="auto">
                    <a:xfrm>
                      <a:off x="0" y="0"/>
                      <a:ext cx="5760720" cy="7608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951" w:rsidRDefault="00A36951" w:rsidP="00A36951">
      <w:pPr>
        <w:spacing w:before="0" w:after="0" w:line="240" w:lineRule="auto"/>
        <w:ind w:hanging="284"/>
        <w:jc w:val="left"/>
        <w:rPr>
          <w:rFonts w:eastAsia="Times New Roman" w:cs="Times New Roman"/>
          <w:szCs w:val="24"/>
          <w:lang w:val="fr-FR"/>
        </w:rPr>
      </w:pPr>
      <w:r w:rsidRPr="00A36951">
        <w:rPr>
          <w:rFonts w:eastAsia="Times New Roman" w:cs="Times New Roman"/>
          <w:szCs w:val="24"/>
          <w:lang w:val="fr-FR"/>
        </w:rPr>
        <w:fldChar w:fldCharType="begin"/>
      </w:r>
      <w:r w:rsidRPr="00A36951">
        <w:rPr>
          <w:rFonts w:eastAsia="Times New Roman" w:cs="Times New Roman"/>
          <w:szCs w:val="24"/>
          <w:lang w:val="en-US"/>
        </w:rPr>
        <w:instrText xml:space="preserve"> INCLUDEPICTURE "cid:C8454C63-CB9D-4ABB-8CD3-3FCE74D3736C" \* MERGEFORMATINET </w:instrText>
      </w:r>
      <w:r w:rsidRPr="00A36951">
        <w:rPr>
          <w:rFonts w:eastAsia="Times New Roman" w:cs="Times New Roman"/>
          <w:szCs w:val="24"/>
          <w:lang w:val="fr-FR"/>
        </w:rPr>
        <w:fldChar w:fldCharType="separate"/>
      </w:r>
      <w:r w:rsidRPr="00A36951">
        <w:rPr>
          <w:rFonts w:eastAsia="Times New Roman" w:cs="Times New Roman"/>
          <w:noProof/>
          <w:szCs w:val="24"/>
          <w:lang w:val="fr-FR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" name="Rectangle 2" descr="Tab_S1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9EC6F5" id="Rectangle 2" o:spid="_x0000_s1026" alt="Tab_S1B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" filled="f" stroked="f">
                <o:lock v:ext="edit" aspectratio="t"/>
                <w10:anchorlock/>
              </v:rect>
            </w:pict>
          </mc:Fallback>
        </mc:AlternateContent>
      </w:r>
      <w:r w:rsidRPr="00A36951">
        <w:rPr>
          <w:rFonts w:eastAsia="Times New Roman" w:cs="Times New Roman"/>
          <w:szCs w:val="24"/>
          <w:lang w:val="fr-FR"/>
        </w:rPr>
        <w:fldChar w:fldCharType="end"/>
      </w:r>
      <w:r w:rsidRPr="00A36951">
        <w:t xml:space="preserve"> </w:t>
      </w:r>
      <w:r w:rsidRPr="00A36951">
        <w:rPr>
          <w:rFonts w:eastAsia="Times New Roman" w:cs="Times New Roman"/>
          <w:szCs w:val="24"/>
          <w:lang w:val="fr-FR"/>
        </w:rPr>
        <w:fldChar w:fldCharType="begin"/>
      </w:r>
      <w:r w:rsidRPr="00A36951">
        <w:rPr>
          <w:rFonts w:eastAsia="Times New Roman" w:cs="Times New Roman"/>
          <w:szCs w:val="24"/>
          <w:lang w:val="en-US"/>
        </w:rPr>
        <w:instrText xml:space="preserve"> INCLUDEPICTURE "cid:C8454C63-CB9D-4ABB-8CD3-3FCE74D3736C" \* MERGEFORMATINET </w:instrText>
      </w:r>
      <w:r w:rsidRPr="00A36951">
        <w:rPr>
          <w:rFonts w:eastAsia="Times New Roman" w:cs="Times New Roman"/>
          <w:szCs w:val="24"/>
          <w:lang w:val="fr-FR"/>
        </w:rPr>
        <w:fldChar w:fldCharType="separate"/>
      </w:r>
      <w:r w:rsidRPr="00A36951">
        <w:rPr>
          <w:rFonts w:eastAsia="Times New Roman" w:cs="Times New Roman"/>
          <w:noProof/>
          <w:szCs w:val="24"/>
          <w:lang w:val="fr-FR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4" name="Rectangle 4" descr="Tab_S1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79D2F3" id="Rectangle 4" o:spid="_x0000_s1026" alt="Tab_S1B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" filled="f" stroked="f">
                <o:lock v:ext="edit" aspectratio="t"/>
                <w10:anchorlock/>
              </v:rect>
            </w:pict>
          </mc:Fallback>
        </mc:AlternateContent>
      </w:r>
      <w:r w:rsidRPr="00A36951">
        <w:rPr>
          <w:rFonts w:eastAsia="Times New Roman" w:cs="Times New Roman"/>
          <w:szCs w:val="24"/>
          <w:lang w:val="fr-FR"/>
        </w:rPr>
        <w:fldChar w:fldCharType="end"/>
      </w:r>
      <w:r w:rsidRPr="00A36951">
        <w:rPr>
          <w:rFonts w:eastAsia="Times New Roman" w:cs="Times New Roman"/>
          <w:szCs w:val="24"/>
          <w:lang w:val="fr-FR"/>
        </w:rPr>
        <w:fldChar w:fldCharType="begin"/>
      </w:r>
      <w:r w:rsidRPr="00A36951">
        <w:rPr>
          <w:rFonts w:eastAsia="Times New Roman" w:cs="Times New Roman"/>
          <w:szCs w:val="24"/>
          <w:lang w:val="fr-FR"/>
        </w:rPr>
        <w:instrText xml:space="preserve"> INCLUDEPICTURE "cid:C8454C63-CB9D-4ABB-8CD3-3FCE74D3736C" \* MERGEFORMATINET </w:instrText>
      </w:r>
      <w:r w:rsidRPr="00A36951">
        <w:rPr>
          <w:rFonts w:eastAsia="Times New Roman" w:cs="Times New Roman"/>
          <w:szCs w:val="24"/>
          <w:lang w:val="fr-FR"/>
        </w:rPr>
        <w:fldChar w:fldCharType="separate"/>
      </w:r>
      <w:r w:rsidRPr="00A36951">
        <w:rPr>
          <w:rFonts w:eastAsia="Times New Roman" w:cs="Times New Roman"/>
          <w:noProof/>
          <w:szCs w:val="24"/>
          <w:lang w:val="fr-FR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6" name="Rectangle 6" descr="Tab_S1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2FAD3C" id="Rectangle 6" o:spid="_x0000_s1026" alt="Tab_S1B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" filled="f" stroked="f">
                <o:lock v:ext="edit" aspectratio="t"/>
                <w10:anchorlock/>
              </v:rect>
            </w:pict>
          </mc:Fallback>
        </mc:AlternateContent>
      </w:r>
      <w:r w:rsidRPr="00A36951">
        <w:rPr>
          <w:rFonts w:eastAsia="Times New Roman" w:cs="Times New Roman"/>
          <w:szCs w:val="24"/>
          <w:lang w:val="fr-FR"/>
        </w:rPr>
        <w:fldChar w:fldCharType="end"/>
      </w:r>
    </w:p>
    <w:p w:rsidR="006C5CC8" w:rsidRPr="00A36951" w:rsidRDefault="006C5CC8" w:rsidP="00A36951">
      <w:pPr>
        <w:spacing w:before="0" w:after="0" w:line="240" w:lineRule="auto"/>
        <w:ind w:hanging="284"/>
        <w:jc w:val="left"/>
        <w:rPr>
          <w:rFonts w:eastAsia="Times New Roman" w:cs="Times New Roman"/>
          <w:szCs w:val="24"/>
          <w:lang w:val="en-US"/>
        </w:rPr>
      </w:pPr>
      <w:r>
        <w:rPr>
          <w:rFonts w:eastAsia="Times New Roman" w:cs="Times New Roman"/>
          <w:noProof/>
          <w:szCs w:val="24"/>
          <w:lang w:val="en-US"/>
        </w:rPr>
        <w:lastRenderedPageBreak/>
        <w:drawing>
          <wp:inline distT="0" distB="0" distL="0" distR="0">
            <wp:extent cx="5760720" cy="7654189"/>
            <wp:effectExtent l="0" t="0" r="508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_S1B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8"/>
                    <a:stretch/>
                  </pic:blipFill>
                  <pic:spPr bwMode="auto">
                    <a:xfrm>
                      <a:off x="0" y="0"/>
                      <a:ext cx="5760720" cy="765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CC8" w:rsidRPr="00A369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706"/>
    <w:rsid w:val="003A67B1"/>
    <w:rsid w:val="006843C2"/>
    <w:rsid w:val="006C5CC8"/>
    <w:rsid w:val="00807706"/>
    <w:rsid w:val="00A36951"/>
    <w:rsid w:val="00A62605"/>
    <w:rsid w:val="00BC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35D75"/>
  <w15:chartTrackingRefBased/>
  <w15:docId w15:val="{00C2C378-BCFF-4582-8E97-1F83154B5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7706"/>
    <w:pPr>
      <w:spacing w:before="120" w:after="120" w:line="360" w:lineRule="auto"/>
      <w:jc w:val="both"/>
    </w:pPr>
    <w:rPr>
      <w:rFonts w:ascii="Times New Roman" w:eastAsiaTheme="minorEastAsia" w:hAnsi="Times New Roman"/>
      <w:sz w:val="24"/>
      <w:lang w:val="en-GB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2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sbonnet/Documents/01-IRD-ok/1_Science/1_Pacifique/2_VAHINE_Times_Series/Articles/GOPS_MOISE/N2FIX/N2FIX_MOISE_MIM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Comparaison_Méthodes!$Q$21:$Q$22</c:f>
                <c:numCache>
                  <c:formatCode>General</c:formatCode>
                  <c:ptCount val="2"/>
                  <c:pt idx="0">
                    <c:v>1.3594045729003648</c:v>
                  </c:pt>
                  <c:pt idx="1">
                    <c:v>1.1082816217678881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cat>
            <c:strRef>
              <c:f>Comparaison_Méthodes!$O$21:$O$22</c:f>
              <c:strCache>
                <c:ptCount val="2"/>
                <c:pt idx="0">
                  <c:v>Bubble</c:v>
                </c:pt>
                <c:pt idx="1">
                  <c:v>FSW</c:v>
                </c:pt>
              </c:strCache>
            </c:strRef>
          </c:cat>
          <c:val>
            <c:numRef>
              <c:f>Comparaison_Méthodes!$P$21:$P$22</c:f>
              <c:numCache>
                <c:formatCode>0.0</c:formatCode>
                <c:ptCount val="2"/>
                <c:pt idx="0">
                  <c:v>3.9872278184869629</c:v>
                </c:pt>
                <c:pt idx="1">
                  <c:v>3.8102022083985667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EB-5B49-BE02-52D11961CF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overlap val="-27"/>
        <c:axId val="459756448"/>
        <c:axId val="459761936"/>
      </c:barChart>
      <c:scatterChart>
        <c:scatterStyle val="lineMarker"/>
        <c:varyColors val="0"/>
        <c:ser>
          <c:idx val="1"/>
          <c:order val="1"/>
          <c:tx>
            <c:v>MIMS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8"/>
            <c:spPr>
              <a:solidFill>
                <a:srgbClr val="FF0000"/>
              </a:solidFill>
              <a:ln w="47625">
                <a:solidFill>
                  <a:schemeClr val="tx1"/>
                </a:solidFill>
              </a:ln>
              <a:effectLst/>
            </c:spPr>
          </c:marker>
          <c:yVal>
            <c:numRef>
              <c:f>Comparaison_Méthodes!$P$24:$P$25</c:f>
              <c:numCache>
                <c:formatCode>General</c:formatCode>
                <c:ptCount val="2"/>
                <c:pt idx="0">
                  <c:v>5.3359110766469167</c:v>
                </c:pt>
                <c:pt idx="1">
                  <c:v>2.6204048745991324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9EB-5B49-BE02-52D11961CF7A}"/>
            </c:ext>
          </c:extLst>
        </c:ser>
        <c:ser>
          <c:idx val="2"/>
          <c:order val="2"/>
          <c:spPr>
            <a:ln w="25400" cap="rnd">
              <a:noFill/>
              <a:round/>
            </a:ln>
            <a:effectLst/>
          </c:spPr>
          <c:marker>
            <c:symbol val="circle"/>
            <c:size val="8"/>
            <c:spPr>
              <a:solidFill>
                <a:srgbClr val="FF0000"/>
              </a:solidFill>
              <a:ln w="38100">
                <a:solidFill>
                  <a:schemeClr val="tx1"/>
                </a:solidFill>
              </a:ln>
              <a:effectLst/>
            </c:spPr>
          </c:marker>
          <c:yVal>
            <c:numRef>
              <c:f>Comparaison_Méthodes!$P$26:$P$27</c:f>
              <c:numCache>
                <c:formatCode>General</c:formatCode>
                <c:ptCount val="2"/>
                <c:pt idx="0">
                  <c:v>4.5972993628984522</c:v>
                </c:pt>
                <c:pt idx="1">
                  <c:v>2.6474222526864697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19EB-5B49-BE02-52D11961CF7A}"/>
            </c:ext>
          </c:extLst>
        </c:ser>
        <c:ser>
          <c:idx val="3"/>
          <c:order val="3"/>
          <c:spPr>
            <a:ln w="25400" cap="rnd">
              <a:noFill/>
              <a:round/>
            </a:ln>
            <a:effectLst/>
          </c:spPr>
          <c:marker>
            <c:symbol val="circle"/>
            <c:size val="8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yVal>
            <c:numRef>
              <c:f>Comparaison_Méthodes!$P$28:$P$29</c:f>
              <c:numCache>
                <c:formatCode>General</c:formatCode>
                <c:ptCount val="2"/>
                <c:pt idx="0">
                  <c:v>4.0779744567815763</c:v>
                </c:pt>
                <c:pt idx="1">
                  <c:v>2.6591993884984957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19EB-5B49-BE02-52D11961CF7A}"/>
            </c:ext>
          </c:extLst>
        </c:ser>
        <c:ser>
          <c:idx val="4"/>
          <c:order val="4"/>
          <c:spPr>
            <a:ln w="25400" cap="rnd">
              <a:noFill/>
              <a:round/>
            </a:ln>
            <a:effectLst/>
          </c:spPr>
          <c:marker>
            <c:symbol val="circle"/>
            <c:size val="8"/>
            <c:spPr>
              <a:solidFill>
                <a:srgbClr val="FF0000"/>
              </a:solidFill>
              <a:ln w="38100">
                <a:solidFill>
                  <a:schemeClr val="tx1"/>
                </a:solidFill>
              </a:ln>
              <a:effectLst/>
            </c:spPr>
          </c:marker>
          <c:yVal>
            <c:numRef>
              <c:f>Comparaison_Méthodes!$P$30:$P$31</c:f>
              <c:numCache>
                <c:formatCode>General</c:formatCode>
                <c:ptCount val="2"/>
                <c:pt idx="0">
                  <c:v>4.4011010718268579</c:v>
                </c:pt>
                <c:pt idx="1">
                  <c:v>2.4908489160053047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19EB-5B49-BE02-52D11961CF7A}"/>
            </c:ext>
          </c:extLst>
        </c:ser>
        <c:ser>
          <c:idx val="5"/>
          <c:order val="5"/>
          <c:spPr>
            <a:ln w="25400" cap="rnd">
              <a:noFill/>
              <a:round/>
            </a:ln>
            <a:effectLst/>
          </c:spPr>
          <c:marker>
            <c:symbol val="circle"/>
            <c:size val="8"/>
            <c:spPr>
              <a:solidFill>
                <a:srgbClr val="FF0000"/>
              </a:solidFill>
              <a:ln w="38100">
                <a:solidFill>
                  <a:schemeClr val="tx1"/>
                </a:solidFill>
              </a:ln>
              <a:effectLst/>
            </c:spPr>
          </c:marker>
          <c:yVal>
            <c:numRef>
              <c:f>Comparaison_Méthodes!$P$32:$P$33</c:f>
              <c:numCache>
                <c:formatCode>General</c:formatCode>
                <c:ptCount val="2"/>
                <c:pt idx="0">
                  <c:v>3.9567545298273368</c:v>
                </c:pt>
                <c:pt idx="1">
                  <c:v>2.6724788485970965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19EB-5B49-BE02-52D11961CF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9756448"/>
        <c:axId val="459761936"/>
      </c:scatterChart>
      <c:scatterChart>
        <c:scatterStyle val="lineMarker"/>
        <c:varyColors val="0"/>
        <c:ser>
          <c:idx val="6"/>
          <c:order val="6"/>
          <c:spPr>
            <a:ln w="25400" cap="rnd">
              <a:noFill/>
              <a:round/>
            </a:ln>
            <a:effectLst/>
          </c:spPr>
          <c:marker>
            <c:symbol val="circle"/>
            <c:size val="8"/>
            <c:spPr>
              <a:solidFill>
                <a:srgbClr val="FF0000"/>
              </a:solidFill>
              <a:ln w="38100">
                <a:solidFill>
                  <a:schemeClr val="tx1"/>
                </a:solidFill>
              </a:ln>
              <a:effectLst/>
            </c:spPr>
          </c:marker>
          <c:yVal>
            <c:numRef>
              <c:f>Comparaison_Méthodes!$P$34:$P$35</c:f>
              <c:numCache>
                <c:formatCode>General</c:formatCode>
                <c:ptCount val="2"/>
                <c:pt idx="0">
                  <c:v>4.1125422804877738</c:v>
                </c:pt>
                <c:pt idx="1">
                  <c:v>2.6961370231953623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19EB-5B49-BE02-52D11961CF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2768719"/>
        <c:axId val="153541951"/>
      </c:scatterChart>
      <c:catAx>
        <c:axId val="459756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59761936"/>
        <c:crosses val="autoZero"/>
        <c:auto val="1"/>
        <c:lblAlgn val="ctr"/>
        <c:lblOffset val="100"/>
        <c:noMultiLvlLbl val="0"/>
      </c:catAx>
      <c:valAx>
        <c:axId val="459761936"/>
        <c:scaling>
          <c:orientation val="minMax"/>
          <c:max val="6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59756448"/>
        <c:crosses val="autoZero"/>
        <c:crossBetween val="between"/>
      </c:valAx>
      <c:valAx>
        <c:axId val="153541951"/>
        <c:scaling>
          <c:orientation val="minMax"/>
          <c:max val="6"/>
        </c:scaling>
        <c:delete val="1"/>
        <c:axPos val="r"/>
        <c:numFmt formatCode="#,##0.0" sourceLinked="0"/>
        <c:majorTickMark val="out"/>
        <c:minorTickMark val="none"/>
        <c:tickLblPos val="nextTo"/>
        <c:crossAx val="82768719"/>
        <c:crosses val="max"/>
        <c:crossBetween val="midCat"/>
      </c:valAx>
      <c:valAx>
        <c:axId val="82768719"/>
        <c:scaling>
          <c:orientation val="minMax"/>
        </c:scaling>
        <c:delete val="1"/>
        <c:axPos val="t"/>
        <c:majorTickMark val="out"/>
        <c:minorTickMark val="none"/>
        <c:tickLblPos val="nextTo"/>
        <c:crossAx val="153541951"/>
        <c:crosses val="max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669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saulia emmrick</dc:creator>
  <cp:keywords/>
  <dc:description/>
  <cp:lastModifiedBy>Sophie Bonnet</cp:lastModifiedBy>
  <cp:revision>2</cp:revision>
  <dcterms:created xsi:type="dcterms:W3CDTF">2020-10-07T05:54:00Z</dcterms:created>
  <dcterms:modified xsi:type="dcterms:W3CDTF">2020-10-07T05:54:00Z</dcterms:modified>
</cp:coreProperties>
</file>