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3D1A94CD" w14:textId="77777777" w:rsidR="008576C1" w:rsidRPr="00CC141B" w:rsidRDefault="008576C1" w:rsidP="008576C1">
      <w:pPr>
        <w:pStyle w:val="Heading1"/>
      </w:pPr>
      <w:r w:rsidRPr="00CC141B">
        <w:t>Methods</w:t>
      </w:r>
    </w:p>
    <w:p w14:paraId="3FCB502B" w14:textId="77777777" w:rsidR="008576C1" w:rsidRPr="00CC141B" w:rsidRDefault="008576C1" w:rsidP="008576C1">
      <w:pPr>
        <w:pStyle w:val="Heading2"/>
      </w:pPr>
      <w:r w:rsidRPr="00CC141B">
        <w:t>Study participant recruitment, diagnosis and treatment.</w:t>
      </w:r>
    </w:p>
    <w:p w14:paraId="75CF5756" w14:textId="77777777" w:rsidR="008576C1" w:rsidRPr="00F77C0F" w:rsidRDefault="008576C1" w:rsidP="008576C1">
      <w:r w:rsidRPr="00CC141B">
        <w:t xml:space="preserve">Briefly, the percentage of affected lung was graded using visual estimation of the extent of opacification, cavitation or pathology by CXR, with dense consolidation demonstrating a percentage of 90 – 100% for a quadrant, while less dense infiltrates attracting a lesser percentage. The total score of the percentage of affected lung (%) + the cavitation score (40 if present or 0 if not) was used to determine the overall chest x-ray score. All TB patients were screened for T2D at baseline and month 6 by laboratory-based HbA1c assay and, individuals with an HbA1c </w:t>
      </w:r>
      <w:r w:rsidRPr="00CC141B">
        <w:sym w:font="Symbol" w:char="F0B3"/>
      </w:r>
      <w:r w:rsidRPr="00CC141B">
        <w:t xml:space="preserve"> 6.5% and random plasma glucose </w:t>
      </w:r>
      <w:r w:rsidRPr="00CC141B">
        <w:sym w:font="Symbol" w:char="F0B3"/>
      </w:r>
      <w:r w:rsidRPr="00CC141B">
        <w:t xml:space="preserve"> 200 mg/dL at both time points were considered to have TB-T2D co-morbidity. Baseline samples were collected prior to treatment. All TB patients had drug-susceptible pulmonary TB and were on standard TB treatment (isoniazid, rifampicin, ethambutol and pyrazinamide for the first two months, followed by isoniazid and rifampicin for four months) in accordance with the South African National Tuberculosis Program. All TB patients irrespective of T2D co-morbidity completed &gt; 80% of their TB medication and were cured </w:t>
      </w:r>
      <w:r w:rsidRPr="00F77C0F">
        <w:t>according to WHO criteria at the end of treatment.</w:t>
      </w:r>
    </w:p>
    <w:p w14:paraId="2E5676A7" w14:textId="77777777" w:rsidR="008576C1" w:rsidRPr="00F77C0F" w:rsidRDefault="008576C1" w:rsidP="008576C1">
      <w:r w:rsidRPr="00F77C0F">
        <w:t xml:space="preserve">Participants with LTBI were close contacts of TB patients, recruited as part of the NIH funded ALERT study and tested positive on QuantiFERON-TB Gold in tube assay. T2D status was determined as described above for TB patients. Participants were excluded from the study if they were pregnant, HIV positive, had </w:t>
      </w:r>
      <w:proofErr w:type="gramStart"/>
      <w:r w:rsidRPr="00F77C0F">
        <w:t>drug-resistant</w:t>
      </w:r>
      <w:proofErr w:type="gramEnd"/>
      <w:r w:rsidRPr="00F77C0F">
        <w:t xml:space="preserve"> </w:t>
      </w:r>
      <w:proofErr w:type="spellStart"/>
      <w:r w:rsidRPr="00F77C0F">
        <w:t>Mtb</w:t>
      </w:r>
      <w:proofErr w:type="spellEnd"/>
      <w:r w:rsidRPr="00F77C0F">
        <w:t xml:space="preserve"> </w:t>
      </w:r>
      <w:r w:rsidRPr="00CC141B">
        <w:t>or were using immunosuppressive drugs</w:t>
      </w:r>
      <w:r w:rsidRPr="00F77C0F">
        <w:t xml:space="preserve">. </w:t>
      </w:r>
    </w:p>
    <w:p w14:paraId="4612BA9C" w14:textId="77777777" w:rsidR="008576C1" w:rsidRPr="00F77C0F" w:rsidRDefault="008576C1" w:rsidP="008576C1">
      <w:pPr>
        <w:pStyle w:val="Heading2"/>
      </w:pPr>
      <w:proofErr w:type="spellStart"/>
      <w:r w:rsidRPr="00F77C0F">
        <w:t>Quantiferon</w:t>
      </w:r>
      <w:proofErr w:type="spellEnd"/>
      <w:r w:rsidRPr="00F77C0F">
        <w:t>-TB gold in tube (QFT) assay</w:t>
      </w:r>
    </w:p>
    <w:p w14:paraId="578DD99F" w14:textId="77777777" w:rsidR="008576C1" w:rsidRPr="00CC141B" w:rsidRDefault="008576C1" w:rsidP="008576C1">
      <w:r w:rsidRPr="00CC141B">
        <w:t xml:space="preserve">One mL of blood, collected in a </w:t>
      </w:r>
      <w:proofErr w:type="spellStart"/>
      <w:r w:rsidRPr="00CC141B">
        <w:t>LiHep</w:t>
      </w:r>
      <w:proofErr w:type="spellEnd"/>
      <w:r w:rsidRPr="00CC141B">
        <w:t xml:space="preserve"> tube (1x 4 mL), was transferred to each of the three QFT tubes (nil tube containing no additives; </w:t>
      </w:r>
      <w:proofErr w:type="spellStart"/>
      <w:r w:rsidRPr="00CC141B">
        <w:t>Mtb</w:t>
      </w:r>
      <w:proofErr w:type="spellEnd"/>
      <w:r w:rsidRPr="00CC141B">
        <w:t xml:space="preserve">-Ag tube coated with an antigen cocktail including ESAT 6, CFP-10 and TB 7.7 specific for </w:t>
      </w:r>
      <w:proofErr w:type="spellStart"/>
      <w:r w:rsidRPr="00CC141B">
        <w:t>Mtb</w:t>
      </w:r>
      <w:proofErr w:type="spellEnd"/>
      <w:r w:rsidRPr="00CC141B">
        <w:t xml:space="preserve"> and, the mitogen tube containing </w:t>
      </w:r>
      <w:proofErr w:type="spellStart"/>
      <w:r w:rsidRPr="00CC141B">
        <w:t>phytohaemagglutin</w:t>
      </w:r>
      <w:proofErr w:type="spellEnd"/>
      <w:r w:rsidRPr="00CC141B">
        <w:t xml:space="preserve">-P (PHA)) of the QFT assay (Qiagen, Hilden, Germany) and processed following the manufacturer’s instructions. After incubation at 37°C for 16-22h, blood was transferred from the QFT tubes into 2 mL cryogenic vials (Sigma-Aldrich, Missouri, USA) and centrifuged for 15 min at 15,000 x g. The supernatants were stored at -80°C and the pellet stored in </w:t>
      </w:r>
      <w:proofErr w:type="spellStart"/>
      <w:r w:rsidRPr="00CC141B">
        <w:t>RNA</w:t>
      </w:r>
      <w:r w:rsidRPr="00CC141B">
        <w:rPr>
          <w:i/>
        </w:rPr>
        <w:t>Later</w:t>
      </w:r>
      <w:proofErr w:type="spellEnd"/>
      <w:r w:rsidRPr="00CC141B">
        <w:rPr>
          <w:i/>
        </w:rPr>
        <w:t xml:space="preserve"> </w:t>
      </w:r>
      <w:r w:rsidRPr="00CC141B">
        <w:t>(Thermo Fisher Scientific, Virginia, USA) at 4°C overnight, before being transferred to -80°C. The preserved QFT pellets were used for RNA extractions and the supernatants used to measure IFN-</w:t>
      </w:r>
      <w:r w:rsidRPr="00602EF7">
        <w:rPr>
          <w:rFonts w:ascii="Symbol" w:hAnsi="Symbol"/>
        </w:rPr>
        <w:t></w:t>
      </w:r>
      <w:r w:rsidRPr="00CC141B">
        <w:t xml:space="preserve"> concentrations by ELISA. </w:t>
      </w:r>
    </w:p>
    <w:p w14:paraId="77E298A0" w14:textId="77777777" w:rsidR="008576C1" w:rsidRPr="00CC141B" w:rsidRDefault="008576C1" w:rsidP="008576C1">
      <w:pPr>
        <w:pStyle w:val="Heading2"/>
      </w:pPr>
      <w:r w:rsidRPr="00CC141B">
        <w:t xml:space="preserve">siRNA transfection </w:t>
      </w:r>
    </w:p>
    <w:p w14:paraId="4B063998" w14:textId="77777777" w:rsidR="008576C1" w:rsidRPr="00CC141B" w:rsidRDefault="008576C1" w:rsidP="008576C1">
      <w:r w:rsidRPr="00CC141B">
        <w:t xml:space="preserve">Delivery of GPR183 siRNA (Silencer Select siRNA #s4430, Thermo Fisher Scientific) into primary MN or differentiated THP-1 cells was performed using Lipofectamine </w:t>
      </w:r>
      <w:proofErr w:type="spellStart"/>
      <w:r w:rsidRPr="00CC141B">
        <w:t>RNAiMAX</w:t>
      </w:r>
      <w:proofErr w:type="spellEnd"/>
      <w:r w:rsidRPr="00CC141B">
        <w:t xml:space="preserve"> (Thermo Fisher Scientific) in a 96-well format with 1.3 x 10</w:t>
      </w:r>
      <w:r w:rsidRPr="00CC141B">
        <w:rPr>
          <w:vertAlign w:val="superscript"/>
        </w:rPr>
        <w:t>5</w:t>
      </w:r>
      <w:r w:rsidRPr="00CC141B">
        <w:t xml:space="preserve"> cells/well or 6 x 10</w:t>
      </w:r>
      <w:r w:rsidRPr="00CC141B">
        <w:rPr>
          <w:vertAlign w:val="superscript"/>
        </w:rPr>
        <w:t>4</w:t>
      </w:r>
      <w:r w:rsidRPr="00CC141B">
        <w:t xml:space="preserve"> cells/well, respectively. Cells were incubated with 0.6 </w:t>
      </w:r>
      <w:r w:rsidRPr="00602EF7">
        <w:rPr>
          <w:rFonts w:ascii="Symbol" w:hAnsi="Symbol"/>
        </w:rPr>
        <w:t></w:t>
      </w:r>
      <w:r w:rsidRPr="00CC141B">
        <w:t xml:space="preserve">L Lipofectamine </w:t>
      </w:r>
      <w:proofErr w:type="spellStart"/>
      <w:r w:rsidRPr="00CC141B">
        <w:t>RNAiMAX</w:t>
      </w:r>
      <w:proofErr w:type="spellEnd"/>
      <w:r w:rsidRPr="00CC141B">
        <w:t xml:space="preserve"> and 20 </w:t>
      </w:r>
      <w:proofErr w:type="spellStart"/>
      <w:r w:rsidRPr="00CC141B">
        <w:t>nM</w:t>
      </w:r>
      <w:proofErr w:type="spellEnd"/>
      <w:r w:rsidRPr="00CC141B">
        <w:t xml:space="preserve"> GPR183 siRNA or Silencer Select Negative Control No. 1 siRNA (Thermo Fisher Scientific) in </w:t>
      </w:r>
      <w:proofErr w:type="spellStart"/>
      <w:r w:rsidRPr="00CC141B">
        <w:t>OptiMEM</w:t>
      </w:r>
      <w:proofErr w:type="spellEnd"/>
      <w:r w:rsidRPr="00CC141B">
        <w:t xml:space="preserve"> I Reduced Serum medium (Thermo Fisher Scientific) for 48h before further experiments. Knockdown efficiency was measured by qPCR and by flow cytometry 48h after transfection.</w:t>
      </w:r>
    </w:p>
    <w:p w14:paraId="48DC65A5" w14:textId="77777777" w:rsidR="008576C1" w:rsidRPr="00CC141B" w:rsidRDefault="008576C1" w:rsidP="008576C1">
      <w:pPr>
        <w:pStyle w:val="Heading2"/>
      </w:pPr>
      <w:r w:rsidRPr="00CC141B">
        <w:lastRenderedPageBreak/>
        <w:t>RNA Isolation, cDNA synthesis and Quantification of gene expression</w:t>
      </w:r>
    </w:p>
    <w:p w14:paraId="4A343439" w14:textId="77777777" w:rsidR="008576C1" w:rsidRPr="00CC141B" w:rsidRDefault="008576C1" w:rsidP="008576C1">
      <w:r w:rsidRPr="00CC141B">
        <w:t xml:space="preserve">MNs infected with </w:t>
      </w:r>
      <w:proofErr w:type="spellStart"/>
      <w:r w:rsidRPr="00CC141B">
        <w:rPr>
          <w:iCs/>
        </w:rPr>
        <w:t>Mtb</w:t>
      </w:r>
      <w:proofErr w:type="spellEnd"/>
      <w:r w:rsidRPr="00CC141B">
        <w:t xml:space="preserve"> H</w:t>
      </w:r>
      <w:r w:rsidRPr="00CC141B">
        <w:rPr>
          <w:vertAlign w:val="subscript"/>
        </w:rPr>
        <w:t>37</w:t>
      </w:r>
      <w:r w:rsidRPr="00CC141B">
        <w:t>R</w:t>
      </w:r>
      <w:r w:rsidRPr="00CC141B">
        <w:rPr>
          <w:vertAlign w:val="subscript"/>
        </w:rPr>
        <w:t>v</w:t>
      </w:r>
      <w:r w:rsidRPr="00CC141B">
        <w:t xml:space="preserve"> were lysed by adding 500 </w:t>
      </w:r>
      <w:r w:rsidRPr="00602EF7">
        <w:rPr>
          <w:rFonts w:ascii="Symbol" w:hAnsi="Symbol"/>
        </w:rPr>
        <w:t></w:t>
      </w:r>
      <w:r w:rsidRPr="00CC141B">
        <w:t xml:space="preserve">l of </w:t>
      </w:r>
      <w:proofErr w:type="spellStart"/>
      <w:r w:rsidRPr="00CC141B">
        <w:t>TRIzol</w:t>
      </w:r>
      <w:proofErr w:type="spellEnd"/>
      <w:r w:rsidRPr="00CC141B">
        <w:t xml:space="preserve"> reagent. Subsequently, </w:t>
      </w:r>
      <w:r w:rsidRPr="00F77C0F">
        <w:t xml:space="preserve">100 </w:t>
      </w:r>
      <w:r w:rsidRPr="00F77C0F">
        <w:rPr>
          <w:rFonts w:ascii="Symbol" w:hAnsi="Symbol"/>
        </w:rPr>
        <w:t></w:t>
      </w:r>
      <w:r w:rsidRPr="00F77C0F">
        <w:t xml:space="preserve">l of cold chloroform was added, followed by centrifugation at 12,000 x </w:t>
      </w:r>
      <w:r w:rsidRPr="00F77C0F">
        <w:rPr>
          <w:i/>
        </w:rPr>
        <w:t>g</w:t>
      </w:r>
      <w:r w:rsidRPr="00F77C0F">
        <w:t>, 4</w:t>
      </w:r>
      <w:r w:rsidRPr="00F77C0F">
        <w:rPr>
          <w:vertAlign w:val="superscript"/>
        </w:rPr>
        <w:t>o</w:t>
      </w:r>
      <w:r w:rsidRPr="00F77C0F">
        <w:t>C, and the resulting upper aqueous RNA-containing phase was collected for further RNA isolation. Total RNA was isolated using ISOLATE II RNA Mini kit (</w:t>
      </w:r>
      <w:proofErr w:type="spellStart"/>
      <w:r w:rsidRPr="00F77C0F">
        <w:t>Bioline</w:t>
      </w:r>
      <w:proofErr w:type="spellEnd"/>
      <w:r w:rsidRPr="00F77C0F">
        <w:t>, London, UK) according to the manufacturer’s protocol with on-column DNase digestion. RNA quantity and the 260/280 and 260/230 ratios were</w:t>
      </w:r>
      <w:r w:rsidRPr="00CC141B">
        <w:t xml:space="preserve"> measured using nanodrop spectrophotometer. Up to 1 </w:t>
      </w:r>
      <w:r w:rsidRPr="00CC141B">
        <w:sym w:font="Symbol" w:char="F06D"/>
      </w:r>
      <w:r w:rsidRPr="00CC141B">
        <w:t>g of RNA from each sample was reverse transcribed using Tetro cDNA Synthesis Kit (</w:t>
      </w:r>
      <w:proofErr w:type="spellStart"/>
      <w:r w:rsidRPr="00CC141B">
        <w:t>Bioline</w:t>
      </w:r>
      <w:proofErr w:type="spellEnd"/>
      <w:r w:rsidRPr="00CC141B">
        <w:t>) according to manufacturer’s protocol (45</w:t>
      </w:r>
      <w:r w:rsidRPr="00CC141B">
        <w:rPr>
          <w:vertAlign w:val="superscript"/>
        </w:rPr>
        <w:t>o</w:t>
      </w:r>
      <w:r w:rsidRPr="00CC141B">
        <w:t>C for 30 min, 85</w:t>
      </w:r>
      <w:r w:rsidRPr="00CC141B">
        <w:rPr>
          <w:vertAlign w:val="superscript"/>
        </w:rPr>
        <w:t>o</w:t>
      </w:r>
      <w:r w:rsidRPr="00CC141B">
        <w:t>C for 5 min).  The cDNA product was stored at -20</w:t>
      </w:r>
      <w:r w:rsidRPr="00CC141B">
        <w:rPr>
          <w:vertAlign w:val="superscript"/>
        </w:rPr>
        <w:t>o</w:t>
      </w:r>
      <w:r w:rsidRPr="00CC141B">
        <w:t xml:space="preserve">C until further use. Quantification of gene expressions was performed with the </w:t>
      </w:r>
      <w:proofErr w:type="spellStart"/>
      <w:r w:rsidRPr="00CC141B">
        <w:t>QuantStudio</w:t>
      </w:r>
      <w:proofErr w:type="spellEnd"/>
      <w:r w:rsidRPr="00CC141B">
        <w:t xml:space="preserve"> 7 Flex Real-Time PCR system (Thermo Fisher Scientific) using </w:t>
      </w:r>
      <w:proofErr w:type="spellStart"/>
      <w:r w:rsidRPr="00CC141B">
        <w:t>SensiFAST</w:t>
      </w:r>
      <w:proofErr w:type="spellEnd"/>
      <w:r w:rsidRPr="00CC141B">
        <w:t xml:space="preserve"> SYBR Lo-ROX kit (</w:t>
      </w:r>
      <w:proofErr w:type="spellStart"/>
      <w:r w:rsidRPr="00CC141B">
        <w:t>Bioline</w:t>
      </w:r>
      <w:proofErr w:type="spellEnd"/>
      <w:r w:rsidRPr="00CC141B">
        <w:t xml:space="preserve">). A list of primers used can be found in S1 Table. </w:t>
      </w:r>
    </w:p>
    <w:p w14:paraId="4FC43AE9" w14:textId="77777777" w:rsidR="008576C1" w:rsidRPr="00CC141B" w:rsidRDefault="008576C1" w:rsidP="008576C1">
      <w:r w:rsidRPr="00CC141B">
        <w:t>Cycle conditions were 95</w:t>
      </w:r>
      <w:r w:rsidRPr="00CC141B">
        <w:rPr>
          <w:vertAlign w:val="superscript"/>
        </w:rPr>
        <w:t>o</w:t>
      </w:r>
      <w:r w:rsidRPr="00CC141B">
        <w:t>C for 10 min, followed by 40 cycles of 95</w:t>
      </w:r>
      <w:r w:rsidRPr="00CC141B">
        <w:rPr>
          <w:vertAlign w:val="superscript"/>
        </w:rPr>
        <w:t>o</w:t>
      </w:r>
      <w:r w:rsidRPr="00CC141B">
        <w:t>C for 15 s and 60</w:t>
      </w:r>
      <w:r w:rsidRPr="00CC141B">
        <w:rPr>
          <w:vertAlign w:val="superscript"/>
        </w:rPr>
        <w:t>o</w:t>
      </w:r>
      <w:r w:rsidRPr="00CC141B">
        <w:t>C for 30 s. Melt curves were obtained by gradually increasing the temperature from 60</w:t>
      </w:r>
      <w:r w:rsidRPr="00CC141B">
        <w:rPr>
          <w:vertAlign w:val="superscript"/>
        </w:rPr>
        <w:t>o</w:t>
      </w:r>
      <w:r w:rsidRPr="00CC141B">
        <w:t>C to 95</w:t>
      </w:r>
      <w:r w:rsidRPr="00CC141B">
        <w:rPr>
          <w:vertAlign w:val="superscript"/>
        </w:rPr>
        <w:t>o</w:t>
      </w:r>
      <w:r w:rsidRPr="00CC141B">
        <w:t>C with 0.05</w:t>
      </w:r>
      <w:r w:rsidRPr="00CC141B">
        <w:rPr>
          <w:vertAlign w:val="superscript"/>
        </w:rPr>
        <w:t>o</w:t>
      </w:r>
      <w:r w:rsidRPr="00CC141B">
        <w:t>C/s increment.</w:t>
      </w:r>
    </w:p>
    <w:p w14:paraId="3614CC12" w14:textId="77777777" w:rsidR="008576C1" w:rsidRPr="00CC141B" w:rsidRDefault="008576C1" w:rsidP="008576C1">
      <w:pPr>
        <w:pStyle w:val="Heading2"/>
      </w:pPr>
      <w:r w:rsidRPr="00CC141B">
        <w:t>Flow cytometry</w:t>
      </w:r>
    </w:p>
    <w:p w14:paraId="56E596B2" w14:textId="77777777" w:rsidR="008576C1" w:rsidRPr="00CC141B" w:rsidRDefault="008576C1" w:rsidP="008576C1">
      <w:pPr>
        <w:rPr>
          <w:iCs/>
        </w:rPr>
      </w:pPr>
      <w:r w:rsidRPr="00CC141B">
        <w:rPr>
          <w:iCs/>
        </w:rPr>
        <w:t xml:space="preserve">THP-1 cells were detached using PBS containing 5 mM EDTA 48h after siRNA transfection and incubated with human </w:t>
      </w:r>
      <w:proofErr w:type="spellStart"/>
      <w:r w:rsidRPr="00CC141B">
        <w:rPr>
          <w:iCs/>
        </w:rPr>
        <w:t>FcR</w:t>
      </w:r>
      <w:proofErr w:type="spellEnd"/>
      <w:r w:rsidRPr="00CC141B">
        <w:rPr>
          <w:iCs/>
        </w:rPr>
        <w:t xml:space="preserve"> binding reagent (</w:t>
      </w:r>
      <w:proofErr w:type="spellStart"/>
      <w:r w:rsidRPr="00CC141B">
        <w:rPr>
          <w:iCs/>
        </w:rPr>
        <w:t>eBioscience</w:t>
      </w:r>
      <w:proofErr w:type="spellEnd"/>
      <w:r w:rsidRPr="00CC141B">
        <w:rPr>
          <w:iCs/>
        </w:rPr>
        <w:t>) for 15 min. Mouse anti-human GPR183 BV421 antibody (</w:t>
      </w:r>
      <w:proofErr w:type="spellStart"/>
      <w:r w:rsidRPr="00CC141B">
        <w:rPr>
          <w:iCs/>
        </w:rPr>
        <w:t>Biolegend</w:t>
      </w:r>
      <w:proofErr w:type="spellEnd"/>
      <w:r w:rsidRPr="00CC141B">
        <w:rPr>
          <w:iCs/>
        </w:rPr>
        <w:t xml:space="preserve">, 368910) was added and cells were incubated on ice for an additional 20 min. Cells were washed and resuspended in FACS buffer (PBS, 1% FBS, 2 mM EDTA) and events acquired on a LST </w:t>
      </w:r>
      <w:proofErr w:type="spellStart"/>
      <w:r w:rsidRPr="00CC141B">
        <w:rPr>
          <w:iCs/>
        </w:rPr>
        <w:t>Fortessa</w:t>
      </w:r>
      <w:proofErr w:type="spellEnd"/>
      <w:r w:rsidRPr="00CC141B">
        <w:rPr>
          <w:iCs/>
        </w:rPr>
        <w:t xml:space="preserve"> X-20 flow cytometer (BD Biosciences). Data were analyzed using FACS DIVA.</w:t>
      </w:r>
    </w:p>
    <w:p w14:paraId="40D3016E" w14:textId="77777777" w:rsidR="008576C1" w:rsidRPr="00CC141B" w:rsidRDefault="008576C1" w:rsidP="008576C1">
      <w:pPr>
        <w:pStyle w:val="Heading2"/>
      </w:pPr>
      <w:r w:rsidRPr="00CC141B">
        <w:t>Cytokine measurements</w:t>
      </w:r>
      <w:r w:rsidRPr="00CC141B">
        <w:tab/>
      </w:r>
    </w:p>
    <w:p w14:paraId="79EABFD6" w14:textId="77777777" w:rsidR="008576C1" w:rsidRPr="00CC141B" w:rsidRDefault="008576C1" w:rsidP="008576C1">
      <w:r w:rsidRPr="00CC141B">
        <w:t>Concentrations of cytokines (TNF-</w:t>
      </w:r>
      <w:r w:rsidRPr="00CC141B">
        <w:sym w:font="Symbol" w:char="F061"/>
      </w:r>
      <w:r w:rsidRPr="00CC141B">
        <w:t>, IL-1</w:t>
      </w:r>
      <w:r w:rsidRPr="00CC141B">
        <w:rPr>
          <w:szCs w:val="24"/>
        </w:rPr>
        <w:t>β</w:t>
      </w:r>
      <w:r w:rsidRPr="00CC141B">
        <w:t xml:space="preserve">, </w:t>
      </w:r>
      <w:r w:rsidRPr="00CC141B">
        <w:rPr>
          <w:szCs w:val="24"/>
        </w:rPr>
        <w:t>IFN-γ, IFN-</w:t>
      </w:r>
      <w:bookmarkStart w:id="0" w:name="OLE_LINK3"/>
      <w:r w:rsidRPr="00CC141B">
        <w:rPr>
          <w:szCs w:val="24"/>
        </w:rPr>
        <w:t>β</w:t>
      </w:r>
      <w:bookmarkEnd w:id="0"/>
      <w:r>
        <w:rPr>
          <w:szCs w:val="24"/>
        </w:rPr>
        <w:t>, IL-10</w:t>
      </w:r>
      <w:r w:rsidRPr="00CC141B">
        <w:t xml:space="preserve">) secreted into the culture supernatant in response to </w:t>
      </w:r>
      <w:proofErr w:type="spellStart"/>
      <w:r w:rsidRPr="00CC141B">
        <w:rPr>
          <w:iCs/>
        </w:rPr>
        <w:t>Mtb</w:t>
      </w:r>
      <w:proofErr w:type="spellEnd"/>
      <w:r w:rsidRPr="00CC141B">
        <w:t xml:space="preserve"> H</w:t>
      </w:r>
      <w:r w:rsidRPr="00CC141B">
        <w:rPr>
          <w:vertAlign w:val="subscript"/>
        </w:rPr>
        <w:t>37</w:t>
      </w:r>
      <w:r w:rsidRPr="00CC141B">
        <w:t>R</w:t>
      </w:r>
      <w:r w:rsidRPr="00CC141B">
        <w:rPr>
          <w:vertAlign w:val="subscript"/>
        </w:rPr>
        <w:t xml:space="preserve">v </w:t>
      </w:r>
      <w:r w:rsidRPr="00CC141B">
        <w:t>infection and</w:t>
      </w:r>
      <w:r w:rsidRPr="00CC141B">
        <w:rPr>
          <w:szCs w:val="24"/>
        </w:rPr>
        <w:t xml:space="preserve"> cell free supernatants</w:t>
      </w:r>
      <w:r w:rsidRPr="00CC141B">
        <w:t xml:space="preserve"> </w:t>
      </w:r>
      <w:r w:rsidRPr="00CC141B">
        <w:rPr>
          <w:szCs w:val="24"/>
        </w:rPr>
        <w:t xml:space="preserve">from lung homogenates of </w:t>
      </w:r>
      <w:proofErr w:type="spellStart"/>
      <w:r w:rsidRPr="00CC141B">
        <w:rPr>
          <w:i/>
          <w:iCs/>
          <w:szCs w:val="24"/>
        </w:rPr>
        <w:t>Mtb</w:t>
      </w:r>
      <w:proofErr w:type="spellEnd"/>
      <w:r w:rsidRPr="00CC141B">
        <w:rPr>
          <w:szCs w:val="24"/>
        </w:rPr>
        <w:t>-infected mice</w:t>
      </w:r>
      <w:r w:rsidRPr="00CC141B">
        <w:t xml:space="preserve"> were measured by </w:t>
      </w:r>
      <w:proofErr w:type="spellStart"/>
      <w:r w:rsidRPr="00CC141B">
        <w:t>DuoSet</w:t>
      </w:r>
      <w:proofErr w:type="spellEnd"/>
      <w:r w:rsidRPr="00CC141B">
        <w:t xml:space="preserve"> ELISA Kit (R&amp;D Systems) according to the manufacturer’s protocol. </w:t>
      </w:r>
    </w:p>
    <w:p w14:paraId="3DCE5DA4" w14:textId="77777777" w:rsidR="008576C1" w:rsidRPr="00CC141B" w:rsidRDefault="008576C1" w:rsidP="008576C1">
      <w:pPr>
        <w:pStyle w:val="Heading2"/>
      </w:pPr>
      <w:r w:rsidRPr="00CC141B">
        <w:t>Histopathology</w:t>
      </w:r>
    </w:p>
    <w:p w14:paraId="30EB41CF" w14:textId="4F2A3C21" w:rsidR="008576C1" w:rsidRPr="00CC141B" w:rsidRDefault="008576C1" w:rsidP="008576C1">
      <w:pPr>
        <w:rPr>
          <w:rFonts w:eastAsia="TimesNewRomanPSMT"/>
        </w:rPr>
      </w:pPr>
      <w:r w:rsidRPr="00CC141B">
        <w:rPr>
          <w:rFonts w:eastAsia="TimesNewRomanPSMT"/>
        </w:rPr>
        <w:t xml:space="preserve">The following features were assessed individually and combined for a total lung score: </w:t>
      </w:r>
      <w:proofErr w:type="spellStart"/>
      <w:r w:rsidRPr="00CC141B">
        <w:rPr>
          <w:rFonts w:eastAsia="TimesNewRomanPSMT"/>
        </w:rPr>
        <w:t>peribronchiolitis</w:t>
      </w:r>
      <w:proofErr w:type="spellEnd"/>
      <w:r w:rsidRPr="00CC141B">
        <w:rPr>
          <w:rFonts w:eastAsia="TimesNewRomanPSMT"/>
        </w:rPr>
        <w:t xml:space="preserve">, perivascular leukocyte infiltration (“perivasculitis”), alveolitis, “granuloma” formation (i.e., granulomatous inflammation), and necrosis, as described in details previously </w:t>
      </w:r>
      <w:r w:rsidRPr="00CC141B">
        <w:rPr>
          <w:rFonts w:eastAsia="TimesNewRomanPSMT"/>
        </w:rPr>
        <w:fldChar w:fldCharType="begin">
          <w:fldData xml:space="preserve">PEVuZE5vdGU+PENpdGU+PEF1dGhvcj5GbG9yZXMtVmFsZGV6PC9BdXRob3I+PFllYXI+MjAxODwv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</w:fldData>
        </w:fldChar>
      </w:r>
      <w:r w:rsidR="00893A30">
        <w:rPr>
          <w:rFonts w:eastAsia="TimesNewRomanPSMT"/>
        </w:rPr>
        <w:instrText xml:space="preserve"> ADDIN EN.CITE </w:instrText>
      </w:r>
      <w:r w:rsidR="00893A30">
        <w:rPr>
          <w:rFonts w:eastAsia="TimesNewRomanPSMT"/>
        </w:rPr>
        <w:fldChar w:fldCharType="begin">
          <w:fldData xml:space="preserve">PEVuZE5vdGU+PENpdGU+PEF1dGhvcj5GbG9yZXMtVmFsZGV6PC9BdXRob3I+PFllYXI+MjAxODwv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</w:fldData>
        </w:fldChar>
      </w:r>
      <w:r w:rsidR="00893A30">
        <w:rPr>
          <w:rFonts w:eastAsia="TimesNewRomanPSMT"/>
        </w:rPr>
        <w:instrText xml:space="preserve"> ADDIN EN.CITE.DATA </w:instrText>
      </w:r>
      <w:r w:rsidR="00893A30">
        <w:rPr>
          <w:rFonts w:eastAsia="TimesNewRomanPSMT"/>
        </w:rPr>
      </w:r>
      <w:r w:rsidR="00893A30">
        <w:rPr>
          <w:rFonts w:eastAsia="TimesNewRomanPSMT"/>
        </w:rPr>
        <w:fldChar w:fldCharType="end"/>
      </w:r>
      <w:r w:rsidRPr="00CC141B">
        <w:rPr>
          <w:rFonts w:eastAsia="TimesNewRomanPSMT"/>
        </w:rPr>
      </w:r>
      <w:r w:rsidRPr="00CC141B">
        <w:rPr>
          <w:rFonts w:eastAsia="TimesNewRomanPSMT"/>
        </w:rPr>
        <w:fldChar w:fldCharType="separate"/>
      </w:r>
      <w:r w:rsidR="00893A30">
        <w:rPr>
          <w:rFonts w:eastAsia="TimesNewRomanPSMT"/>
          <w:noProof/>
        </w:rPr>
        <w:t>(Flores-Valdez et al., 2018)</w:t>
      </w:r>
      <w:r w:rsidRPr="00CC141B">
        <w:rPr>
          <w:rFonts w:eastAsia="TimesNewRomanPSMT"/>
        </w:rPr>
        <w:fldChar w:fldCharType="end"/>
      </w:r>
      <w:r w:rsidRPr="00CC141B">
        <w:rPr>
          <w:rFonts w:eastAsia="TimesNewRomanPSMT"/>
        </w:rPr>
        <w:t xml:space="preserve">, using a Nikon Eclipse 50i microscope with objectives ranging from 2x-60x. </w:t>
      </w:r>
    </w:p>
    <w:p w14:paraId="4C4864E3" w14:textId="6E7BD161" w:rsidR="008576C1" w:rsidRPr="00CC141B" w:rsidRDefault="008D6EDC" w:rsidP="008576C1">
      <w:r>
        <w:rPr>
          <w:noProof/>
        </w:rPr>
        <w:lastRenderedPageBreak/>
        <w:drawing>
          <wp:inline distT="0" distB="0" distL="0" distR="0" wp14:anchorId="1F1C6AA4" wp14:editId="019D42C2">
            <wp:extent cx="5753100" cy="5981700"/>
            <wp:effectExtent l="0" t="0" r="0"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3100" cy="5981700"/>
                    </a:xfrm>
                    <a:prstGeom prst="rect">
                      <a:avLst/>
                    </a:prstGeom>
                  </pic:spPr>
                </pic:pic>
              </a:graphicData>
            </a:graphic>
          </wp:inline>
        </w:drawing>
      </w:r>
    </w:p>
    <w:p w14:paraId="10532545" w14:textId="262873C7" w:rsidR="008576C1" w:rsidRPr="00CC141B" w:rsidRDefault="008576C1" w:rsidP="008576C1">
      <w:r w:rsidRPr="008576C1">
        <w:rPr>
          <w:b/>
          <w:bCs/>
        </w:rPr>
        <w:t>Supplementary figure 1.</w:t>
      </w:r>
      <w:r w:rsidRPr="00CC141B">
        <w:t xml:space="preserve"> GPR183+ non classical monocytes </w:t>
      </w:r>
      <w:r w:rsidR="00F839AA">
        <w:t xml:space="preserve">in PBMCs </w:t>
      </w:r>
      <w:r w:rsidRPr="00CC141B">
        <w:t>from TB and TB-T2D patients</w:t>
      </w:r>
      <w:r>
        <w:t xml:space="preserve"> </w:t>
      </w:r>
      <w:r w:rsidRPr="008576C1">
        <w:rPr>
          <w:b/>
          <w:bCs/>
        </w:rPr>
        <w:t>(A)</w:t>
      </w:r>
      <w:r>
        <w:t xml:space="preserve"> frequency </w:t>
      </w:r>
      <w:r w:rsidR="00F839AA">
        <w:t xml:space="preserve">and </w:t>
      </w:r>
      <w:r w:rsidRPr="008576C1">
        <w:rPr>
          <w:b/>
          <w:bCs/>
        </w:rPr>
        <w:t>(B)</w:t>
      </w:r>
      <w:r>
        <w:t xml:space="preserve"> </w:t>
      </w:r>
      <w:bookmarkStart w:id="1" w:name="OLE_LINK9"/>
      <w:r>
        <w:t>median fluorescent intensity</w:t>
      </w:r>
      <w:bookmarkEnd w:id="1"/>
      <w:r w:rsidRPr="00CC141B">
        <w:t xml:space="preserve"> on non-classical monocytes (GPR183</w:t>
      </w:r>
      <w:r w:rsidRPr="00CC141B">
        <w:rPr>
          <w:vertAlign w:val="superscript"/>
        </w:rPr>
        <w:t xml:space="preserve">+ </w:t>
      </w:r>
      <w:r w:rsidRPr="00CC141B">
        <w:t>CD14</w:t>
      </w:r>
      <w:r w:rsidRPr="00CC141B">
        <w:rPr>
          <w:vertAlign w:val="superscript"/>
        </w:rPr>
        <w:t xml:space="preserve">- </w:t>
      </w:r>
      <w:r w:rsidRPr="00CC141B">
        <w:t>CD16</w:t>
      </w:r>
      <w:r w:rsidRPr="00CC141B">
        <w:rPr>
          <w:vertAlign w:val="superscript"/>
        </w:rPr>
        <w:t>+</w:t>
      </w:r>
      <w:r w:rsidRPr="00CC141B">
        <w:t xml:space="preserve">). </w:t>
      </w:r>
      <w:r w:rsidR="00F839AA" w:rsidRPr="00FB0AF2">
        <w:rPr>
          <w:b/>
          <w:bCs/>
        </w:rPr>
        <w:t>(C)</w:t>
      </w:r>
      <w:r w:rsidR="00F839AA">
        <w:t xml:space="preserve"> Frequency of GPR183+ non classical monocytes in PBMCs from LTBI and LTBI+T2D patients; </w:t>
      </w:r>
      <w:r w:rsidRPr="00CC141B">
        <w:t xml:space="preserve">Data are presented as ± SEM; *, </w:t>
      </w:r>
      <w:r w:rsidRPr="00CC141B">
        <w:rPr>
          <w:i/>
        </w:rPr>
        <w:t xml:space="preserve">P </w:t>
      </w:r>
      <w:r w:rsidRPr="00CC141B">
        <w:rPr>
          <w:color w:val="222222"/>
          <w:sz w:val="21"/>
          <w:szCs w:val="21"/>
          <w:shd w:val="clear" w:color="auto" w:fill="FFFFFF"/>
        </w:rPr>
        <w:t>≤</w:t>
      </w:r>
      <w:r w:rsidRPr="00CC141B">
        <w:t xml:space="preserve"> 0.05. </w:t>
      </w:r>
      <w:r w:rsidR="00F839AA" w:rsidRPr="00FB0AF2">
        <w:rPr>
          <w:b/>
          <w:bCs/>
        </w:rPr>
        <w:t>(D)</w:t>
      </w:r>
      <w:r w:rsidR="00F839AA">
        <w:t xml:space="preserve"> Gating Strategy for GPR183 expressing non-classical monocytes.</w:t>
      </w:r>
    </w:p>
    <w:p w14:paraId="60C98282" w14:textId="77777777" w:rsidR="008576C1" w:rsidRPr="00CC141B" w:rsidRDefault="008576C1" w:rsidP="008576C1"/>
    <w:p w14:paraId="2DA0A924" w14:textId="77777777" w:rsidR="008576C1" w:rsidRPr="00CC141B" w:rsidRDefault="008576C1" w:rsidP="008576C1"/>
    <w:p w14:paraId="0785A3D9" w14:textId="77777777" w:rsidR="008576C1" w:rsidRPr="00CC141B" w:rsidRDefault="008576C1" w:rsidP="008576C1">
      <w:r w:rsidRPr="00CC141B">
        <w:rPr>
          <w:noProof/>
        </w:rPr>
        <w:lastRenderedPageBreak/>
        <w:drawing>
          <wp:inline distT="0" distB="0" distL="0" distR="0" wp14:anchorId="6ADD78F8" wp14:editId="4D76B34F">
            <wp:extent cx="5731510" cy="20231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023110"/>
                    </a:xfrm>
                    <a:prstGeom prst="rect">
                      <a:avLst/>
                    </a:prstGeom>
                    <a:noFill/>
                    <a:ln>
                      <a:noFill/>
                    </a:ln>
                  </pic:spPr>
                </pic:pic>
              </a:graphicData>
            </a:graphic>
          </wp:inline>
        </w:drawing>
      </w:r>
    </w:p>
    <w:p w14:paraId="2CEB602C" w14:textId="77777777" w:rsidR="008576C1" w:rsidRPr="00CC141B" w:rsidRDefault="008576C1" w:rsidP="008576C1">
      <w:r w:rsidRPr="008576C1">
        <w:rPr>
          <w:b/>
          <w:bCs/>
        </w:rPr>
        <w:t>Supplementary figure 2</w:t>
      </w:r>
      <w:r w:rsidRPr="00CC141B">
        <w:t xml:space="preserve">. Co-incubation with </w:t>
      </w:r>
      <w:bookmarkStart w:id="2" w:name="OLE_LINK1"/>
      <w:r w:rsidRPr="00CC141B">
        <w:t>7</w:t>
      </w:r>
      <w:r w:rsidRPr="00CC141B">
        <w:sym w:font="Symbol" w:char="F061"/>
      </w:r>
      <w:r w:rsidRPr="00CC141B">
        <w:t xml:space="preserve">,25-OHC </w:t>
      </w:r>
      <w:bookmarkEnd w:id="2"/>
      <w:r w:rsidRPr="00CC141B">
        <w:t xml:space="preserve">or GSK682753 does not affect the viability of MNs or </w:t>
      </w:r>
      <w:r>
        <w:t xml:space="preserve">Middlebrook 7H9 </w:t>
      </w:r>
      <w:r w:rsidRPr="00CC141B">
        <w:t xml:space="preserve">broth culture growth of BCG. </w:t>
      </w:r>
      <w:r w:rsidRPr="008576C1">
        <w:rPr>
          <w:b/>
          <w:bCs/>
        </w:rPr>
        <w:t>(A)</w:t>
      </w:r>
      <w:r w:rsidRPr="00CC141B">
        <w:t xml:space="preserve"> PMA-differentiated THP-1 were co-incubated with 7</w:t>
      </w:r>
      <w:r w:rsidRPr="00CC141B">
        <w:sym w:font="Symbol" w:char="F061"/>
      </w:r>
      <w:r w:rsidRPr="00CC141B">
        <w:t xml:space="preserve">,25-OHC (100 </w:t>
      </w:r>
      <w:proofErr w:type="spellStart"/>
      <w:r w:rsidRPr="00CC141B">
        <w:t>nM</w:t>
      </w:r>
      <w:proofErr w:type="spellEnd"/>
      <w:r w:rsidRPr="00CC141B">
        <w:t xml:space="preserve">) or GSK682753 (10 </w:t>
      </w:r>
      <w:r w:rsidRPr="00CC141B">
        <w:sym w:font="Symbol" w:char="F06D"/>
      </w:r>
      <w:r w:rsidRPr="00CC141B">
        <w:t xml:space="preserve">M) for 24h before cell viability was measured by adding </w:t>
      </w:r>
      <w:proofErr w:type="spellStart"/>
      <w:r w:rsidRPr="00CC141B">
        <w:t>Alamar</w:t>
      </w:r>
      <w:proofErr w:type="spellEnd"/>
      <w:r w:rsidRPr="00CC141B">
        <w:t xml:space="preserve"> Blue reagent. No significant changes in cell viability were observed (p&gt;0.05, Mann-Whitney U test). </w:t>
      </w:r>
      <w:r w:rsidRPr="008576C1">
        <w:rPr>
          <w:b/>
          <w:bCs/>
        </w:rPr>
        <w:t>(B)</w:t>
      </w:r>
      <w:r w:rsidRPr="00CC141B">
        <w:t xml:space="preserve"> </w:t>
      </w:r>
      <w:proofErr w:type="gramStart"/>
      <w:r w:rsidRPr="00CC141B">
        <w:t>7 day</w:t>
      </w:r>
      <w:proofErr w:type="gramEnd"/>
      <w:r w:rsidRPr="00CC141B">
        <w:t xml:space="preserve"> growth curve of BCG co-incubated with 7</w:t>
      </w:r>
      <w:r w:rsidRPr="00CC141B">
        <w:sym w:font="Symbol" w:char="F061"/>
      </w:r>
      <w:r w:rsidRPr="00CC141B">
        <w:t xml:space="preserve">,25-OHC (100 </w:t>
      </w:r>
      <w:proofErr w:type="spellStart"/>
      <w:r w:rsidRPr="00CC141B">
        <w:t>nM</w:t>
      </w:r>
      <w:proofErr w:type="spellEnd"/>
      <w:r w:rsidRPr="00CC141B">
        <w:t xml:space="preserve">) or GSK682753 (10 </w:t>
      </w:r>
      <w:r w:rsidRPr="00CC141B">
        <w:sym w:font="Symbol" w:char="F06D"/>
      </w:r>
      <w:r w:rsidRPr="00CC141B">
        <w:t>M) or vehicle (0.1% DMSO)</w:t>
      </w:r>
      <w:r>
        <w:t xml:space="preserve"> in Middlebrook 7H9 broth culture (7H9, 10% Oleic Albumin Dextrose Catalase, 0.02% glycerol, 0.05% Tween 80)</w:t>
      </w:r>
      <w:r w:rsidRPr="00CC141B">
        <w:t>. BCG was adjusted to an OD600 of 0.01 prior to the addition of the compounds. Cell density was measured daily in triplicate. No significant changes in cell viability were observed (</w:t>
      </w:r>
      <w:r w:rsidRPr="00CC141B">
        <w:rPr>
          <w:i/>
        </w:rPr>
        <w:t xml:space="preserve">P </w:t>
      </w:r>
      <w:r w:rsidRPr="00CC141B">
        <w:t>&gt; 0.05, Mann-Whitney U test). Data are presented as means ± SEM.</w:t>
      </w:r>
    </w:p>
    <w:p w14:paraId="5CD5557E" w14:textId="47AC6006" w:rsidR="008576C1" w:rsidRPr="00CC141B" w:rsidRDefault="008576C1" w:rsidP="008576C1">
      <w:pPr>
        <w:rPr>
          <w:noProof/>
        </w:rPr>
      </w:pPr>
      <w:r w:rsidRPr="00CC141B">
        <w:rPr>
          <w:noProof/>
        </w:rPr>
        <w:t xml:space="preserve"> </w:t>
      </w:r>
      <w:r w:rsidR="00794110">
        <w:rPr>
          <w:noProof/>
        </w:rPr>
        <w:drawing>
          <wp:inline distT="0" distB="0" distL="0" distR="0" wp14:anchorId="3AECB034" wp14:editId="4CB4FC60">
            <wp:extent cx="2171700" cy="2094826"/>
            <wp:effectExtent l="0" t="0" r="0" b="127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5427" cy="2098421"/>
                    </a:xfrm>
                    <a:prstGeom prst="rect">
                      <a:avLst/>
                    </a:prstGeom>
                  </pic:spPr>
                </pic:pic>
              </a:graphicData>
            </a:graphic>
          </wp:inline>
        </w:drawing>
      </w:r>
    </w:p>
    <w:p w14:paraId="7F3DB6FC" w14:textId="40D785A7" w:rsidR="008576C1" w:rsidRPr="00CC141B" w:rsidRDefault="008576C1" w:rsidP="008576C1">
      <w:r w:rsidRPr="008576C1">
        <w:rPr>
          <w:b/>
          <w:bCs/>
        </w:rPr>
        <w:t>Supplementary figure 3.</w:t>
      </w:r>
      <w:r w:rsidRPr="00CC141B">
        <w:t xml:space="preserve"> Primary human MNs from healthy donors (n=6) were </w:t>
      </w:r>
      <w:r w:rsidR="007F05EF">
        <w:t xml:space="preserve">seeded in triplicate wells for each donor and infected </w:t>
      </w:r>
      <w:r w:rsidRPr="00CC141B">
        <w:t xml:space="preserve">for 2h with live </w:t>
      </w:r>
      <w:proofErr w:type="spellStart"/>
      <w:r w:rsidRPr="00CC141B">
        <w:t>Mtb</w:t>
      </w:r>
      <w:proofErr w:type="spellEnd"/>
      <w:r w:rsidRPr="00CC141B">
        <w:t xml:space="preserve"> H</w:t>
      </w:r>
      <w:r w:rsidRPr="00CC141B">
        <w:rPr>
          <w:vertAlign w:val="subscript"/>
        </w:rPr>
        <w:t>37</w:t>
      </w:r>
      <w:r w:rsidRPr="00CC141B">
        <w:t>R</w:t>
      </w:r>
      <w:r w:rsidRPr="00CC141B">
        <w:rPr>
          <w:vertAlign w:val="subscript"/>
        </w:rPr>
        <w:t>v</w:t>
      </w:r>
      <w:r w:rsidRPr="00CC141B">
        <w:t xml:space="preserve"> (MOI:1)</w:t>
      </w:r>
      <w:r w:rsidR="007F05EF">
        <w:t xml:space="preserve">. Thereafter cells were </w:t>
      </w:r>
      <w:r w:rsidRPr="00CC141B">
        <w:t xml:space="preserve">washed and </w:t>
      </w:r>
      <w:r w:rsidR="007F05EF">
        <w:t xml:space="preserve">incubated for </w:t>
      </w:r>
      <w:r w:rsidRPr="00CC141B">
        <w:t>further 22h</w:t>
      </w:r>
      <w:r w:rsidR="007F05EF">
        <w:t xml:space="preserve"> until RNA extraction.</w:t>
      </w:r>
      <w:r w:rsidRPr="00CC141B">
        <w:t xml:space="preserve"> GPR183 expression </w:t>
      </w:r>
      <w:r w:rsidR="007F05EF">
        <w:t xml:space="preserve">was determined by </w:t>
      </w:r>
      <w:proofErr w:type="spellStart"/>
      <w:r w:rsidR="007F05EF">
        <w:t>qRT</w:t>
      </w:r>
      <w:proofErr w:type="spellEnd"/>
      <w:r w:rsidR="007F05EF">
        <w:t>-PCR</w:t>
      </w:r>
      <w:r w:rsidRPr="00CC141B">
        <w:t xml:space="preserve">. Data are presented as means ± SEM of </w:t>
      </w:r>
      <w:r w:rsidR="007F05EF">
        <w:t>three</w:t>
      </w:r>
      <w:r w:rsidRPr="00CC141B">
        <w:t xml:space="preserve"> replicates</w:t>
      </w:r>
      <w:r w:rsidR="007F05EF">
        <w:t xml:space="preserve"> per donor</w:t>
      </w:r>
      <w:r w:rsidRPr="00CC141B">
        <w:t xml:space="preserve">; *, </w:t>
      </w:r>
      <w:proofErr w:type="gramStart"/>
      <w:r w:rsidRPr="00CC141B">
        <w:rPr>
          <w:i/>
        </w:rPr>
        <w:t xml:space="preserve">P  </w:t>
      </w:r>
      <w:r w:rsidRPr="00CC141B">
        <w:rPr>
          <w:color w:val="222222"/>
          <w:sz w:val="21"/>
          <w:szCs w:val="21"/>
          <w:shd w:val="clear" w:color="auto" w:fill="FFFFFF"/>
        </w:rPr>
        <w:t>≤</w:t>
      </w:r>
      <w:proofErr w:type="gramEnd"/>
      <w:r w:rsidRPr="00CC141B">
        <w:t xml:space="preserve">  0.05. </w:t>
      </w:r>
    </w:p>
    <w:p w14:paraId="7DA1D72E" w14:textId="44662E4C" w:rsidR="008576C1" w:rsidRPr="00CC141B" w:rsidRDefault="00BF4247" w:rsidP="008576C1">
      <w:r>
        <w:rPr>
          <w:noProof/>
        </w:rPr>
        <w:lastRenderedPageBreak/>
        <w:drawing>
          <wp:inline distT="0" distB="0" distL="0" distR="0" wp14:anchorId="1F0AF074" wp14:editId="2CA15414">
            <wp:extent cx="4813300" cy="2369820"/>
            <wp:effectExtent l="0" t="0" r="0" b="508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rotWithShape="1">
                    <a:blip r:embed="rId11" cstate="print">
                      <a:extLst>
                        <a:ext uri="{28A0092B-C50C-407E-A947-70E740481C1C}">
                          <a14:useLocalDpi xmlns:a14="http://schemas.microsoft.com/office/drawing/2010/main" val="0"/>
                        </a:ext>
                      </a:extLst>
                    </a:blip>
                    <a:srcRect b="12877"/>
                    <a:stretch/>
                  </pic:blipFill>
                  <pic:spPr bwMode="auto">
                    <a:xfrm>
                      <a:off x="0" y="0"/>
                      <a:ext cx="4825848" cy="2375998"/>
                    </a:xfrm>
                    <a:prstGeom prst="rect">
                      <a:avLst/>
                    </a:prstGeom>
                    <a:ln>
                      <a:noFill/>
                    </a:ln>
                    <a:extLst>
                      <a:ext uri="{53640926-AAD7-44D8-BBD7-CCE9431645EC}">
                        <a14:shadowObscured xmlns:a14="http://schemas.microsoft.com/office/drawing/2010/main"/>
                      </a:ext>
                    </a:extLst>
                  </pic:spPr>
                </pic:pic>
              </a:graphicData>
            </a:graphic>
          </wp:inline>
        </w:drawing>
      </w:r>
    </w:p>
    <w:p w14:paraId="44C906CF" w14:textId="4DCC39CC" w:rsidR="008576C1" w:rsidRPr="00CC141B" w:rsidRDefault="008576C1" w:rsidP="008576C1">
      <w:r w:rsidRPr="008576C1">
        <w:rPr>
          <w:b/>
          <w:bCs/>
        </w:rPr>
        <w:t>Supplementary figure 4</w:t>
      </w:r>
      <w:r w:rsidRPr="00CC141B">
        <w:t xml:space="preserve">. PMA-differentiated THP-1 cells and primary MNs were transfected with 20 </w:t>
      </w:r>
      <w:proofErr w:type="spellStart"/>
      <w:r w:rsidRPr="00CC141B">
        <w:t>nM</w:t>
      </w:r>
      <w:proofErr w:type="spellEnd"/>
      <w:r w:rsidRPr="00CC141B">
        <w:t xml:space="preserve"> of either negative control siRNA or GPR183 siRNA for 48h before infection with BCG at MOI 1. Efficiency of the GPR183 knockdown was determined at </w:t>
      </w:r>
      <w:r w:rsidRPr="008576C1">
        <w:rPr>
          <w:b/>
          <w:bCs/>
        </w:rPr>
        <w:t>(A)</w:t>
      </w:r>
      <w:r w:rsidRPr="00CC141B">
        <w:t xml:space="preserve"> THP-1 cells RNA level by qPCR and </w:t>
      </w:r>
      <w:r w:rsidRPr="008576C1">
        <w:rPr>
          <w:b/>
          <w:bCs/>
        </w:rPr>
        <w:t>(B)</w:t>
      </w:r>
      <w:r w:rsidRPr="00CC141B">
        <w:t xml:space="preserve"> THP-1 cells protein level by flow cytometry, </w:t>
      </w:r>
      <w:r w:rsidRPr="008576C1">
        <w:rPr>
          <w:b/>
          <w:bCs/>
        </w:rPr>
        <w:t>(C)</w:t>
      </w:r>
      <w:r w:rsidRPr="00CC141B">
        <w:t xml:space="preserve"> Primary MNs RNA levels by qPCR. Data are presented as means  </w:t>
      </w:r>
      <w:r w:rsidRPr="00CC141B">
        <w:sym w:font="Symbol" w:char="F0B1"/>
      </w:r>
      <w:r w:rsidRPr="00CC141B">
        <w:t xml:space="preserve"> SEM; ***, </w:t>
      </w:r>
      <w:r w:rsidRPr="00CC141B">
        <w:rPr>
          <w:iCs/>
        </w:rPr>
        <w:t>P</w:t>
      </w:r>
      <w:r w:rsidRPr="00CC141B">
        <w:rPr>
          <w:i/>
        </w:rPr>
        <w:t xml:space="preserve"> </w:t>
      </w:r>
      <w:r w:rsidRPr="00CC141B">
        <w:rPr>
          <w:color w:val="222222"/>
          <w:sz w:val="21"/>
          <w:szCs w:val="21"/>
          <w:shd w:val="clear" w:color="auto" w:fill="FFFFFF"/>
        </w:rPr>
        <w:t>≤</w:t>
      </w:r>
      <w:r w:rsidRPr="00CC141B">
        <w:t xml:space="preserve"> 0.001; ****, </w:t>
      </w:r>
      <w:r w:rsidRPr="00CC141B">
        <w:rPr>
          <w:i/>
        </w:rPr>
        <w:t xml:space="preserve">P </w:t>
      </w:r>
      <w:r w:rsidRPr="00CC141B">
        <w:rPr>
          <w:color w:val="222222"/>
          <w:sz w:val="21"/>
          <w:szCs w:val="21"/>
          <w:shd w:val="clear" w:color="auto" w:fill="FFFFFF"/>
        </w:rPr>
        <w:t>≤</w:t>
      </w:r>
      <w:r w:rsidRPr="00CC141B">
        <w:t xml:space="preserve"> 0.0001</w:t>
      </w:r>
    </w:p>
    <w:p w14:paraId="6F16F9DB" w14:textId="169F1CD4" w:rsidR="008576C1" w:rsidRPr="00CC141B" w:rsidRDefault="00CA14C3" w:rsidP="008576C1">
      <w:r>
        <w:rPr>
          <w:noProof/>
        </w:rPr>
        <w:drawing>
          <wp:inline distT="0" distB="0" distL="0" distR="0" wp14:anchorId="53E591FC" wp14:editId="33531D7D">
            <wp:extent cx="5753100" cy="340360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3100" cy="3403600"/>
                    </a:xfrm>
                    <a:prstGeom prst="rect">
                      <a:avLst/>
                    </a:prstGeom>
                  </pic:spPr>
                </pic:pic>
              </a:graphicData>
            </a:graphic>
          </wp:inline>
        </w:drawing>
      </w:r>
      <w:bookmarkStart w:id="3" w:name="_GoBack"/>
      <w:bookmarkEnd w:id="3"/>
    </w:p>
    <w:p w14:paraId="5F7C2B69" w14:textId="40362F27" w:rsidR="008576C1" w:rsidRPr="00CC141B" w:rsidRDefault="008576C1" w:rsidP="008576C1">
      <w:r w:rsidRPr="008576C1">
        <w:rPr>
          <w:b/>
          <w:bCs/>
        </w:rPr>
        <w:t>Supplementary figure 5.</w:t>
      </w:r>
      <w:r w:rsidRPr="00CC141B">
        <w:t xml:space="preserve"> Activation of GPR183 leads to cytokine production. Primary MN from healthy donors (n=8) were infected for 2h with </w:t>
      </w:r>
      <w:proofErr w:type="spellStart"/>
      <w:r w:rsidRPr="00CC141B">
        <w:t>Mtb</w:t>
      </w:r>
      <w:proofErr w:type="spellEnd"/>
      <w:r w:rsidRPr="00CC141B">
        <w:t xml:space="preserve"> H</w:t>
      </w:r>
      <w:r w:rsidRPr="00CC141B">
        <w:rPr>
          <w:vertAlign w:val="subscript"/>
        </w:rPr>
        <w:t>37</w:t>
      </w:r>
      <w:r w:rsidRPr="00CC141B">
        <w:t>R</w:t>
      </w:r>
      <w:r w:rsidRPr="00CC141B">
        <w:rPr>
          <w:vertAlign w:val="subscript"/>
        </w:rPr>
        <w:t>v</w:t>
      </w:r>
      <w:r w:rsidRPr="00CC141B">
        <w:t xml:space="preserve"> (MOI 10:1), 7</w:t>
      </w:r>
      <w:r w:rsidRPr="00602EF7">
        <w:rPr>
          <w:rFonts w:ascii="Symbol" w:hAnsi="Symbol"/>
        </w:rPr>
        <w:t></w:t>
      </w:r>
      <w:r w:rsidRPr="00CC141B">
        <w:t xml:space="preserve">,25-OHC (100 </w:t>
      </w:r>
      <w:proofErr w:type="spellStart"/>
      <w:r w:rsidRPr="00CC141B">
        <w:t>nM</w:t>
      </w:r>
      <w:proofErr w:type="spellEnd"/>
      <w:r w:rsidRPr="00CC141B">
        <w:t xml:space="preserve">), and/or GSK682753 (10 </w:t>
      </w:r>
      <w:r w:rsidRPr="00602EF7">
        <w:rPr>
          <w:rFonts w:ascii="Symbol" w:hAnsi="Symbol"/>
        </w:rPr>
        <w:t></w:t>
      </w:r>
      <w:r w:rsidRPr="00CC141B">
        <w:t xml:space="preserve">M). Cells were </w:t>
      </w:r>
      <w:r w:rsidR="00697578">
        <w:t xml:space="preserve">washed and re-incubated in presence of GPR183 ligands. </w:t>
      </w:r>
      <w:r w:rsidR="00FB0AF2" w:rsidRPr="00FB0AF2">
        <w:rPr>
          <w:b/>
          <w:bCs/>
        </w:rPr>
        <w:t>(A)</w:t>
      </w:r>
      <w:r w:rsidR="00FB0AF2">
        <w:t xml:space="preserve"> </w:t>
      </w:r>
      <w:r w:rsidR="00697578">
        <w:t xml:space="preserve">RNA expression of </w:t>
      </w:r>
      <w:r w:rsidR="00697578" w:rsidRPr="00842DA7">
        <w:rPr>
          <w:i/>
          <w:iCs/>
        </w:rPr>
        <w:t>IL1B</w:t>
      </w:r>
      <w:r w:rsidR="00697578">
        <w:t xml:space="preserve"> was determined at 8h post infection and </w:t>
      </w:r>
      <w:r w:rsidR="00FB0AF2" w:rsidRPr="00FB0AF2">
        <w:rPr>
          <w:b/>
          <w:bCs/>
        </w:rPr>
        <w:t>(B)</w:t>
      </w:r>
      <w:r w:rsidR="00FB0AF2">
        <w:t xml:space="preserve"> </w:t>
      </w:r>
      <w:r w:rsidR="00697578">
        <w:t>protein c</w:t>
      </w:r>
      <w:r w:rsidRPr="00CC141B">
        <w:t>oncentrations of IL</w:t>
      </w:r>
      <w:r>
        <w:t>-</w:t>
      </w:r>
      <w:r w:rsidRPr="00CC141B">
        <w:t>1</w:t>
      </w:r>
      <w:r w:rsidRPr="00602EF7">
        <w:rPr>
          <w:rFonts w:ascii="Symbol" w:hAnsi="Symbol"/>
        </w:rPr>
        <w:t></w:t>
      </w:r>
      <w:r w:rsidRPr="00CC141B">
        <w:t xml:space="preserve"> in the culture supernatant were measured by ELISA</w:t>
      </w:r>
      <w:r w:rsidR="00697578">
        <w:t xml:space="preserve"> at 24 h post infection</w:t>
      </w:r>
      <w:r w:rsidRPr="00CC141B">
        <w:t>. Data are presented as mean fold change</w:t>
      </w:r>
      <w:r w:rsidR="00697578">
        <w:t xml:space="preserve"> </w:t>
      </w:r>
      <w:r w:rsidR="00697578" w:rsidRPr="00CC141B">
        <w:t xml:space="preserve">± SEM </w:t>
      </w:r>
      <w:r w:rsidR="00697578">
        <w:t xml:space="preserve">for RNA or </w:t>
      </w:r>
      <w:proofErr w:type="spellStart"/>
      <w:r w:rsidR="00D31D11">
        <w:t>pg</w:t>
      </w:r>
      <w:proofErr w:type="spellEnd"/>
      <w:r w:rsidR="00D31D11">
        <w:t>/ml</w:t>
      </w:r>
      <w:r w:rsidRPr="00CC141B">
        <w:t xml:space="preserve"> </w:t>
      </w:r>
      <w:r w:rsidR="00D31D11">
        <w:t>and</w:t>
      </w:r>
      <w:r w:rsidRPr="00CC141B">
        <w:t xml:space="preserve"> min to max</w:t>
      </w:r>
      <w:r w:rsidR="00697578">
        <w:t xml:space="preserve"> for protein</w:t>
      </w:r>
      <w:r w:rsidRPr="00CC141B">
        <w:t xml:space="preserve">; ns, </w:t>
      </w:r>
      <w:r w:rsidRPr="00CC141B">
        <w:rPr>
          <w:i/>
          <w:iCs/>
        </w:rPr>
        <w:t>P</w:t>
      </w:r>
      <w:r w:rsidRPr="00CC141B">
        <w:t xml:space="preserve"> </w:t>
      </w:r>
      <w:r w:rsidRPr="00CC141B">
        <w:rPr>
          <w:color w:val="222222"/>
          <w:sz w:val="21"/>
          <w:szCs w:val="21"/>
          <w:shd w:val="clear" w:color="auto" w:fill="FFFFFF"/>
        </w:rPr>
        <w:t>&gt;</w:t>
      </w:r>
      <w:r w:rsidRPr="00CC141B">
        <w:t xml:space="preserve"> 0.05. </w:t>
      </w:r>
    </w:p>
    <w:p w14:paraId="399A47DE" w14:textId="77777777" w:rsidR="008576C1" w:rsidRPr="00CC141B" w:rsidRDefault="008576C1" w:rsidP="008576C1"/>
    <w:p w14:paraId="6EC3D8A0" w14:textId="3B279F7E" w:rsidR="008576C1" w:rsidRPr="00CC141B" w:rsidRDefault="00BF4247" w:rsidP="008576C1">
      <w:r>
        <w:rPr>
          <w:noProof/>
        </w:rPr>
        <w:drawing>
          <wp:inline distT="0" distB="0" distL="0" distR="0" wp14:anchorId="7A1E8979" wp14:editId="62F94760">
            <wp:extent cx="2247863" cy="2667000"/>
            <wp:effectExtent l="0" t="0" r="635"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rotWithShape="1">
                    <a:blip r:embed="rId13" cstate="print">
                      <a:extLst>
                        <a:ext uri="{28A0092B-C50C-407E-A947-70E740481C1C}">
                          <a14:useLocalDpi xmlns:a14="http://schemas.microsoft.com/office/drawing/2010/main" val="0"/>
                        </a:ext>
                      </a:extLst>
                    </a:blip>
                    <a:srcRect b="14058"/>
                    <a:stretch/>
                  </pic:blipFill>
                  <pic:spPr bwMode="auto">
                    <a:xfrm>
                      <a:off x="0" y="0"/>
                      <a:ext cx="2253002" cy="2673098"/>
                    </a:xfrm>
                    <a:prstGeom prst="rect">
                      <a:avLst/>
                    </a:prstGeom>
                    <a:ln>
                      <a:noFill/>
                    </a:ln>
                    <a:extLst>
                      <a:ext uri="{53640926-AAD7-44D8-BBD7-CCE9431645EC}">
                        <a14:shadowObscured xmlns:a14="http://schemas.microsoft.com/office/drawing/2010/main"/>
                      </a:ext>
                    </a:extLst>
                  </pic:spPr>
                </pic:pic>
              </a:graphicData>
            </a:graphic>
          </wp:inline>
        </w:drawing>
      </w:r>
    </w:p>
    <w:p w14:paraId="6A5A6F2E" w14:textId="3CAB710E" w:rsidR="008576C1" w:rsidRPr="00CC141B" w:rsidRDefault="008576C1" w:rsidP="008576C1">
      <w:r w:rsidRPr="008576C1">
        <w:rPr>
          <w:b/>
          <w:bCs/>
        </w:rPr>
        <w:t>Supplementary figure 6</w:t>
      </w:r>
      <w:r w:rsidRPr="00CC141B">
        <w:t>. Treatment with 7</w:t>
      </w:r>
      <w:r w:rsidRPr="00CC141B">
        <w:sym w:font="Symbol" w:char="F061"/>
      </w:r>
      <w:r w:rsidRPr="00CC141B">
        <w:t>,25-OHC does not affect Reactive Oxygen Species (ROS) production in primary MNs. Primary MNs (n=3) were infected with BCG (MOI 10) and co-incubated with 7</w:t>
      </w:r>
      <w:r w:rsidRPr="00602EF7">
        <w:rPr>
          <w:rFonts w:ascii="Symbol" w:hAnsi="Symbol"/>
        </w:rPr>
        <w:t></w:t>
      </w:r>
      <w:r w:rsidRPr="00CC141B">
        <w:t>,25-OHC for 2h. Cells were then washed twice to remove non-phagocytosed BCG, and cells were stained with H</w:t>
      </w:r>
      <w:r w:rsidRPr="00CC141B">
        <w:rPr>
          <w:vertAlign w:val="subscript"/>
        </w:rPr>
        <w:t>2</w:t>
      </w:r>
      <w:r w:rsidRPr="00CC141B">
        <w:t>DCFDA for 1h. Following this, DCFDA was replaced with RPMI containing 7</w:t>
      </w:r>
      <w:r w:rsidRPr="00602EF7">
        <w:rPr>
          <w:rFonts w:ascii="Symbol" w:hAnsi="Symbol"/>
        </w:rPr>
        <w:t></w:t>
      </w:r>
      <w:r w:rsidRPr="00CC141B">
        <w:t xml:space="preserve">,25-OHC and cells were further incubated for 40 min before fluorescence intensity was read. Readings were corrected to OD600 values, blank corrected, and normalized to unstimulated. Data are presented as ± SEM; ns </w:t>
      </w:r>
      <w:r w:rsidRPr="00CC141B">
        <w:rPr>
          <w:i/>
        </w:rPr>
        <w:t xml:space="preserve">P </w:t>
      </w:r>
      <w:r w:rsidRPr="00CC141B">
        <w:t xml:space="preserve">&gt; 0.05; *, </w:t>
      </w:r>
      <w:r w:rsidRPr="00CC141B">
        <w:rPr>
          <w:i/>
        </w:rPr>
        <w:t xml:space="preserve">P </w:t>
      </w:r>
      <w:r w:rsidRPr="00CC141B">
        <w:rPr>
          <w:color w:val="222222"/>
          <w:shd w:val="clear" w:color="auto" w:fill="FFFFFF"/>
        </w:rPr>
        <w:t>≤</w:t>
      </w:r>
      <w:r w:rsidRPr="00CC141B">
        <w:t xml:space="preserve"> 0.05. </w:t>
      </w:r>
    </w:p>
    <w:p w14:paraId="2A6817B2" w14:textId="77777777" w:rsidR="008576C1" w:rsidRPr="00CC141B" w:rsidRDefault="008576C1" w:rsidP="008576C1">
      <w:r w:rsidRPr="00CC141B">
        <w:rPr>
          <w:noProof/>
        </w:rPr>
        <w:drawing>
          <wp:inline distT="0" distB="0" distL="0" distR="0" wp14:anchorId="17617A81" wp14:editId="11A56342">
            <wp:extent cx="5731510" cy="25768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76830"/>
                    </a:xfrm>
                    <a:prstGeom prst="rect">
                      <a:avLst/>
                    </a:prstGeom>
                    <a:noFill/>
                    <a:ln>
                      <a:noFill/>
                    </a:ln>
                  </pic:spPr>
                </pic:pic>
              </a:graphicData>
            </a:graphic>
          </wp:inline>
        </w:drawing>
      </w:r>
      <w:r w:rsidRPr="00CC141B">
        <w:t xml:space="preserve"> </w:t>
      </w:r>
      <w:r w:rsidRPr="008576C1">
        <w:rPr>
          <w:b/>
          <w:bCs/>
        </w:rPr>
        <w:t>Supplementary figure 7</w:t>
      </w:r>
      <w:r w:rsidRPr="00CC141B">
        <w:t xml:space="preserve">. </w:t>
      </w:r>
      <w:bookmarkStart w:id="4" w:name="_Hlk44406911"/>
      <w:r w:rsidRPr="00CC141B">
        <w:t>Mice</w:t>
      </w:r>
      <w:r w:rsidRPr="00CC141B">
        <w:rPr>
          <w:color w:val="FF0000"/>
        </w:rPr>
        <w:t xml:space="preserve"> </w:t>
      </w:r>
      <w:r w:rsidRPr="00CC141B">
        <w:t xml:space="preserve">were infected with 300 CFU of aerosol </w:t>
      </w:r>
      <w:proofErr w:type="spellStart"/>
      <w:r w:rsidRPr="00CC141B">
        <w:t>Mtb</w:t>
      </w:r>
      <w:proofErr w:type="spellEnd"/>
      <w:r w:rsidRPr="00CC141B">
        <w:t xml:space="preserve"> H</w:t>
      </w:r>
      <w:r w:rsidRPr="00CC141B">
        <w:rPr>
          <w:vertAlign w:val="subscript"/>
        </w:rPr>
        <w:t>37</w:t>
      </w:r>
      <w:r w:rsidRPr="00CC141B">
        <w:t>R</w:t>
      </w:r>
      <w:r w:rsidRPr="00CC141B">
        <w:rPr>
          <w:vertAlign w:val="subscript"/>
        </w:rPr>
        <w:t>v</w:t>
      </w:r>
      <w:bookmarkEnd w:id="4"/>
      <w:r w:rsidRPr="00CC141B">
        <w:t xml:space="preserve">. Bacterial burden was examined 5 weeks </w:t>
      </w:r>
      <w:proofErr w:type="spellStart"/>
      <w:r w:rsidRPr="00CC141B">
        <w:t>p.i</w:t>
      </w:r>
      <w:proofErr w:type="spellEnd"/>
      <w:r w:rsidRPr="00CC141B">
        <w:t xml:space="preserve"> </w:t>
      </w:r>
      <w:r w:rsidRPr="008576C1">
        <w:rPr>
          <w:b/>
          <w:bCs/>
        </w:rPr>
        <w:t>(A)</w:t>
      </w:r>
      <w:r w:rsidRPr="00CC141B">
        <w:t xml:space="preserve"> Lung burden </w:t>
      </w:r>
      <w:r w:rsidRPr="008576C1">
        <w:rPr>
          <w:b/>
          <w:bCs/>
        </w:rPr>
        <w:t>(B)</w:t>
      </w:r>
      <w:r w:rsidRPr="00CC141B">
        <w:t xml:space="preserve"> Liver burden </w:t>
      </w:r>
      <w:r w:rsidRPr="008576C1">
        <w:rPr>
          <w:b/>
          <w:bCs/>
        </w:rPr>
        <w:t>(C)</w:t>
      </w:r>
      <w:r w:rsidRPr="00CC141B">
        <w:t xml:space="preserve"> Spleen burden. Data are presented as ± Mean; ns, </w:t>
      </w:r>
      <w:r w:rsidRPr="00CC141B">
        <w:rPr>
          <w:i/>
        </w:rPr>
        <w:t xml:space="preserve">P </w:t>
      </w:r>
      <w:r w:rsidRPr="00CC141B">
        <w:t>&gt; 0.05</w:t>
      </w:r>
    </w:p>
    <w:p w14:paraId="7661D549" w14:textId="77777777" w:rsidR="008576C1" w:rsidRPr="00CC141B" w:rsidRDefault="008576C1" w:rsidP="008576C1"/>
    <w:p w14:paraId="2240589E" w14:textId="103427C9" w:rsidR="008576C1" w:rsidRPr="00CC141B" w:rsidRDefault="008576C1" w:rsidP="008576C1"/>
    <w:p w14:paraId="2AA2BFC3" w14:textId="59314E07" w:rsidR="00BF4247" w:rsidRDefault="00BF4247" w:rsidP="008576C1">
      <w:pPr>
        <w:rPr>
          <w:b/>
          <w:bCs/>
        </w:rPr>
      </w:pPr>
      <w:r>
        <w:rPr>
          <w:b/>
          <w:bCs/>
          <w:noProof/>
        </w:rPr>
        <w:lastRenderedPageBreak/>
        <w:drawing>
          <wp:inline distT="0" distB="0" distL="0" distR="0" wp14:anchorId="538B5961" wp14:editId="4F9EBDE1">
            <wp:extent cx="5198256" cy="2903220"/>
            <wp:effectExtent l="0" t="0" r="0" b="508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3014" cy="2905877"/>
                    </a:xfrm>
                    <a:prstGeom prst="rect">
                      <a:avLst/>
                    </a:prstGeom>
                  </pic:spPr>
                </pic:pic>
              </a:graphicData>
            </a:graphic>
          </wp:inline>
        </w:drawing>
      </w:r>
    </w:p>
    <w:p w14:paraId="19946C0F" w14:textId="3BE711CD" w:rsidR="008576C1" w:rsidRPr="00CC141B" w:rsidRDefault="008576C1" w:rsidP="008576C1">
      <w:r w:rsidRPr="008576C1">
        <w:rPr>
          <w:b/>
          <w:bCs/>
        </w:rPr>
        <w:t>Supplementary figure 8</w:t>
      </w:r>
      <w:r w:rsidRPr="00CC141B">
        <w:t xml:space="preserve">. </w:t>
      </w:r>
      <w:bookmarkStart w:id="5" w:name="_Hlk44672621"/>
      <w:r w:rsidRPr="00CC141B">
        <w:t xml:space="preserve">Gene expression of </w:t>
      </w:r>
      <w:proofErr w:type="spellStart"/>
      <w:r w:rsidRPr="00CC141B">
        <w:t>Mtb</w:t>
      </w:r>
      <w:proofErr w:type="spellEnd"/>
      <w:r w:rsidRPr="00CC141B">
        <w:t xml:space="preserve"> H</w:t>
      </w:r>
      <w:r w:rsidRPr="00CC141B">
        <w:rPr>
          <w:vertAlign w:val="subscript"/>
        </w:rPr>
        <w:t>37</w:t>
      </w:r>
      <w:r w:rsidRPr="00CC141B">
        <w:t>R</w:t>
      </w:r>
      <w:r w:rsidRPr="00CC141B">
        <w:rPr>
          <w:vertAlign w:val="subscript"/>
        </w:rPr>
        <w:t>v</w:t>
      </w:r>
      <w:r w:rsidRPr="00CC141B">
        <w:t xml:space="preserve">-infected mice. </w:t>
      </w:r>
      <w:bookmarkEnd w:id="5"/>
      <w:r w:rsidRPr="00CC141B">
        <w:t>Mice</w:t>
      </w:r>
      <w:r w:rsidRPr="00CC141B">
        <w:rPr>
          <w:color w:val="FF0000"/>
        </w:rPr>
        <w:t xml:space="preserve"> </w:t>
      </w:r>
      <w:r w:rsidRPr="00CC141B">
        <w:t xml:space="preserve">were infected with 300 CFU of aerosol </w:t>
      </w:r>
      <w:proofErr w:type="spellStart"/>
      <w:r w:rsidRPr="00CC141B">
        <w:t>Mtb</w:t>
      </w:r>
      <w:proofErr w:type="spellEnd"/>
      <w:r w:rsidRPr="00CC141B">
        <w:t xml:space="preserve"> H</w:t>
      </w:r>
      <w:r w:rsidRPr="00CC141B">
        <w:rPr>
          <w:vertAlign w:val="subscript"/>
        </w:rPr>
        <w:t>37</w:t>
      </w:r>
      <w:r w:rsidRPr="00CC141B">
        <w:t>R</w:t>
      </w:r>
      <w:r w:rsidRPr="00CC141B">
        <w:rPr>
          <w:vertAlign w:val="subscript"/>
        </w:rPr>
        <w:t>v</w:t>
      </w:r>
      <w:r w:rsidRPr="00CC141B">
        <w:t xml:space="preserve">. RNA was isolated from </w:t>
      </w:r>
      <w:proofErr w:type="spellStart"/>
      <w:r w:rsidRPr="00CC141B">
        <w:t>Mtb</w:t>
      </w:r>
      <w:proofErr w:type="spellEnd"/>
      <w:r w:rsidRPr="00CC141B">
        <w:t xml:space="preserve">-infected lung and blood samples 2 weeks </w:t>
      </w:r>
      <w:proofErr w:type="spellStart"/>
      <w:r w:rsidRPr="00CC141B">
        <w:t>p.i.</w:t>
      </w:r>
      <w:proofErr w:type="spellEnd"/>
      <w:r w:rsidRPr="00CC141B">
        <w:t xml:space="preserve"> Gene expression of </w:t>
      </w:r>
      <w:r w:rsidRPr="00CC141B">
        <w:rPr>
          <w:i/>
          <w:iCs/>
        </w:rPr>
        <w:t>Irf5</w:t>
      </w:r>
      <w:r w:rsidRPr="00CC141B">
        <w:t xml:space="preserve"> </w:t>
      </w:r>
      <w:r w:rsidRPr="00CC141B">
        <w:rPr>
          <w:iCs/>
        </w:rPr>
        <w:t xml:space="preserve">in the </w:t>
      </w:r>
      <w:r w:rsidRPr="008576C1">
        <w:rPr>
          <w:b/>
          <w:bCs/>
          <w:iCs/>
        </w:rPr>
        <w:t>(A)</w:t>
      </w:r>
      <w:r>
        <w:rPr>
          <w:iCs/>
        </w:rPr>
        <w:t xml:space="preserve"> </w:t>
      </w:r>
      <w:r w:rsidRPr="00CC141B">
        <w:rPr>
          <w:iCs/>
        </w:rPr>
        <w:t>lung</w:t>
      </w:r>
      <w:r>
        <w:rPr>
          <w:iCs/>
        </w:rPr>
        <w:t>s</w:t>
      </w:r>
      <w:r w:rsidRPr="00CC141B">
        <w:rPr>
          <w:iCs/>
        </w:rPr>
        <w:t xml:space="preserve"> and </w:t>
      </w:r>
      <w:r w:rsidRPr="008576C1">
        <w:rPr>
          <w:b/>
          <w:bCs/>
          <w:iCs/>
        </w:rPr>
        <w:t>(B)</w:t>
      </w:r>
      <w:r>
        <w:rPr>
          <w:iCs/>
        </w:rPr>
        <w:t xml:space="preserve"> </w:t>
      </w:r>
      <w:r w:rsidRPr="00CC141B">
        <w:rPr>
          <w:iCs/>
        </w:rPr>
        <w:t>blood</w:t>
      </w:r>
      <w:r w:rsidRPr="00CC141B">
        <w:t xml:space="preserve"> measured by </w:t>
      </w:r>
      <w:proofErr w:type="spellStart"/>
      <w:r w:rsidRPr="00CC141B">
        <w:t>qRT</w:t>
      </w:r>
      <w:proofErr w:type="spellEnd"/>
      <w:r w:rsidRPr="00CC141B">
        <w:t xml:space="preserve">-PCR using </w:t>
      </w:r>
      <w:r w:rsidRPr="00CC141B">
        <w:rPr>
          <w:i/>
          <w:iCs/>
        </w:rPr>
        <w:t>Hprt1</w:t>
      </w:r>
      <w:r w:rsidRPr="00CC141B">
        <w:t xml:space="preserve"> as a reference gene. Data are presented as mean fold change ± SEM or min to max for box plots. Data are presented as ± SEM; ns, </w:t>
      </w:r>
      <w:r w:rsidRPr="00CC141B">
        <w:rPr>
          <w:i/>
        </w:rPr>
        <w:t xml:space="preserve">P </w:t>
      </w:r>
      <w:r w:rsidRPr="00CC141B">
        <w:t xml:space="preserve">&gt; 0.05. </w:t>
      </w:r>
    </w:p>
    <w:p w14:paraId="6E0239F0" w14:textId="77777777" w:rsidR="008576C1" w:rsidRPr="00CC141B" w:rsidRDefault="008576C1" w:rsidP="008576C1"/>
    <w:p w14:paraId="667598C2" w14:textId="77777777" w:rsidR="008576C1" w:rsidRPr="008576C1" w:rsidRDefault="008576C1" w:rsidP="008576C1">
      <w:pPr>
        <w:rPr>
          <w:b/>
          <w:bCs/>
        </w:rPr>
      </w:pPr>
      <w:r w:rsidRPr="008576C1">
        <w:rPr>
          <w:b/>
          <w:bCs/>
        </w:rPr>
        <w:t>Supplementary Table 1.</w:t>
      </w:r>
    </w:p>
    <w:p w14:paraId="48722BF5" w14:textId="77777777" w:rsidR="008576C1" w:rsidRPr="00CC141B" w:rsidRDefault="008576C1" w:rsidP="008576C1">
      <w:r w:rsidRPr="00CC141B">
        <w:t>List of primers:</w:t>
      </w:r>
    </w:p>
    <w:p w14:paraId="5F0D3BE8" w14:textId="77777777" w:rsidR="008576C1" w:rsidRPr="00CC141B" w:rsidRDefault="008576C1" w:rsidP="008576C1">
      <w:r w:rsidRPr="00CC141B">
        <w:t xml:space="preserve">Human GPR183 </w:t>
      </w:r>
    </w:p>
    <w:p w14:paraId="19C00E52" w14:textId="77777777" w:rsidR="008576C1" w:rsidRPr="00CC141B" w:rsidRDefault="008576C1" w:rsidP="008576C1">
      <w:pPr>
        <w:rPr>
          <w:rFonts w:eastAsia="Times New Roman"/>
          <w:lang w:eastAsia="en-AU"/>
        </w:rPr>
      </w:pPr>
      <w:r w:rsidRPr="00CC141B">
        <w:t>forward primer 5’-</w:t>
      </w:r>
      <w:r w:rsidRPr="00CC141B">
        <w:rPr>
          <w:rFonts w:eastAsia="Times New Roman"/>
          <w:lang w:eastAsia="en-AU"/>
        </w:rPr>
        <w:t xml:space="preserve">ACCACCGCTTTGCCTACAC GAA-3’ </w:t>
      </w:r>
    </w:p>
    <w:p w14:paraId="77F22DDC" w14:textId="77777777" w:rsidR="008576C1" w:rsidRPr="00CC141B" w:rsidRDefault="008576C1" w:rsidP="008576C1">
      <w:pPr>
        <w:rPr>
          <w:rFonts w:eastAsia="Times New Roman"/>
          <w:lang w:eastAsia="en-AU"/>
        </w:rPr>
      </w:pPr>
      <w:r w:rsidRPr="00CC141B">
        <w:rPr>
          <w:rFonts w:eastAsia="Times New Roman"/>
          <w:lang w:eastAsia="en-AU"/>
        </w:rPr>
        <w:t xml:space="preserve">reverse primer 5’-CAC CACAGCAATGAAGCGGTCA-3’; </w:t>
      </w:r>
    </w:p>
    <w:p w14:paraId="20D65B77" w14:textId="77777777" w:rsidR="008576C1" w:rsidRPr="00CC141B" w:rsidRDefault="008576C1" w:rsidP="008576C1">
      <w:pPr>
        <w:rPr>
          <w:rFonts w:eastAsia="Times New Roman"/>
          <w:lang w:eastAsia="en-AU"/>
        </w:rPr>
      </w:pPr>
    </w:p>
    <w:p w14:paraId="5A7FB886" w14:textId="77777777" w:rsidR="008576C1" w:rsidRPr="00CC141B" w:rsidRDefault="008576C1" w:rsidP="008576C1">
      <w:pPr>
        <w:rPr>
          <w:rFonts w:eastAsia="Times New Roman"/>
          <w:lang w:eastAsia="en-AU"/>
        </w:rPr>
      </w:pPr>
      <w:r w:rsidRPr="00CC141B">
        <w:rPr>
          <w:rFonts w:eastAsia="Times New Roman"/>
          <w:lang w:eastAsia="en-AU"/>
        </w:rPr>
        <w:t>Human TNF</w:t>
      </w:r>
    </w:p>
    <w:p w14:paraId="70D6D3C7" w14:textId="77777777" w:rsidR="008576C1" w:rsidRPr="00CC141B" w:rsidRDefault="008576C1" w:rsidP="008576C1">
      <w:pPr>
        <w:rPr>
          <w:rFonts w:eastAsia="Times New Roman"/>
          <w:lang w:eastAsia="en-AU"/>
        </w:rPr>
      </w:pPr>
      <w:r w:rsidRPr="00CC141B">
        <w:rPr>
          <w:rFonts w:eastAsia="Times New Roman"/>
          <w:lang w:eastAsia="en-AU"/>
        </w:rPr>
        <w:t xml:space="preserve">forward primer 5’-CTCTTCTGCCTGCTGCACTTTG-3’ </w:t>
      </w:r>
    </w:p>
    <w:p w14:paraId="7C877718" w14:textId="77777777" w:rsidR="008576C1" w:rsidRPr="00CC141B" w:rsidRDefault="008576C1" w:rsidP="008576C1">
      <w:pPr>
        <w:rPr>
          <w:rFonts w:eastAsia="Times New Roman"/>
          <w:lang w:eastAsia="en-AU"/>
        </w:rPr>
      </w:pPr>
      <w:r w:rsidRPr="00CC141B">
        <w:rPr>
          <w:rFonts w:eastAsia="Times New Roman"/>
          <w:lang w:eastAsia="en-AU"/>
        </w:rPr>
        <w:t xml:space="preserve">reverse primer 5’-ATGGGC TACAGGCTTGTCACTC-3’; </w:t>
      </w:r>
    </w:p>
    <w:p w14:paraId="73F0D305" w14:textId="77777777" w:rsidR="008576C1" w:rsidRPr="00CC141B" w:rsidRDefault="008576C1" w:rsidP="008576C1">
      <w:pPr>
        <w:rPr>
          <w:rFonts w:eastAsia="Times New Roman"/>
          <w:lang w:eastAsia="en-AU"/>
        </w:rPr>
      </w:pPr>
    </w:p>
    <w:p w14:paraId="78DC5808" w14:textId="77777777" w:rsidR="008576C1" w:rsidRPr="00CC141B" w:rsidRDefault="008576C1" w:rsidP="008576C1">
      <w:pPr>
        <w:rPr>
          <w:rFonts w:eastAsia="Times New Roman"/>
          <w:lang w:eastAsia="en-AU"/>
        </w:rPr>
      </w:pPr>
      <w:r w:rsidRPr="00CC141B">
        <w:rPr>
          <w:rFonts w:eastAsia="Times New Roman"/>
          <w:lang w:eastAsia="en-AU"/>
        </w:rPr>
        <w:t xml:space="preserve">Human IL10 </w:t>
      </w:r>
    </w:p>
    <w:p w14:paraId="382A166E" w14:textId="77777777" w:rsidR="008576C1" w:rsidRPr="00CC141B" w:rsidRDefault="008576C1" w:rsidP="008576C1">
      <w:pPr>
        <w:rPr>
          <w:rFonts w:eastAsia="Times New Roman"/>
          <w:lang w:eastAsia="en-AU"/>
        </w:rPr>
      </w:pPr>
      <w:r w:rsidRPr="00CC141B">
        <w:rPr>
          <w:rFonts w:eastAsia="Times New Roman"/>
          <w:lang w:eastAsia="en-AU"/>
        </w:rPr>
        <w:t xml:space="preserve">forward primer 5’-TCTC CGAGATGCCTTCAG CAGA-3’ </w:t>
      </w:r>
    </w:p>
    <w:p w14:paraId="41AB469D" w14:textId="77777777" w:rsidR="008576C1" w:rsidRPr="00CC141B" w:rsidRDefault="008576C1" w:rsidP="008576C1">
      <w:pPr>
        <w:rPr>
          <w:rFonts w:eastAsia="Times New Roman"/>
          <w:lang w:eastAsia="en-AU"/>
        </w:rPr>
      </w:pPr>
      <w:r w:rsidRPr="00CC141B">
        <w:rPr>
          <w:rFonts w:eastAsia="Times New Roman"/>
          <w:lang w:eastAsia="en-AU"/>
        </w:rPr>
        <w:lastRenderedPageBreak/>
        <w:t>reverse primer 5’-TCAGACAAGGCTTGGCAACCCA-3’;</w:t>
      </w:r>
    </w:p>
    <w:p w14:paraId="62C0C7E7" w14:textId="77777777" w:rsidR="008576C1" w:rsidRPr="00CC141B" w:rsidRDefault="008576C1" w:rsidP="008576C1"/>
    <w:p w14:paraId="18C1E514" w14:textId="77777777" w:rsidR="008576C1" w:rsidRPr="00CC141B" w:rsidRDefault="008576C1" w:rsidP="008576C1">
      <w:pPr>
        <w:rPr>
          <w:rFonts w:eastAsia="Times New Roman"/>
          <w:lang w:eastAsia="en-AU"/>
        </w:rPr>
      </w:pPr>
      <w:r w:rsidRPr="00CC141B">
        <w:rPr>
          <w:rFonts w:eastAsia="Times New Roman"/>
          <w:lang w:eastAsia="en-AU"/>
        </w:rPr>
        <w:t xml:space="preserve">Human IFNB1 </w:t>
      </w:r>
    </w:p>
    <w:p w14:paraId="617DE2EA" w14:textId="77777777" w:rsidR="008576C1" w:rsidRPr="00CC141B" w:rsidRDefault="008576C1" w:rsidP="008576C1">
      <w:pPr>
        <w:rPr>
          <w:color w:val="000000"/>
          <w:shd w:val="clear" w:color="auto" w:fill="FFFFFF"/>
        </w:rPr>
      </w:pPr>
      <w:r w:rsidRPr="00CC141B">
        <w:rPr>
          <w:rFonts w:eastAsia="Times New Roman"/>
          <w:lang w:eastAsia="en-AU"/>
        </w:rPr>
        <w:t>forward primer 5’-</w:t>
      </w:r>
      <w:r w:rsidRPr="00CC141B">
        <w:rPr>
          <w:color w:val="000000"/>
          <w:shd w:val="clear" w:color="auto" w:fill="FFFFFF"/>
        </w:rPr>
        <w:t xml:space="preserve">ACGCCGCATTGACCATCTAT-3’ </w:t>
      </w:r>
    </w:p>
    <w:p w14:paraId="3577231E" w14:textId="77777777" w:rsidR="008576C1" w:rsidRPr="00CC141B" w:rsidRDefault="008576C1" w:rsidP="008576C1">
      <w:pPr>
        <w:rPr>
          <w:rFonts w:eastAsia="Times New Roman"/>
          <w:lang w:eastAsia="en-AU"/>
        </w:rPr>
      </w:pPr>
      <w:r w:rsidRPr="00CC141B">
        <w:rPr>
          <w:color w:val="000000"/>
          <w:shd w:val="clear" w:color="auto" w:fill="FFFFFF"/>
        </w:rPr>
        <w:t>reverse primer 5’-GTCTCATTCCAGCCAGTGCT-3’;</w:t>
      </w:r>
      <w:r w:rsidRPr="00CC141B">
        <w:rPr>
          <w:rFonts w:eastAsia="Times New Roman"/>
          <w:lang w:eastAsia="en-AU"/>
        </w:rPr>
        <w:t xml:space="preserve"> </w:t>
      </w:r>
    </w:p>
    <w:p w14:paraId="368B1642" w14:textId="77777777" w:rsidR="008576C1" w:rsidRPr="00CC141B" w:rsidRDefault="008576C1" w:rsidP="008576C1">
      <w:pPr>
        <w:rPr>
          <w:rFonts w:eastAsia="Times New Roman"/>
          <w:lang w:eastAsia="en-AU"/>
        </w:rPr>
      </w:pPr>
    </w:p>
    <w:p w14:paraId="10E1AC15" w14:textId="77777777" w:rsidR="008576C1" w:rsidRPr="00CC141B" w:rsidRDefault="008576C1" w:rsidP="008576C1">
      <w:pPr>
        <w:rPr>
          <w:rFonts w:eastAsia="Times New Roman"/>
          <w:lang w:eastAsia="en-AU"/>
        </w:rPr>
      </w:pPr>
      <w:r w:rsidRPr="00CC141B">
        <w:rPr>
          <w:rFonts w:eastAsia="Times New Roman"/>
          <w:lang w:eastAsia="en-AU"/>
        </w:rPr>
        <w:t xml:space="preserve">Human IRF1 </w:t>
      </w:r>
    </w:p>
    <w:p w14:paraId="3C936DC2" w14:textId="77777777" w:rsidR="008576C1" w:rsidRPr="00CC141B" w:rsidRDefault="008576C1" w:rsidP="008576C1">
      <w:pPr>
        <w:rPr>
          <w:color w:val="000000"/>
          <w:shd w:val="clear" w:color="auto" w:fill="FFFFFF"/>
        </w:rPr>
      </w:pPr>
      <w:r w:rsidRPr="00CC141B">
        <w:rPr>
          <w:rFonts w:eastAsia="Times New Roman"/>
          <w:lang w:eastAsia="en-AU"/>
        </w:rPr>
        <w:t>forward primer 5’-</w:t>
      </w:r>
      <w:r w:rsidRPr="00CC141B">
        <w:rPr>
          <w:color w:val="000000"/>
          <w:shd w:val="clear" w:color="auto" w:fill="FFFFFF"/>
        </w:rPr>
        <w:t>GAGGAGGTGAAAGACCAGAGCA-3’</w:t>
      </w:r>
    </w:p>
    <w:p w14:paraId="7EE673EE" w14:textId="77777777" w:rsidR="008576C1" w:rsidRPr="00CC141B" w:rsidRDefault="008576C1" w:rsidP="008576C1">
      <w:pPr>
        <w:rPr>
          <w:color w:val="000000"/>
          <w:shd w:val="clear" w:color="auto" w:fill="FFFFFF"/>
        </w:rPr>
      </w:pPr>
      <w:r w:rsidRPr="00CC141B">
        <w:rPr>
          <w:color w:val="000000"/>
          <w:shd w:val="clear" w:color="auto" w:fill="FFFFFF"/>
        </w:rPr>
        <w:t>reverse primer 5’-TAGCATCTCGGCTGGACTTCGA-3’;</w:t>
      </w:r>
    </w:p>
    <w:p w14:paraId="69FA6419" w14:textId="77777777" w:rsidR="008576C1" w:rsidRPr="00CC141B" w:rsidRDefault="008576C1" w:rsidP="008576C1">
      <w:pPr>
        <w:rPr>
          <w:rFonts w:eastAsia="Times New Roman"/>
          <w:lang w:eastAsia="en-AU"/>
        </w:rPr>
      </w:pPr>
    </w:p>
    <w:p w14:paraId="45DF0FFD" w14:textId="77777777" w:rsidR="008576C1" w:rsidRPr="00CC141B" w:rsidRDefault="008576C1" w:rsidP="008576C1">
      <w:pPr>
        <w:rPr>
          <w:rFonts w:eastAsia="Times New Roman"/>
          <w:lang w:eastAsia="en-AU"/>
        </w:rPr>
      </w:pPr>
      <w:r w:rsidRPr="00CC141B">
        <w:rPr>
          <w:rFonts w:eastAsia="Times New Roman"/>
          <w:lang w:eastAsia="en-AU"/>
        </w:rPr>
        <w:t>Human IRF3</w:t>
      </w:r>
    </w:p>
    <w:p w14:paraId="19752EE2" w14:textId="77777777" w:rsidR="008576C1" w:rsidRPr="00CC141B" w:rsidRDefault="008576C1" w:rsidP="008576C1">
      <w:r w:rsidRPr="00CC141B">
        <w:rPr>
          <w:rFonts w:eastAsia="Times New Roman"/>
          <w:lang w:eastAsia="en-AU"/>
        </w:rPr>
        <w:t>forward primer 5’-</w:t>
      </w:r>
      <w:r w:rsidRPr="00CC141B">
        <w:t xml:space="preserve">TCTGCCCTCAACCGCAAAGAAG-3’ </w:t>
      </w:r>
    </w:p>
    <w:p w14:paraId="3F946300" w14:textId="77777777" w:rsidR="008576C1" w:rsidRPr="00CC141B" w:rsidRDefault="008576C1" w:rsidP="008576C1">
      <w:pPr>
        <w:rPr>
          <w:shd w:val="clear" w:color="auto" w:fill="FFFFFF"/>
        </w:rPr>
      </w:pPr>
      <w:r w:rsidRPr="00CC141B">
        <w:t>reverse primer 5’-</w:t>
      </w:r>
      <w:r w:rsidRPr="00CC141B">
        <w:rPr>
          <w:shd w:val="clear" w:color="auto" w:fill="FFFFFF"/>
        </w:rPr>
        <w:t xml:space="preserve">TACTGCCTCCACCATTGGTGTC-3’; </w:t>
      </w:r>
    </w:p>
    <w:p w14:paraId="3AA6DB1B" w14:textId="77777777" w:rsidR="008576C1" w:rsidRPr="00CC141B" w:rsidRDefault="008576C1" w:rsidP="008576C1">
      <w:pPr>
        <w:rPr>
          <w:shd w:val="clear" w:color="auto" w:fill="FFFFFF"/>
        </w:rPr>
      </w:pPr>
    </w:p>
    <w:p w14:paraId="2E306810" w14:textId="77777777" w:rsidR="008576C1" w:rsidRPr="00CC141B" w:rsidRDefault="008576C1" w:rsidP="008576C1">
      <w:pPr>
        <w:rPr>
          <w:shd w:val="clear" w:color="auto" w:fill="FFFFFF"/>
        </w:rPr>
      </w:pPr>
      <w:r w:rsidRPr="00CC141B">
        <w:rPr>
          <w:shd w:val="clear" w:color="auto" w:fill="FFFFFF"/>
        </w:rPr>
        <w:t xml:space="preserve">Human IRF5 </w:t>
      </w:r>
    </w:p>
    <w:p w14:paraId="1214EBB5" w14:textId="77777777" w:rsidR="008576C1" w:rsidRPr="00CC141B" w:rsidRDefault="008576C1" w:rsidP="008576C1">
      <w:r w:rsidRPr="00CC141B">
        <w:rPr>
          <w:shd w:val="clear" w:color="auto" w:fill="FFFFFF"/>
        </w:rPr>
        <w:t>forward primer 5’-</w:t>
      </w:r>
      <w:r w:rsidRPr="00CC141B">
        <w:t xml:space="preserve">TATGCCATCCGCCTGT GTCAGT-3’ </w:t>
      </w:r>
    </w:p>
    <w:p w14:paraId="47A33394" w14:textId="77777777" w:rsidR="008576C1" w:rsidRPr="00CC141B" w:rsidRDefault="008576C1" w:rsidP="008576C1">
      <w:pPr>
        <w:rPr>
          <w:shd w:val="clear" w:color="auto" w:fill="FFFFFF"/>
        </w:rPr>
      </w:pPr>
      <w:r w:rsidRPr="00CC141B">
        <w:t>reverse primer 5’-</w:t>
      </w:r>
      <w:r w:rsidRPr="00CC141B">
        <w:rPr>
          <w:shd w:val="clear" w:color="auto" w:fill="FFFFFF"/>
        </w:rPr>
        <w:t xml:space="preserve">GCCCTTTTGGAACAGGATGAGC-3’; </w:t>
      </w:r>
    </w:p>
    <w:p w14:paraId="5AFE90C7" w14:textId="77777777" w:rsidR="008576C1" w:rsidRPr="00CC141B" w:rsidRDefault="008576C1" w:rsidP="008576C1">
      <w:pPr>
        <w:rPr>
          <w:shd w:val="clear" w:color="auto" w:fill="FFFFFF"/>
        </w:rPr>
      </w:pPr>
    </w:p>
    <w:p w14:paraId="7304FE3A" w14:textId="77777777" w:rsidR="008576C1" w:rsidRPr="00CC141B" w:rsidRDefault="008576C1" w:rsidP="008576C1">
      <w:pPr>
        <w:rPr>
          <w:shd w:val="clear" w:color="auto" w:fill="FFFFFF"/>
        </w:rPr>
      </w:pPr>
      <w:r w:rsidRPr="00CC141B">
        <w:rPr>
          <w:shd w:val="clear" w:color="auto" w:fill="FFFFFF"/>
        </w:rPr>
        <w:t xml:space="preserve">Human IRF7 </w:t>
      </w:r>
    </w:p>
    <w:p w14:paraId="2199F268" w14:textId="77777777" w:rsidR="008576C1" w:rsidRPr="00CC141B" w:rsidRDefault="008576C1" w:rsidP="008576C1">
      <w:pPr>
        <w:rPr>
          <w:rFonts w:eastAsia="Times New Roman"/>
          <w:lang w:eastAsia="en-AU"/>
        </w:rPr>
      </w:pPr>
      <w:r w:rsidRPr="00CC141B">
        <w:rPr>
          <w:shd w:val="clear" w:color="auto" w:fill="FFFFFF"/>
        </w:rPr>
        <w:t>forward primer 5’-</w:t>
      </w:r>
      <w:r w:rsidRPr="00CC141B">
        <w:rPr>
          <w:rFonts w:eastAsia="Times New Roman"/>
          <w:lang w:eastAsia="en-AU"/>
        </w:rPr>
        <w:t xml:space="preserve">CCACGCTATACCATCTACCTGG-3’ </w:t>
      </w:r>
    </w:p>
    <w:p w14:paraId="29F532A9" w14:textId="77777777" w:rsidR="008576C1" w:rsidRPr="00CC141B" w:rsidRDefault="008576C1" w:rsidP="008576C1">
      <w:pPr>
        <w:rPr>
          <w:shd w:val="clear" w:color="auto" w:fill="FFFFFF"/>
        </w:rPr>
      </w:pPr>
      <w:r w:rsidRPr="00CC141B">
        <w:rPr>
          <w:rFonts w:eastAsia="Times New Roman"/>
          <w:lang w:eastAsia="en-AU"/>
        </w:rPr>
        <w:t>reverse primer 5’-GCTGCTATCCAGGGAAGACACA-3’;</w:t>
      </w:r>
      <w:r w:rsidRPr="00CC141B">
        <w:rPr>
          <w:shd w:val="clear" w:color="auto" w:fill="FFFFFF"/>
        </w:rPr>
        <w:t xml:space="preserve"> </w:t>
      </w:r>
    </w:p>
    <w:p w14:paraId="3EA53DAF" w14:textId="77777777" w:rsidR="008576C1" w:rsidRPr="00CC141B" w:rsidRDefault="008576C1" w:rsidP="008576C1">
      <w:pPr>
        <w:rPr>
          <w:rFonts w:eastAsia="Times New Roman"/>
          <w:lang w:eastAsia="en-AU"/>
        </w:rPr>
      </w:pPr>
    </w:p>
    <w:p w14:paraId="643C3691" w14:textId="77777777" w:rsidR="008576C1" w:rsidRPr="00CC141B" w:rsidRDefault="008576C1" w:rsidP="008576C1">
      <w:pPr>
        <w:rPr>
          <w:rFonts w:eastAsia="Times New Roman"/>
          <w:lang w:eastAsia="en-AU"/>
        </w:rPr>
      </w:pPr>
      <w:r w:rsidRPr="00CC141B">
        <w:rPr>
          <w:rFonts w:eastAsia="Times New Roman"/>
          <w:lang w:eastAsia="en-AU"/>
        </w:rPr>
        <w:t xml:space="preserve">Human RPS13 </w:t>
      </w:r>
    </w:p>
    <w:p w14:paraId="75064A44" w14:textId="77777777" w:rsidR="008576C1" w:rsidRPr="00CC141B" w:rsidRDefault="008576C1" w:rsidP="008576C1">
      <w:pPr>
        <w:rPr>
          <w:rFonts w:eastAsia="Times New Roman"/>
          <w:lang w:eastAsia="en-AU"/>
        </w:rPr>
      </w:pPr>
      <w:r w:rsidRPr="00CC141B">
        <w:rPr>
          <w:rFonts w:eastAsia="Times New Roman"/>
          <w:lang w:eastAsia="en-AU"/>
        </w:rPr>
        <w:t xml:space="preserve">forward primer 5’-GCCTT ACTCCTTCACAGATCGG-3’ </w:t>
      </w:r>
    </w:p>
    <w:p w14:paraId="0D5BFAA2" w14:textId="77777777" w:rsidR="008576C1" w:rsidRPr="00CC141B" w:rsidRDefault="008576C1" w:rsidP="008576C1">
      <w:pPr>
        <w:rPr>
          <w:shd w:val="clear" w:color="auto" w:fill="FFFFFF"/>
        </w:rPr>
      </w:pPr>
      <w:r w:rsidRPr="00CC141B">
        <w:rPr>
          <w:rFonts w:eastAsia="Times New Roman"/>
          <w:lang w:eastAsia="en-AU"/>
        </w:rPr>
        <w:t>reverse primer 5’-GGAAGATCAGGAGCA AGTCCCT-3’</w:t>
      </w:r>
      <w:r w:rsidRPr="00CC141B">
        <w:rPr>
          <w:shd w:val="clear" w:color="auto" w:fill="FFFFFF"/>
        </w:rPr>
        <w:t>;</w:t>
      </w:r>
    </w:p>
    <w:p w14:paraId="1CAAC9EF" w14:textId="77777777" w:rsidR="008576C1" w:rsidRPr="00CC141B" w:rsidRDefault="008576C1" w:rsidP="008576C1">
      <w:pPr>
        <w:rPr>
          <w:shd w:val="clear" w:color="auto" w:fill="FFFFFF"/>
        </w:rPr>
      </w:pPr>
      <w:r w:rsidRPr="00CC141B">
        <w:rPr>
          <w:rFonts w:eastAsia="Times New Roman"/>
          <w:color w:val="000000"/>
          <w:lang w:eastAsia="en-GB"/>
        </w:rPr>
        <w:lastRenderedPageBreak/>
        <w:t>  </w:t>
      </w:r>
    </w:p>
    <w:p w14:paraId="5F118853" w14:textId="77777777" w:rsidR="008576C1" w:rsidRPr="00CC141B" w:rsidRDefault="008576C1" w:rsidP="008576C1">
      <w:pPr>
        <w:rPr>
          <w:rFonts w:eastAsia="Times New Roman"/>
          <w:lang w:eastAsia="en-GB"/>
        </w:rPr>
      </w:pPr>
      <w:r w:rsidRPr="00CC141B">
        <w:rPr>
          <w:rFonts w:eastAsia="Times New Roman"/>
          <w:lang w:eastAsia="en-GB"/>
        </w:rPr>
        <w:t xml:space="preserve">Mouse </w:t>
      </w:r>
      <w:proofErr w:type="spellStart"/>
      <w:r>
        <w:rPr>
          <w:rFonts w:eastAsia="Times New Roman"/>
          <w:i/>
          <w:iCs/>
          <w:lang w:eastAsia="en-GB"/>
        </w:rPr>
        <w:t>Hprt</w:t>
      </w:r>
      <w:proofErr w:type="spellEnd"/>
    </w:p>
    <w:p w14:paraId="3EA7C253" w14:textId="77777777" w:rsidR="008576C1" w:rsidRPr="00602EF7" w:rsidRDefault="008576C1" w:rsidP="008576C1">
      <w:pPr>
        <w:rPr>
          <w:rFonts w:eastAsia="Times New Roman"/>
          <w:color w:val="000000"/>
          <w:szCs w:val="24"/>
          <w:lang w:eastAsia="en-GB"/>
        </w:rPr>
      </w:pPr>
      <w:r w:rsidRPr="00CC141B">
        <w:rPr>
          <w:rFonts w:eastAsia="Times New Roman"/>
          <w:lang w:eastAsia="en-GB"/>
        </w:rPr>
        <w:t>forward primer 5’-</w:t>
      </w:r>
      <w:r w:rsidRPr="00CC141B">
        <w:rPr>
          <w:rFonts w:eastAsia="Times New Roman"/>
          <w:color w:val="000000"/>
          <w:lang w:eastAsia="en-GB"/>
        </w:rPr>
        <w:t>CCCCAAAATGGTTAAGGTTGC-3’</w:t>
      </w:r>
    </w:p>
    <w:p w14:paraId="44D6D2C1" w14:textId="77777777" w:rsidR="008576C1" w:rsidRPr="00602EF7" w:rsidRDefault="008576C1" w:rsidP="008576C1">
      <w:pPr>
        <w:rPr>
          <w:rFonts w:eastAsia="Times New Roman"/>
          <w:szCs w:val="24"/>
          <w:lang w:eastAsia="en-GB"/>
        </w:rPr>
      </w:pPr>
      <w:r w:rsidRPr="00602EF7">
        <w:rPr>
          <w:rFonts w:eastAsia="Times New Roman"/>
          <w:color w:val="000000"/>
          <w:szCs w:val="24"/>
          <w:lang w:eastAsia="en-GB"/>
        </w:rPr>
        <w:t>reverse primer 5’-</w:t>
      </w:r>
      <w:r w:rsidRPr="00602EF7">
        <w:rPr>
          <w:color w:val="000000"/>
          <w:szCs w:val="24"/>
        </w:rPr>
        <w:t xml:space="preserve"> </w:t>
      </w:r>
      <w:r w:rsidRPr="00602EF7">
        <w:rPr>
          <w:rFonts w:eastAsia="Times New Roman"/>
          <w:color w:val="000000"/>
          <w:szCs w:val="24"/>
          <w:lang w:eastAsia="en-GB"/>
        </w:rPr>
        <w:t>AACAAAGTCTGGCCTGTATCC-3’;</w:t>
      </w:r>
    </w:p>
    <w:p w14:paraId="005FFF79" w14:textId="77777777" w:rsidR="008576C1" w:rsidRPr="00602EF7" w:rsidRDefault="008576C1" w:rsidP="008576C1">
      <w:pPr>
        <w:rPr>
          <w:szCs w:val="24"/>
        </w:rPr>
      </w:pPr>
    </w:p>
    <w:p w14:paraId="7DD871C3" w14:textId="77777777" w:rsidR="008576C1" w:rsidRPr="00602EF7" w:rsidRDefault="008576C1" w:rsidP="008576C1">
      <w:pPr>
        <w:rPr>
          <w:szCs w:val="24"/>
        </w:rPr>
      </w:pPr>
      <w:r w:rsidRPr="00602EF7">
        <w:rPr>
          <w:szCs w:val="24"/>
        </w:rPr>
        <w:t xml:space="preserve">Mouse </w:t>
      </w:r>
      <w:r w:rsidRPr="00BC0C42">
        <w:rPr>
          <w:i/>
          <w:iCs/>
          <w:szCs w:val="24"/>
        </w:rPr>
        <w:t>Ifnb</w:t>
      </w:r>
      <w:r>
        <w:rPr>
          <w:i/>
          <w:iCs/>
          <w:szCs w:val="24"/>
        </w:rPr>
        <w:t>1</w:t>
      </w:r>
    </w:p>
    <w:p w14:paraId="73913781" w14:textId="77777777" w:rsidR="008576C1" w:rsidRPr="00602EF7" w:rsidRDefault="008576C1" w:rsidP="008576C1">
      <w:pPr>
        <w:rPr>
          <w:rFonts w:eastAsia="Times New Roman"/>
          <w:color w:val="000000"/>
          <w:szCs w:val="24"/>
          <w:lang w:eastAsia="en-GB"/>
        </w:rPr>
      </w:pPr>
      <w:r w:rsidRPr="00602EF7">
        <w:rPr>
          <w:rFonts w:eastAsia="Times New Roman"/>
          <w:szCs w:val="24"/>
          <w:lang w:eastAsia="en-GB"/>
        </w:rPr>
        <w:t xml:space="preserve">forward primer 5’- </w:t>
      </w:r>
      <w:r w:rsidRPr="00602EF7">
        <w:rPr>
          <w:szCs w:val="24"/>
        </w:rPr>
        <w:t>GTCCTCAACTGCTCTCCACT-3ʹ</w:t>
      </w:r>
    </w:p>
    <w:p w14:paraId="250B4D38" w14:textId="77777777" w:rsidR="008576C1" w:rsidRPr="00602EF7" w:rsidRDefault="008576C1" w:rsidP="008576C1">
      <w:pPr>
        <w:rPr>
          <w:rFonts w:eastAsia="Times New Roman"/>
          <w:szCs w:val="24"/>
          <w:lang w:eastAsia="en-GB"/>
        </w:rPr>
      </w:pPr>
      <w:r w:rsidRPr="00602EF7">
        <w:rPr>
          <w:rFonts w:eastAsia="Times New Roman"/>
          <w:color w:val="000000"/>
          <w:szCs w:val="24"/>
          <w:lang w:eastAsia="en-GB"/>
        </w:rPr>
        <w:t>reverse primer 5’</w:t>
      </w:r>
      <w:r w:rsidRPr="00602EF7">
        <w:rPr>
          <w:rFonts w:eastAsia="Times New Roman"/>
          <w:szCs w:val="24"/>
          <w:lang w:eastAsia="en-GB"/>
        </w:rPr>
        <w:t>-</w:t>
      </w:r>
      <w:r w:rsidRPr="00602EF7">
        <w:rPr>
          <w:szCs w:val="24"/>
        </w:rPr>
        <w:t xml:space="preserve"> CCT GCAACCACCACTCATTC-3ʹ.</w:t>
      </w:r>
    </w:p>
    <w:p w14:paraId="3D9E32D6" w14:textId="77777777" w:rsidR="008576C1" w:rsidRPr="00602EF7" w:rsidRDefault="008576C1" w:rsidP="008576C1">
      <w:pPr>
        <w:rPr>
          <w:szCs w:val="24"/>
        </w:rPr>
      </w:pPr>
    </w:p>
    <w:p w14:paraId="79111F3E" w14:textId="77777777" w:rsidR="008576C1" w:rsidRPr="00602EF7" w:rsidRDefault="008576C1" w:rsidP="008576C1">
      <w:pPr>
        <w:rPr>
          <w:szCs w:val="24"/>
        </w:rPr>
      </w:pPr>
      <w:r w:rsidRPr="00602EF7">
        <w:rPr>
          <w:szCs w:val="24"/>
        </w:rPr>
        <w:t xml:space="preserve">Mouse </w:t>
      </w:r>
      <w:proofErr w:type="spellStart"/>
      <w:r w:rsidRPr="00BC0C42">
        <w:rPr>
          <w:i/>
          <w:iCs/>
          <w:szCs w:val="24"/>
        </w:rPr>
        <w:t>Ifng</w:t>
      </w:r>
      <w:proofErr w:type="spellEnd"/>
    </w:p>
    <w:p w14:paraId="20E8961F" w14:textId="77777777" w:rsidR="008576C1" w:rsidRPr="00602EF7" w:rsidRDefault="008576C1" w:rsidP="008576C1">
      <w:pPr>
        <w:rPr>
          <w:rFonts w:eastAsia="Times New Roman"/>
          <w:color w:val="000000"/>
          <w:szCs w:val="24"/>
          <w:lang w:eastAsia="en-GB"/>
        </w:rPr>
      </w:pPr>
      <w:r w:rsidRPr="00602EF7">
        <w:rPr>
          <w:rFonts w:eastAsia="Times New Roman"/>
          <w:szCs w:val="24"/>
          <w:lang w:eastAsia="en-GB"/>
        </w:rPr>
        <w:t>forward primer 5’- CAGCAACAGCAAGGCGAAAAAG</w:t>
      </w:r>
      <w:r w:rsidRPr="00602EF7">
        <w:rPr>
          <w:rFonts w:eastAsia="Times New Roman"/>
          <w:color w:val="000000"/>
          <w:szCs w:val="24"/>
          <w:lang w:eastAsia="en-GB"/>
        </w:rPr>
        <w:t>-3’</w:t>
      </w:r>
    </w:p>
    <w:p w14:paraId="15D3DBD6" w14:textId="77777777" w:rsidR="008576C1" w:rsidRPr="00602EF7" w:rsidRDefault="008576C1" w:rsidP="008576C1">
      <w:pPr>
        <w:rPr>
          <w:rFonts w:eastAsia="Times New Roman"/>
          <w:szCs w:val="24"/>
          <w:lang w:eastAsia="en-GB"/>
        </w:rPr>
      </w:pPr>
      <w:r w:rsidRPr="00602EF7">
        <w:rPr>
          <w:rFonts w:eastAsia="Times New Roman"/>
          <w:color w:val="000000"/>
          <w:szCs w:val="24"/>
          <w:lang w:eastAsia="en-GB"/>
        </w:rPr>
        <w:t>reverse primer 5’</w:t>
      </w:r>
      <w:r w:rsidRPr="00602EF7">
        <w:rPr>
          <w:rFonts w:eastAsia="Times New Roman"/>
          <w:szCs w:val="24"/>
          <w:lang w:eastAsia="en-GB"/>
        </w:rPr>
        <w:t>- TTTCCGCTTCCTGAGGCTGGAT</w:t>
      </w:r>
      <w:r w:rsidRPr="00602EF7">
        <w:rPr>
          <w:rFonts w:eastAsia="Times New Roman"/>
          <w:color w:val="000000"/>
          <w:szCs w:val="24"/>
          <w:lang w:eastAsia="en-GB"/>
        </w:rPr>
        <w:t>-3’</w:t>
      </w:r>
    </w:p>
    <w:p w14:paraId="7BA55989" w14:textId="77777777" w:rsidR="008576C1" w:rsidRPr="00602EF7" w:rsidRDefault="008576C1" w:rsidP="008576C1">
      <w:pPr>
        <w:rPr>
          <w:szCs w:val="24"/>
        </w:rPr>
      </w:pPr>
    </w:p>
    <w:p w14:paraId="1168D0D6" w14:textId="77777777" w:rsidR="008576C1" w:rsidRPr="00602EF7" w:rsidRDefault="008576C1" w:rsidP="008576C1">
      <w:pPr>
        <w:rPr>
          <w:szCs w:val="24"/>
        </w:rPr>
      </w:pPr>
      <w:r w:rsidRPr="00602EF7">
        <w:rPr>
          <w:szCs w:val="24"/>
        </w:rPr>
        <w:t xml:space="preserve">Mouse </w:t>
      </w:r>
      <w:r w:rsidRPr="00BC0C42">
        <w:rPr>
          <w:i/>
          <w:iCs/>
          <w:szCs w:val="24"/>
        </w:rPr>
        <w:t>Irf3</w:t>
      </w:r>
    </w:p>
    <w:p w14:paraId="7D206327" w14:textId="77777777" w:rsidR="008576C1" w:rsidRPr="00602EF7" w:rsidRDefault="008576C1" w:rsidP="008576C1">
      <w:pPr>
        <w:rPr>
          <w:rFonts w:eastAsia="Times New Roman"/>
          <w:color w:val="000000"/>
          <w:szCs w:val="24"/>
          <w:lang w:eastAsia="en-GB"/>
        </w:rPr>
      </w:pPr>
      <w:r w:rsidRPr="00602EF7">
        <w:rPr>
          <w:rFonts w:eastAsia="Times New Roman"/>
          <w:szCs w:val="24"/>
          <w:lang w:eastAsia="en-GB"/>
        </w:rPr>
        <w:t xml:space="preserve">forward primer 5’- </w:t>
      </w:r>
      <w:r w:rsidRPr="00602EF7">
        <w:rPr>
          <w:szCs w:val="24"/>
        </w:rPr>
        <w:t>CGGAAAGAAGTGTTGCGGTTAGC</w:t>
      </w:r>
      <w:r w:rsidRPr="00602EF7">
        <w:rPr>
          <w:rFonts w:eastAsia="Times New Roman"/>
          <w:color w:val="000000"/>
          <w:szCs w:val="24"/>
          <w:lang w:eastAsia="en-GB"/>
        </w:rPr>
        <w:t>-3’</w:t>
      </w:r>
    </w:p>
    <w:p w14:paraId="5E88BEF6" w14:textId="77777777" w:rsidR="008576C1" w:rsidRPr="00602EF7" w:rsidRDefault="008576C1" w:rsidP="008576C1">
      <w:pPr>
        <w:rPr>
          <w:szCs w:val="24"/>
        </w:rPr>
      </w:pPr>
      <w:r w:rsidRPr="00602EF7">
        <w:rPr>
          <w:rFonts w:eastAsia="Times New Roman"/>
          <w:color w:val="000000"/>
          <w:szCs w:val="24"/>
          <w:lang w:eastAsia="en-GB"/>
        </w:rPr>
        <w:t>reverse primer 5’</w:t>
      </w:r>
      <w:r w:rsidRPr="00602EF7">
        <w:rPr>
          <w:rFonts w:eastAsia="Times New Roman"/>
          <w:szCs w:val="24"/>
          <w:lang w:eastAsia="en-GB"/>
        </w:rPr>
        <w:t>-</w:t>
      </w:r>
      <w:r w:rsidRPr="00602EF7">
        <w:rPr>
          <w:szCs w:val="24"/>
        </w:rPr>
        <w:t xml:space="preserve"> CAGGCTGCTTTTGCCATTGGTG</w:t>
      </w:r>
      <w:r w:rsidRPr="00602EF7">
        <w:rPr>
          <w:rFonts w:eastAsia="Times New Roman"/>
          <w:color w:val="000000"/>
          <w:szCs w:val="24"/>
          <w:lang w:eastAsia="en-GB"/>
        </w:rPr>
        <w:t>-3’</w:t>
      </w:r>
    </w:p>
    <w:p w14:paraId="3F12BD82" w14:textId="77777777" w:rsidR="008576C1" w:rsidRPr="00602EF7" w:rsidRDefault="008576C1" w:rsidP="008576C1">
      <w:pPr>
        <w:rPr>
          <w:szCs w:val="24"/>
        </w:rPr>
      </w:pPr>
    </w:p>
    <w:p w14:paraId="4CFCEB68" w14:textId="77777777" w:rsidR="008576C1" w:rsidRPr="00602EF7" w:rsidRDefault="008576C1" w:rsidP="008576C1">
      <w:pPr>
        <w:rPr>
          <w:szCs w:val="24"/>
        </w:rPr>
      </w:pPr>
      <w:r w:rsidRPr="00602EF7">
        <w:rPr>
          <w:szCs w:val="24"/>
        </w:rPr>
        <w:t xml:space="preserve">Mouse </w:t>
      </w:r>
      <w:r w:rsidRPr="00BC0C42">
        <w:rPr>
          <w:i/>
          <w:iCs/>
          <w:szCs w:val="24"/>
        </w:rPr>
        <w:t>Irf5</w:t>
      </w:r>
    </w:p>
    <w:p w14:paraId="1DDFE40D" w14:textId="77777777" w:rsidR="008576C1" w:rsidRPr="00602EF7" w:rsidRDefault="008576C1" w:rsidP="008576C1">
      <w:pPr>
        <w:rPr>
          <w:rFonts w:eastAsia="Times New Roman"/>
          <w:color w:val="000000"/>
          <w:szCs w:val="24"/>
          <w:lang w:eastAsia="en-GB"/>
        </w:rPr>
      </w:pPr>
      <w:r w:rsidRPr="00602EF7">
        <w:rPr>
          <w:rFonts w:eastAsia="Times New Roman"/>
          <w:szCs w:val="24"/>
          <w:lang w:eastAsia="en-GB"/>
        </w:rPr>
        <w:t>forward primer 5’-</w:t>
      </w:r>
      <w:r w:rsidRPr="00602EF7">
        <w:rPr>
          <w:szCs w:val="24"/>
        </w:rPr>
        <w:t xml:space="preserve"> CCTACAGAACCACTCTTGCCTG</w:t>
      </w:r>
      <w:r w:rsidRPr="00602EF7">
        <w:rPr>
          <w:rFonts w:eastAsia="Times New Roman"/>
          <w:color w:val="000000"/>
          <w:szCs w:val="24"/>
          <w:lang w:eastAsia="en-GB"/>
        </w:rPr>
        <w:t>-3’</w:t>
      </w:r>
      <w:r w:rsidRPr="00602EF7">
        <w:rPr>
          <w:szCs w:val="24"/>
        </w:rPr>
        <w:tab/>
      </w:r>
    </w:p>
    <w:p w14:paraId="313C9673" w14:textId="77777777" w:rsidR="008576C1" w:rsidRPr="00602EF7" w:rsidRDefault="008576C1" w:rsidP="008576C1">
      <w:pPr>
        <w:rPr>
          <w:szCs w:val="24"/>
        </w:rPr>
      </w:pPr>
      <w:r w:rsidRPr="00602EF7">
        <w:rPr>
          <w:rFonts w:eastAsia="Times New Roman"/>
          <w:color w:val="000000"/>
          <w:szCs w:val="24"/>
          <w:lang w:eastAsia="en-GB"/>
        </w:rPr>
        <w:t>reverse primer 5’</w:t>
      </w:r>
      <w:r w:rsidRPr="00602EF7">
        <w:rPr>
          <w:rFonts w:eastAsia="Times New Roman"/>
          <w:szCs w:val="24"/>
          <w:lang w:eastAsia="en-GB"/>
        </w:rPr>
        <w:t>-</w:t>
      </w:r>
      <w:r w:rsidRPr="00602EF7">
        <w:rPr>
          <w:szCs w:val="24"/>
        </w:rPr>
        <w:t xml:space="preserve"> CCTTGTGGGTTGCTAGTGGTGA</w:t>
      </w:r>
      <w:r w:rsidRPr="00602EF7">
        <w:rPr>
          <w:rFonts w:eastAsia="Times New Roman"/>
          <w:color w:val="000000"/>
          <w:szCs w:val="24"/>
          <w:lang w:eastAsia="en-GB"/>
        </w:rPr>
        <w:t>-3’</w:t>
      </w:r>
    </w:p>
    <w:p w14:paraId="7C647771" w14:textId="77777777" w:rsidR="008576C1" w:rsidRPr="00602EF7" w:rsidRDefault="008576C1" w:rsidP="008576C1">
      <w:pPr>
        <w:rPr>
          <w:szCs w:val="24"/>
        </w:rPr>
      </w:pPr>
    </w:p>
    <w:p w14:paraId="354716B3" w14:textId="77777777" w:rsidR="008576C1" w:rsidRPr="00602EF7" w:rsidRDefault="008576C1" w:rsidP="008576C1">
      <w:pPr>
        <w:rPr>
          <w:szCs w:val="24"/>
        </w:rPr>
      </w:pPr>
      <w:r w:rsidRPr="00602EF7">
        <w:rPr>
          <w:szCs w:val="24"/>
        </w:rPr>
        <w:t xml:space="preserve">Mouse </w:t>
      </w:r>
      <w:r w:rsidRPr="00BC0C42">
        <w:rPr>
          <w:i/>
          <w:iCs/>
          <w:szCs w:val="24"/>
        </w:rPr>
        <w:t>Irf7</w:t>
      </w:r>
    </w:p>
    <w:p w14:paraId="033E9331" w14:textId="77777777" w:rsidR="008576C1" w:rsidRPr="00602EF7" w:rsidRDefault="008576C1" w:rsidP="008576C1">
      <w:pPr>
        <w:rPr>
          <w:rFonts w:eastAsia="Times New Roman"/>
          <w:color w:val="000000"/>
          <w:szCs w:val="24"/>
          <w:lang w:eastAsia="en-GB"/>
        </w:rPr>
      </w:pPr>
      <w:r w:rsidRPr="00602EF7">
        <w:rPr>
          <w:rFonts w:eastAsia="Times New Roman"/>
          <w:szCs w:val="24"/>
          <w:lang w:eastAsia="en-GB"/>
        </w:rPr>
        <w:t>forward primer 5’-</w:t>
      </w:r>
      <w:r w:rsidRPr="00602EF7">
        <w:rPr>
          <w:szCs w:val="24"/>
        </w:rPr>
        <w:t xml:space="preserve"> CCTCTGCTTTCTAGTGATGCCG</w:t>
      </w:r>
      <w:r w:rsidRPr="00602EF7">
        <w:rPr>
          <w:rFonts w:eastAsia="Times New Roman"/>
          <w:color w:val="000000"/>
          <w:szCs w:val="24"/>
          <w:lang w:eastAsia="en-GB"/>
        </w:rPr>
        <w:t>-3’</w:t>
      </w:r>
    </w:p>
    <w:p w14:paraId="12A18131" w14:textId="77777777" w:rsidR="008576C1" w:rsidRPr="00602EF7" w:rsidRDefault="008576C1" w:rsidP="008576C1">
      <w:pPr>
        <w:rPr>
          <w:rFonts w:eastAsia="Times New Roman"/>
          <w:szCs w:val="24"/>
          <w:lang w:eastAsia="en-GB"/>
        </w:rPr>
      </w:pPr>
      <w:r w:rsidRPr="00602EF7">
        <w:rPr>
          <w:rFonts w:eastAsia="Times New Roman"/>
          <w:color w:val="000000"/>
          <w:szCs w:val="24"/>
          <w:lang w:eastAsia="en-GB"/>
        </w:rPr>
        <w:t>reverse primer 5’</w:t>
      </w:r>
      <w:r w:rsidRPr="00602EF7">
        <w:rPr>
          <w:rFonts w:eastAsia="Times New Roman"/>
          <w:szCs w:val="24"/>
          <w:lang w:eastAsia="en-GB"/>
        </w:rPr>
        <w:t>-</w:t>
      </w:r>
      <w:r w:rsidRPr="00602EF7">
        <w:rPr>
          <w:szCs w:val="24"/>
        </w:rPr>
        <w:t xml:space="preserve"> CGTAAACACGGTCTTGCTCCTG</w:t>
      </w:r>
      <w:r w:rsidRPr="00602EF7">
        <w:rPr>
          <w:rFonts w:eastAsia="Times New Roman"/>
          <w:color w:val="000000"/>
          <w:szCs w:val="24"/>
          <w:lang w:eastAsia="en-GB"/>
        </w:rPr>
        <w:t>-3’</w:t>
      </w:r>
    </w:p>
    <w:p w14:paraId="58E5E5BB" w14:textId="77777777" w:rsidR="008576C1" w:rsidRPr="00602EF7" w:rsidRDefault="008576C1" w:rsidP="008576C1">
      <w:pPr>
        <w:rPr>
          <w:szCs w:val="24"/>
        </w:rPr>
      </w:pPr>
    </w:p>
    <w:p w14:paraId="06AB18DE" w14:textId="77777777" w:rsidR="008576C1" w:rsidRPr="00602EF7" w:rsidRDefault="008576C1" w:rsidP="008576C1">
      <w:pPr>
        <w:rPr>
          <w:szCs w:val="24"/>
        </w:rPr>
      </w:pPr>
      <w:r w:rsidRPr="00602EF7">
        <w:rPr>
          <w:szCs w:val="24"/>
        </w:rPr>
        <w:t xml:space="preserve">Mouse </w:t>
      </w:r>
      <w:proofErr w:type="spellStart"/>
      <w:r w:rsidRPr="00BC0C42">
        <w:rPr>
          <w:i/>
          <w:iCs/>
          <w:szCs w:val="24"/>
        </w:rPr>
        <w:t>Tnfa</w:t>
      </w:r>
      <w:proofErr w:type="spellEnd"/>
    </w:p>
    <w:p w14:paraId="6CE5BFA2" w14:textId="77777777" w:rsidR="008576C1" w:rsidRPr="00602EF7" w:rsidRDefault="008576C1" w:rsidP="008576C1">
      <w:pPr>
        <w:rPr>
          <w:rFonts w:eastAsia="Times New Roman"/>
          <w:color w:val="000000"/>
          <w:szCs w:val="24"/>
          <w:lang w:eastAsia="en-GB"/>
        </w:rPr>
      </w:pPr>
      <w:r w:rsidRPr="00602EF7">
        <w:rPr>
          <w:rFonts w:eastAsia="Times New Roman"/>
          <w:szCs w:val="24"/>
          <w:lang w:eastAsia="en-GB"/>
        </w:rPr>
        <w:lastRenderedPageBreak/>
        <w:t>forward primer 5’-TAGCCCACGTCGTAGCAAAC</w:t>
      </w:r>
      <w:r w:rsidRPr="00602EF7">
        <w:rPr>
          <w:rFonts w:eastAsia="Times New Roman"/>
          <w:color w:val="000000"/>
          <w:szCs w:val="24"/>
          <w:lang w:eastAsia="en-GB"/>
        </w:rPr>
        <w:t>-3’</w:t>
      </w:r>
    </w:p>
    <w:p w14:paraId="44F59287" w14:textId="77777777" w:rsidR="008576C1" w:rsidRPr="00602EF7" w:rsidRDefault="008576C1" w:rsidP="008576C1">
      <w:pPr>
        <w:rPr>
          <w:szCs w:val="24"/>
        </w:rPr>
      </w:pPr>
      <w:r w:rsidRPr="00602EF7">
        <w:rPr>
          <w:rFonts w:eastAsia="Times New Roman"/>
          <w:color w:val="000000"/>
          <w:szCs w:val="24"/>
          <w:lang w:eastAsia="en-GB"/>
        </w:rPr>
        <w:t>reverse primer 5’</w:t>
      </w:r>
      <w:r w:rsidRPr="00602EF7">
        <w:rPr>
          <w:rFonts w:eastAsia="Times New Roman"/>
          <w:szCs w:val="24"/>
          <w:lang w:eastAsia="en-GB"/>
        </w:rPr>
        <w:t>- ACAAGGTACAACCCATCGGC</w:t>
      </w:r>
      <w:r w:rsidRPr="00602EF7">
        <w:rPr>
          <w:rFonts w:eastAsia="Times New Roman"/>
          <w:color w:val="000000"/>
          <w:szCs w:val="24"/>
          <w:lang w:eastAsia="en-GB"/>
        </w:rPr>
        <w:t>-3’</w:t>
      </w:r>
    </w:p>
    <w:p w14:paraId="1C031572" w14:textId="77777777" w:rsidR="008576C1" w:rsidRPr="00602EF7" w:rsidRDefault="008576C1" w:rsidP="008576C1">
      <w:pPr>
        <w:rPr>
          <w:szCs w:val="24"/>
        </w:rPr>
      </w:pPr>
    </w:p>
    <w:p w14:paraId="3D5A6612" w14:textId="77777777" w:rsidR="008576C1" w:rsidRPr="00602EF7" w:rsidRDefault="008576C1" w:rsidP="008576C1">
      <w:pPr>
        <w:rPr>
          <w:szCs w:val="24"/>
        </w:rPr>
      </w:pPr>
      <w:r w:rsidRPr="00602EF7">
        <w:rPr>
          <w:szCs w:val="24"/>
        </w:rPr>
        <w:t xml:space="preserve">Mouse </w:t>
      </w:r>
      <w:r w:rsidRPr="00BC0C42">
        <w:rPr>
          <w:i/>
          <w:iCs/>
          <w:szCs w:val="24"/>
        </w:rPr>
        <w:t>Il1b</w:t>
      </w:r>
    </w:p>
    <w:p w14:paraId="500A8818" w14:textId="77777777" w:rsidR="008576C1" w:rsidRPr="00602EF7" w:rsidRDefault="008576C1" w:rsidP="008576C1">
      <w:pPr>
        <w:rPr>
          <w:rFonts w:eastAsia="Times New Roman"/>
          <w:color w:val="000000"/>
          <w:szCs w:val="24"/>
          <w:lang w:eastAsia="en-GB"/>
        </w:rPr>
      </w:pPr>
      <w:r w:rsidRPr="00602EF7">
        <w:rPr>
          <w:rFonts w:eastAsia="Times New Roman"/>
          <w:szCs w:val="24"/>
          <w:lang w:eastAsia="en-GB"/>
        </w:rPr>
        <w:t>forward primer 5’- TGGACCTTCCAGGATGAGGACA</w:t>
      </w:r>
      <w:r w:rsidRPr="00602EF7">
        <w:rPr>
          <w:rFonts w:eastAsia="Times New Roman"/>
          <w:color w:val="000000"/>
          <w:szCs w:val="24"/>
          <w:lang w:eastAsia="en-GB"/>
        </w:rPr>
        <w:t>-3’</w:t>
      </w:r>
    </w:p>
    <w:p w14:paraId="3F13EC77" w14:textId="77777777" w:rsidR="008576C1" w:rsidRPr="00602EF7" w:rsidRDefault="008576C1" w:rsidP="008576C1">
      <w:pPr>
        <w:rPr>
          <w:rFonts w:eastAsia="Times New Roman"/>
          <w:szCs w:val="24"/>
          <w:lang w:eastAsia="en-GB"/>
        </w:rPr>
      </w:pPr>
      <w:r w:rsidRPr="00602EF7">
        <w:rPr>
          <w:rFonts w:eastAsia="Times New Roman"/>
          <w:color w:val="000000"/>
          <w:szCs w:val="24"/>
          <w:lang w:eastAsia="en-GB"/>
        </w:rPr>
        <w:t>reverse primer 5’</w:t>
      </w:r>
      <w:r w:rsidRPr="00602EF7">
        <w:rPr>
          <w:rFonts w:eastAsia="Times New Roman"/>
          <w:szCs w:val="24"/>
          <w:lang w:eastAsia="en-GB"/>
        </w:rPr>
        <w:t>- GTTCATCTCGGAGCCTGTAGTG</w:t>
      </w:r>
      <w:r w:rsidRPr="00602EF7">
        <w:rPr>
          <w:rFonts w:eastAsia="Times New Roman"/>
          <w:color w:val="000000"/>
          <w:szCs w:val="24"/>
          <w:lang w:eastAsia="en-GB"/>
        </w:rPr>
        <w:t>-3’</w:t>
      </w:r>
    </w:p>
    <w:p w14:paraId="7A6372B5" w14:textId="77777777" w:rsidR="008576C1" w:rsidRPr="00602EF7" w:rsidRDefault="008576C1" w:rsidP="008576C1">
      <w:pPr>
        <w:spacing w:line="480" w:lineRule="auto"/>
        <w:rPr>
          <w:szCs w:val="24"/>
        </w:rPr>
      </w:pPr>
    </w:p>
    <w:p w14:paraId="54349605" w14:textId="2DDF2057" w:rsidR="008576C1" w:rsidRPr="003F5AB1" w:rsidRDefault="003F5AB1" w:rsidP="008576C1">
      <w:pPr>
        <w:spacing w:line="480" w:lineRule="auto"/>
        <w:jc w:val="both"/>
        <w:rPr>
          <w:rFonts w:cs="Times New Roman"/>
          <w:szCs w:val="24"/>
        </w:rPr>
      </w:pPr>
      <w:r>
        <w:rPr>
          <w:rFonts w:cs="Times New Roman"/>
          <w:szCs w:val="24"/>
        </w:rPr>
        <w:t>References</w:t>
      </w:r>
    </w:p>
    <w:p w14:paraId="6F218C45" w14:textId="77777777" w:rsidR="00893A30" w:rsidRPr="003F5AB1" w:rsidRDefault="008576C1" w:rsidP="003F5AB1">
      <w:pPr>
        <w:pStyle w:val="EndNoteBibliography"/>
        <w:rPr>
          <w:rFonts w:ascii="Times New Roman" w:hAnsi="Times New Roman" w:cs="Times New Roman"/>
        </w:rPr>
      </w:pPr>
      <w:r w:rsidRPr="003F5AB1">
        <w:rPr>
          <w:rFonts w:ascii="Times New Roman" w:hAnsi="Times New Roman" w:cs="Times New Roman"/>
          <w:sz w:val="24"/>
          <w:szCs w:val="24"/>
        </w:rPr>
        <w:fldChar w:fldCharType="begin"/>
      </w:r>
      <w:r w:rsidRPr="003F5AB1">
        <w:rPr>
          <w:rFonts w:ascii="Times New Roman" w:hAnsi="Times New Roman" w:cs="Times New Roman"/>
          <w:sz w:val="24"/>
          <w:szCs w:val="24"/>
        </w:rPr>
        <w:instrText xml:space="preserve"> ADDIN EN.REFLIST </w:instrText>
      </w:r>
      <w:r w:rsidRPr="003F5AB1">
        <w:rPr>
          <w:rFonts w:ascii="Times New Roman" w:hAnsi="Times New Roman" w:cs="Times New Roman"/>
          <w:sz w:val="24"/>
          <w:szCs w:val="24"/>
        </w:rPr>
        <w:fldChar w:fldCharType="separate"/>
      </w:r>
      <w:r w:rsidR="00893A30" w:rsidRPr="003F5AB1">
        <w:rPr>
          <w:rFonts w:ascii="Times New Roman" w:hAnsi="Times New Roman" w:cs="Times New Roman"/>
        </w:rPr>
        <w:t xml:space="preserve">Flores-Valdez, M.A., Pedroza-Roldan, C., Aceves-Sanchez, M.J., Peterson, E.J.R., Baliga, N.S., Hernandez-Pando, R., Troudt, J., Creissen, E., Izzo, L., Bielefeldt-Ohmann, H., Bickett, T., and Izzo, A.A. (2018). The BCGDeltaBCG1419c Vaccine Candidate Reduces Lung Pathology, IL-6, TNF-alpha, and IL-10 During Chronic TB Infection. </w:t>
      </w:r>
      <w:r w:rsidR="00893A30" w:rsidRPr="003F5AB1">
        <w:rPr>
          <w:rFonts w:ascii="Times New Roman" w:hAnsi="Times New Roman" w:cs="Times New Roman"/>
          <w:i/>
        </w:rPr>
        <w:t>Front Microbiol</w:t>
      </w:r>
      <w:r w:rsidR="00893A30" w:rsidRPr="003F5AB1">
        <w:rPr>
          <w:rFonts w:ascii="Times New Roman" w:hAnsi="Times New Roman" w:cs="Times New Roman"/>
        </w:rPr>
        <w:t xml:space="preserve"> 9</w:t>
      </w:r>
      <w:r w:rsidR="00893A30" w:rsidRPr="003F5AB1">
        <w:rPr>
          <w:rFonts w:ascii="Times New Roman" w:hAnsi="Times New Roman" w:cs="Times New Roman"/>
          <w:b/>
        </w:rPr>
        <w:t>,</w:t>
      </w:r>
      <w:r w:rsidR="00893A30" w:rsidRPr="003F5AB1">
        <w:rPr>
          <w:rFonts w:ascii="Times New Roman" w:hAnsi="Times New Roman" w:cs="Times New Roman"/>
        </w:rPr>
        <w:t xml:space="preserve"> 1281.</w:t>
      </w:r>
    </w:p>
    <w:p w14:paraId="4E0257A2" w14:textId="2F15B731" w:rsidR="008576C1" w:rsidRDefault="008576C1" w:rsidP="003F5AB1">
      <w:pPr>
        <w:spacing w:line="480" w:lineRule="auto"/>
        <w:jc w:val="both"/>
      </w:pPr>
      <w:r w:rsidRPr="003F5AB1">
        <w:rPr>
          <w:rFonts w:cs="Times New Roman"/>
          <w:szCs w:val="24"/>
        </w:rPr>
        <w:fldChar w:fldCharType="end"/>
      </w:r>
    </w:p>
    <w:p w14:paraId="3C419443" w14:textId="7AE04404" w:rsidR="00994A3D" w:rsidRPr="008576C1" w:rsidRDefault="00994A3D" w:rsidP="008576C1">
      <w:pPr>
        <w:jc w:val="both"/>
      </w:pPr>
    </w:p>
    <w:p w14:paraId="7B65BC41" w14:textId="77777777" w:rsidR="00DE23E8" w:rsidRPr="001549D3" w:rsidRDefault="00DE23E8" w:rsidP="00654E8F">
      <w:pPr>
        <w:spacing w:before="240"/>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705FD" w16cex:dateUtc="2020-10-06T05: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ED6B2" w14:textId="77777777" w:rsidR="009B7B92" w:rsidRDefault="009B7B92" w:rsidP="00117666">
      <w:pPr>
        <w:spacing w:after="0"/>
      </w:pPr>
      <w:r>
        <w:separator/>
      </w:r>
    </w:p>
  </w:endnote>
  <w:endnote w:type="continuationSeparator" w:id="0">
    <w:p w14:paraId="663E92EB" w14:textId="77777777" w:rsidR="009B7B92" w:rsidRDefault="009B7B9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8580F" w14:textId="77777777" w:rsidR="009B7B92" w:rsidRDefault="009B7B92" w:rsidP="00117666">
      <w:pPr>
        <w:spacing w:after="0"/>
      </w:pPr>
      <w:r>
        <w:separator/>
      </w:r>
    </w:p>
  </w:footnote>
  <w:footnote w:type="continuationSeparator" w:id="0">
    <w:p w14:paraId="001E1CCD" w14:textId="77777777" w:rsidR="009B7B92" w:rsidRDefault="009B7B9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Frontiers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z92f0945sv9tewxvlx905a25za5wvv9wrf&quot;&gt;paper&lt;record-ids&gt;&lt;item&gt;44&lt;/item&gt;&lt;/record-ids&gt;&lt;/item&gt;&lt;/Libraries&gt;"/>
  </w:docVars>
  <w:rsids>
    <w:rsidRoot w:val="00ED20B5"/>
    <w:rsid w:val="00010FB4"/>
    <w:rsid w:val="0001436A"/>
    <w:rsid w:val="00034304"/>
    <w:rsid w:val="00035434"/>
    <w:rsid w:val="00052A14"/>
    <w:rsid w:val="00077D53"/>
    <w:rsid w:val="00105FD9"/>
    <w:rsid w:val="00107A38"/>
    <w:rsid w:val="00117666"/>
    <w:rsid w:val="001549D3"/>
    <w:rsid w:val="00160065"/>
    <w:rsid w:val="00177D84"/>
    <w:rsid w:val="00267D18"/>
    <w:rsid w:val="00270144"/>
    <w:rsid w:val="00274347"/>
    <w:rsid w:val="002868E2"/>
    <w:rsid w:val="002869C3"/>
    <w:rsid w:val="002936E4"/>
    <w:rsid w:val="002A7EDA"/>
    <w:rsid w:val="002B4A57"/>
    <w:rsid w:val="002C74CA"/>
    <w:rsid w:val="003123F4"/>
    <w:rsid w:val="003544FB"/>
    <w:rsid w:val="003545E5"/>
    <w:rsid w:val="003D2F2D"/>
    <w:rsid w:val="003F5AB1"/>
    <w:rsid w:val="00401590"/>
    <w:rsid w:val="00447801"/>
    <w:rsid w:val="00452E9C"/>
    <w:rsid w:val="004735C8"/>
    <w:rsid w:val="00477592"/>
    <w:rsid w:val="004947A6"/>
    <w:rsid w:val="004961FF"/>
    <w:rsid w:val="004A65A0"/>
    <w:rsid w:val="00517A89"/>
    <w:rsid w:val="005250F2"/>
    <w:rsid w:val="00574E0D"/>
    <w:rsid w:val="00593EEA"/>
    <w:rsid w:val="005A5EEE"/>
    <w:rsid w:val="006375C7"/>
    <w:rsid w:val="00654E8F"/>
    <w:rsid w:val="00660D05"/>
    <w:rsid w:val="006820B1"/>
    <w:rsid w:val="00697578"/>
    <w:rsid w:val="006A06A3"/>
    <w:rsid w:val="006B7D14"/>
    <w:rsid w:val="00701727"/>
    <w:rsid w:val="0070566C"/>
    <w:rsid w:val="00714C50"/>
    <w:rsid w:val="00725A7D"/>
    <w:rsid w:val="007501BE"/>
    <w:rsid w:val="00790BB3"/>
    <w:rsid w:val="00794110"/>
    <w:rsid w:val="007C206C"/>
    <w:rsid w:val="007F05EF"/>
    <w:rsid w:val="00817DD6"/>
    <w:rsid w:val="0083759F"/>
    <w:rsid w:val="00842DA7"/>
    <w:rsid w:val="008576C1"/>
    <w:rsid w:val="00885156"/>
    <w:rsid w:val="00893A30"/>
    <w:rsid w:val="008D6EDC"/>
    <w:rsid w:val="009151AA"/>
    <w:rsid w:val="0093429D"/>
    <w:rsid w:val="00943573"/>
    <w:rsid w:val="00964134"/>
    <w:rsid w:val="00970F7D"/>
    <w:rsid w:val="00994A3D"/>
    <w:rsid w:val="009B5DA2"/>
    <w:rsid w:val="009B7B92"/>
    <w:rsid w:val="009C2B12"/>
    <w:rsid w:val="009C2BBF"/>
    <w:rsid w:val="00A174D9"/>
    <w:rsid w:val="00A84060"/>
    <w:rsid w:val="00AA4D24"/>
    <w:rsid w:val="00AB6715"/>
    <w:rsid w:val="00B1671E"/>
    <w:rsid w:val="00B25EB8"/>
    <w:rsid w:val="00B37F4D"/>
    <w:rsid w:val="00BA24E2"/>
    <w:rsid w:val="00BF4247"/>
    <w:rsid w:val="00C52A7B"/>
    <w:rsid w:val="00C56BAF"/>
    <w:rsid w:val="00C679AA"/>
    <w:rsid w:val="00C75972"/>
    <w:rsid w:val="00CA14C3"/>
    <w:rsid w:val="00CD066B"/>
    <w:rsid w:val="00CE4FEE"/>
    <w:rsid w:val="00D060CF"/>
    <w:rsid w:val="00D31D11"/>
    <w:rsid w:val="00D764E4"/>
    <w:rsid w:val="00DB59C3"/>
    <w:rsid w:val="00DC259A"/>
    <w:rsid w:val="00DE23E8"/>
    <w:rsid w:val="00E52377"/>
    <w:rsid w:val="00E537AD"/>
    <w:rsid w:val="00E64E17"/>
    <w:rsid w:val="00E74574"/>
    <w:rsid w:val="00E866C9"/>
    <w:rsid w:val="00EA3D3C"/>
    <w:rsid w:val="00EC090A"/>
    <w:rsid w:val="00ED20B5"/>
    <w:rsid w:val="00F46900"/>
    <w:rsid w:val="00F61D89"/>
    <w:rsid w:val="00F839AA"/>
    <w:rsid w:val="00FB0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
    <w:name w:val="EndNote Bibliography"/>
    <w:basedOn w:val="Normal"/>
    <w:link w:val="EndNoteBibliographyChar"/>
    <w:rsid w:val="008576C1"/>
    <w:pPr>
      <w:spacing w:before="0" w:after="160"/>
    </w:pPr>
    <w:rPr>
      <w:rFonts w:ascii="Calibri" w:hAnsi="Calibri" w:cs="Calibri"/>
      <w:noProof/>
      <w:sz w:val="22"/>
    </w:rPr>
  </w:style>
  <w:style w:type="character" w:customStyle="1" w:styleId="EndNoteBibliographyChar">
    <w:name w:val="EndNote Bibliography Char"/>
    <w:basedOn w:val="DefaultParagraphFont"/>
    <w:link w:val="EndNoteBibliography"/>
    <w:rsid w:val="008576C1"/>
    <w:rPr>
      <w:rFonts w:ascii="Calibri" w:hAnsi="Calibri" w:cs="Calibri"/>
      <w:noProof/>
    </w:rPr>
  </w:style>
  <w:style w:type="paragraph" w:customStyle="1" w:styleId="EndNoteBibliographyTitle">
    <w:name w:val="EndNote Bibliography Title"/>
    <w:basedOn w:val="Normal"/>
    <w:link w:val="EndNoteBibliographyTitleChar"/>
    <w:rsid w:val="00893A30"/>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893A30"/>
    <w:rPr>
      <w:rFonts w:ascii="Calibri" w:hAnsi="Calibri" w:cs="Calibri"/>
      <w:noProof/>
    </w:rPr>
  </w:style>
  <w:style w:type="paragraph" w:styleId="Revision">
    <w:name w:val="Revision"/>
    <w:hidden/>
    <w:uiPriority w:val="99"/>
    <w:semiHidden/>
    <w:rsid w:val="006A06A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C467BA3-9FB9-4DE1-8FD1-019386131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10</TotalTime>
  <Pages>10</Pages>
  <Words>1748</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Stacey Reanna Bartlett</cp:lastModifiedBy>
  <cp:revision>3</cp:revision>
  <cp:lastPrinted>2013-10-03T12:51:00Z</cp:lastPrinted>
  <dcterms:created xsi:type="dcterms:W3CDTF">2020-11-02T13:00:00Z</dcterms:created>
  <dcterms:modified xsi:type="dcterms:W3CDTF">2020-11-02T13:10:00Z</dcterms:modified>
</cp:coreProperties>
</file>