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779F" w14:textId="49C82089" w:rsidR="009627E0" w:rsidRPr="00232908" w:rsidRDefault="009627E0" w:rsidP="009627E0">
      <w:pPr>
        <w:spacing w:before="0" w:after="0"/>
        <w:jc w:val="center"/>
        <w:rPr>
          <w:rFonts w:eastAsia="Times New Roman" w:cs="Times New Roman"/>
          <w:lang w:val="en-GB"/>
        </w:rPr>
      </w:pPr>
      <w:r w:rsidRPr="00E62493">
        <w:rPr>
          <w:rFonts w:eastAsia="Times New Roman" w:cs="Times New Roman"/>
          <w:b/>
          <w:bCs/>
          <w:szCs w:val="24"/>
          <w:lang w:val="en-GB"/>
        </w:rPr>
        <w:t>Validation of QSAS in Canada and Russia</w:t>
      </w:r>
    </w:p>
    <w:p w14:paraId="63800466" w14:textId="77777777" w:rsidR="009627E0" w:rsidRDefault="009627E0" w:rsidP="009627E0">
      <w:pPr>
        <w:spacing w:before="0" w:after="0"/>
        <w:ind w:firstLine="720"/>
        <w:jc w:val="both"/>
        <w:rPr>
          <w:rFonts w:eastAsia="Times New Roman" w:cs="Times New Roman"/>
          <w:szCs w:val="24"/>
          <w:lang w:val="en-GB"/>
        </w:rPr>
      </w:pPr>
    </w:p>
    <w:p w14:paraId="41359DA3" w14:textId="77777777" w:rsidR="009627E0" w:rsidRPr="00232908" w:rsidRDefault="009627E0" w:rsidP="009627E0">
      <w:pPr>
        <w:spacing w:before="0" w:after="0"/>
        <w:ind w:firstLine="720"/>
        <w:jc w:val="both"/>
        <w:rPr>
          <w:rFonts w:eastAsia="Times New Roman" w:cs="Times New Roman"/>
          <w:i/>
          <w:szCs w:val="24"/>
          <w:lang w:val="en-GB"/>
        </w:rPr>
      </w:pPr>
      <w:r>
        <w:rPr>
          <w:rFonts w:eastAsia="Times New Roman" w:cs="Times New Roman"/>
          <w:szCs w:val="24"/>
          <w:lang w:val="en-GB"/>
        </w:rPr>
        <w:t>T</w:t>
      </w:r>
      <w:r w:rsidRPr="00232908">
        <w:rPr>
          <w:rFonts w:eastAsia="Times New Roman" w:cs="Times New Roman"/>
          <w:szCs w:val="24"/>
          <w:lang w:val="en-GB"/>
        </w:rPr>
        <w:t xml:space="preserve">he validation of the Questionnaire on Students’ Attitudes towards Schizophrenia (QSAS) </w:t>
      </w:r>
      <w:r w:rsidRPr="00B74DF0">
        <w:rPr>
          <w:rFonts w:eastAsia="Times New Roman" w:cs="Times New Roman"/>
          <w:szCs w:val="24"/>
          <w:lang w:val="en-GB"/>
        </w:rPr>
        <w:t>(28) was</w:t>
      </w:r>
      <w:r w:rsidRPr="00232908">
        <w:rPr>
          <w:rFonts w:eastAsia="Times New Roman" w:cs="Times New Roman"/>
          <w:szCs w:val="24"/>
          <w:lang w:val="en-GB"/>
        </w:rPr>
        <w:t xml:space="preserve"> carried out in the Russian and Canadian contexts. The instrument was first developed in Germany for use with students as part of the World Psychiatry Association’s Global Program against stigma and discrimination. The questionnaire had already been validated for the Spanish context </w:t>
      </w:r>
      <w:r w:rsidRPr="00B74DF0">
        <w:rPr>
          <w:rFonts w:eastAsia="Times New Roman" w:cs="Times New Roman"/>
          <w:szCs w:val="24"/>
          <w:lang w:val="en-GB"/>
        </w:rPr>
        <w:t>(29).</w:t>
      </w:r>
      <w:r w:rsidRPr="00232908">
        <w:rPr>
          <w:rFonts w:eastAsia="Times New Roman" w:cs="Times New Roman"/>
          <w:szCs w:val="24"/>
          <w:lang w:val="en-GB"/>
        </w:rPr>
        <w:t xml:space="preserve"> </w:t>
      </w:r>
    </w:p>
    <w:p w14:paraId="40ED5539" w14:textId="77777777" w:rsidR="009627E0" w:rsidRDefault="009627E0" w:rsidP="009627E0">
      <w:pPr>
        <w:spacing w:before="0" w:after="0"/>
        <w:rPr>
          <w:rFonts w:eastAsia="Times New Roman" w:cs="Times New Roman"/>
          <w:b/>
          <w:szCs w:val="24"/>
          <w:lang w:val="en-GB"/>
        </w:rPr>
      </w:pPr>
    </w:p>
    <w:p w14:paraId="6BEB51D5" w14:textId="77777777" w:rsidR="009627E0" w:rsidRDefault="009627E0" w:rsidP="009627E0">
      <w:pPr>
        <w:spacing w:before="0" w:after="0"/>
        <w:rPr>
          <w:rFonts w:eastAsia="Times New Roman" w:cs="Times New Roman"/>
          <w:b/>
          <w:szCs w:val="24"/>
          <w:lang w:val="en-GB"/>
        </w:rPr>
      </w:pPr>
      <w:r>
        <w:rPr>
          <w:rFonts w:eastAsia="Times New Roman" w:cs="Times New Roman"/>
          <w:b/>
          <w:szCs w:val="24"/>
          <w:lang w:val="en-GB"/>
        </w:rPr>
        <w:t xml:space="preserve">MATERIALS AND </w:t>
      </w:r>
      <w:r w:rsidRPr="0078008A">
        <w:rPr>
          <w:rFonts w:eastAsia="Times New Roman" w:cs="Times New Roman"/>
          <w:b/>
          <w:szCs w:val="24"/>
          <w:lang w:val="en-GB"/>
        </w:rPr>
        <w:t>METHOD</w:t>
      </w:r>
    </w:p>
    <w:p w14:paraId="3DAF4852" w14:textId="77777777" w:rsidR="009627E0" w:rsidRPr="0078008A" w:rsidRDefault="009627E0" w:rsidP="009627E0">
      <w:pPr>
        <w:spacing w:before="0" w:after="0"/>
        <w:rPr>
          <w:rFonts w:eastAsia="Times New Roman" w:cs="Times New Roman"/>
          <w:b/>
          <w:szCs w:val="24"/>
          <w:lang w:val="en-GB"/>
        </w:rPr>
      </w:pPr>
    </w:p>
    <w:p w14:paraId="08765A05" w14:textId="77777777" w:rsidR="009627E0" w:rsidRPr="00787053" w:rsidRDefault="009627E0" w:rsidP="009627E0">
      <w:pPr>
        <w:spacing w:before="0" w:after="0"/>
        <w:ind w:firstLine="720"/>
        <w:jc w:val="both"/>
        <w:rPr>
          <w:rFonts w:eastAsia="Times New Roman" w:cs="Times New Roman"/>
          <w:b/>
          <w:bCs/>
          <w:iCs/>
          <w:szCs w:val="24"/>
          <w:lang w:val="en-GB"/>
        </w:rPr>
      </w:pPr>
      <w:r w:rsidRPr="00787053">
        <w:rPr>
          <w:rFonts w:eastAsia="Times New Roman" w:cs="Times New Roman"/>
          <w:b/>
          <w:bCs/>
          <w:iCs/>
          <w:szCs w:val="24"/>
          <w:lang w:val="en-GB"/>
        </w:rPr>
        <w:t>Participants.</w:t>
      </w:r>
    </w:p>
    <w:p w14:paraId="3F681854" w14:textId="77777777" w:rsidR="009627E0" w:rsidRPr="00787053" w:rsidRDefault="009627E0" w:rsidP="009627E0">
      <w:pPr>
        <w:spacing w:before="0" w:after="0"/>
        <w:ind w:firstLine="720"/>
        <w:jc w:val="both"/>
        <w:rPr>
          <w:rFonts w:eastAsia="Times New Roman" w:cs="Times New Roman"/>
          <w:szCs w:val="24"/>
          <w:lang w:val="en-GB"/>
        </w:rPr>
      </w:pPr>
      <w:bookmarkStart w:id="0" w:name="_Hlk45132150"/>
      <w:r w:rsidRPr="00787053">
        <w:rPr>
          <w:rFonts w:eastAsia="Times New Roman" w:cs="Times New Roman"/>
          <w:szCs w:val="24"/>
          <w:lang w:val="en-GB"/>
        </w:rPr>
        <w:t>The validation of the QSAS for the Russian context included the participation of 304 students (</w:t>
      </w:r>
      <w:r w:rsidRPr="00787053">
        <w:rPr>
          <w:rFonts w:eastAsia="Times New Roman" w:cs="Times New Roman"/>
          <w:i/>
          <w:iCs/>
          <w:szCs w:val="24"/>
          <w:lang w:val="en-GB"/>
        </w:rPr>
        <w:t>Mage</w:t>
      </w:r>
      <w:r w:rsidRPr="00787053">
        <w:rPr>
          <w:rFonts w:eastAsia="Times New Roman" w:cs="Times New Roman"/>
          <w:szCs w:val="24"/>
          <w:lang w:val="en-GB"/>
        </w:rPr>
        <w:t xml:space="preserve"> = 18.78 years; </w:t>
      </w:r>
      <w:r w:rsidRPr="00787053">
        <w:rPr>
          <w:rFonts w:eastAsia="Times New Roman" w:cs="Times New Roman"/>
          <w:i/>
          <w:iCs/>
          <w:szCs w:val="24"/>
          <w:lang w:val="en-GB"/>
        </w:rPr>
        <w:t>SD</w:t>
      </w:r>
      <w:r w:rsidRPr="00787053">
        <w:rPr>
          <w:rFonts w:eastAsia="Times New Roman" w:cs="Times New Roman"/>
          <w:szCs w:val="24"/>
          <w:lang w:val="en-GB"/>
        </w:rPr>
        <w:t xml:space="preserve"> = 1.41 years) from the University of Stavropol (Russia). The sample was comprised of 84 men and 220 women. In the case of Canada, 529 students from the University of Winnipeg participated (</w:t>
      </w:r>
      <w:r w:rsidRPr="00787053">
        <w:rPr>
          <w:rFonts w:eastAsia="Times New Roman" w:cs="Times New Roman"/>
          <w:i/>
          <w:iCs/>
          <w:szCs w:val="24"/>
          <w:lang w:val="en-GB"/>
        </w:rPr>
        <w:t>Mage</w:t>
      </w:r>
      <w:r w:rsidRPr="00787053">
        <w:rPr>
          <w:rFonts w:eastAsia="Times New Roman" w:cs="Times New Roman"/>
          <w:szCs w:val="24"/>
          <w:lang w:val="en-GB"/>
        </w:rPr>
        <w:t xml:space="preserve"> = 21.16 years; </w:t>
      </w:r>
      <w:r w:rsidRPr="00787053">
        <w:rPr>
          <w:rFonts w:eastAsia="Times New Roman" w:cs="Times New Roman"/>
          <w:i/>
          <w:iCs/>
          <w:szCs w:val="24"/>
          <w:lang w:val="en-GB"/>
        </w:rPr>
        <w:t>SD</w:t>
      </w:r>
      <w:r w:rsidRPr="00787053">
        <w:rPr>
          <w:rFonts w:eastAsia="Times New Roman" w:cs="Times New Roman"/>
          <w:szCs w:val="24"/>
          <w:lang w:val="en-GB"/>
        </w:rPr>
        <w:t xml:space="preserve"> = 1.16 years), of whom 239 were men and 290 were women. </w:t>
      </w:r>
    </w:p>
    <w:bookmarkEnd w:id="0"/>
    <w:p w14:paraId="177A364B" w14:textId="77777777" w:rsidR="009627E0" w:rsidRPr="00787053"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 xml:space="preserve">The sample selection followed an incidental non-probability sampling. </w:t>
      </w:r>
      <w:bookmarkStart w:id="1" w:name="_Hlk45132587"/>
      <w:r w:rsidRPr="00787053">
        <w:rPr>
          <w:rFonts w:eastAsia="Times New Roman" w:cs="Times New Roman"/>
          <w:szCs w:val="24"/>
          <w:lang w:val="en-GB"/>
        </w:rPr>
        <w:t>Students were only excluded from the sample if they refused to give their informed consent to participate. The participants received no incentive for taking part in the study.</w:t>
      </w:r>
      <w:bookmarkEnd w:id="1"/>
    </w:p>
    <w:p w14:paraId="4681A4AD" w14:textId="77777777" w:rsidR="009627E0" w:rsidRDefault="009627E0" w:rsidP="009627E0">
      <w:pPr>
        <w:spacing w:before="0" w:after="0"/>
        <w:ind w:firstLine="720"/>
        <w:jc w:val="both"/>
        <w:rPr>
          <w:rFonts w:eastAsia="Times New Roman" w:cs="Times New Roman"/>
          <w:b/>
          <w:bCs/>
          <w:iCs/>
          <w:szCs w:val="24"/>
          <w:lang w:val="en-GB"/>
        </w:rPr>
      </w:pPr>
    </w:p>
    <w:p w14:paraId="55658A00" w14:textId="77777777" w:rsidR="0018086D" w:rsidRPr="00787053" w:rsidRDefault="0018086D" w:rsidP="0018086D">
      <w:pPr>
        <w:spacing w:before="0" w:after="0"/>
        <w:ind w:firstLine="720"/>
        <w:jc w:val="both"/>
        <w:rPr>
          <w:rFonts w:eastAsia="Times New Roman" w:cs="Times New Roman"/>
          <w:i/>
          <w:szCs w:val="24"/>
        </w:rPr>
      </w:pPr>
      <w:r w:rsidRPr="00787053">
        <w:rPr>
          <w:rFonts w:eastAsia="Times New Roman" w:cs="Times New Roman"/>
          <w:b/>
          <w:bCs/>
          <w:iCs/>
          <w:szCs w:val="24"/>
        </w:rPr>
        <w:t>Instruments and Procedure.</w:t>
      </w:r>
    </w:p>
    <w:p w14:paraId="76975AFC" w14:textId="300D5B01" w:rsidR="009627E0" w:rsidRDefault="009627E0" w:rsidP="009627E0">
      <w:pPr>
        <w:spacing w:before="0" w:after="0"/>
        <w:ind w:firstLine="720"/>
        <w:jc w:val="both"/>
        <w:rPr>
          <w:rFonts w:eastAsia="Times New Roman" w:cs="Times New Roman"/>
          <w:b/>
          <w:bCs/>
          <w:iCs/>
          <w:szCs w:val="24"/>
          <w:lang w:val="en-GB"/>
        </w:rPr>
      </w:pPr>
    </w:p>
    <w:p w14:paraId="278A6318" w14:textId="77777777" w:rsidR="009627E0" w:rsidRPr="00787053" w:rsidRDefault="009627E0" w:rsidP="009627E0">
      <w:pPr>
        <w:spacing w:before="0" w:after="0"/>
        <w:ind w:firstLine="720"/>
        <w:jc w:val="both"/>
        <w:rPr>
          <w:rFonts w:eastAsia="Times New Roman" w:cs="Times New Roman"/>
          <w:b/>
          <w:bCs/>
          <w:iCs/>
          <w:szCs w:val="24"/>
          <w:lang w:val="en-GB"/>
        </w:rPr>
      </w:pPr>
      <w:r w:rsidRPr="00787053">
        <w:rPr>
          <w:rFonts w:eastAsia="Times New Roman" w:cs="Times New Roman"/>
          <w:b/>
          <w:bCs/>
          <w:iCs/>
          <w:szCs w:val="24"/>
          <w:lang w:val="en-GB"/>
        </w:rPr>
        <w:t>Instruments.</w:t>
      </w:r>
    </w:p>
    <w:p w14:paraId="030858C7" w14:textId="49AA9978" w:rsidR="009627E0" w:rsidRPr="00B74DF0" w:rsidRDefault="009627E0" w:rsidP="009627E0">
      <w:pPr>
        <w:pStyle w:val="Default"/>
        <w:ind w:firstLine="709"/>
        <w:jc w:val="both"/>
        <w:rPr>
          <w:color w:val="auto"/>
          <w:lang w:val="es-ES"/>
        </w:rPr>
      </w:pPr>
      <w:r w:rsidRPr="009460A3">
        <w:rPr>
          <w:rFonts w:eastAsia="Times New Roman"/>
          <w:lang w:val="en-GB"/>
        </w:rPr>
        <w:t xml:space="preserve">The </w:t>
      </w:r>
      <w:r w:rsidRPr="005A76F5">
        <w:rPr>
          <w:rFonts w:eastAsia="Times New Roman"/>
          <w:i/>
          <w:iCs/>
          <w:lang w:val="en-GB"/>
        </w:rPr>
        <w:t xml:space="preserve">Questionnaire on Students’ Attitudes towards Schizophrenia </w:t>
      </w:r>
      <w:r w:rsidRPr="005A76F5">
        <w:rPr>
          <w:rFonts w:eastAsia="Times New Roman"/>
          <w:lang w:val="en-GB"/>
        </w:rPr>
        <w:t>(QSAS</w:t>
      </w:r>
      <w:r>
        <w:rPr>
          <w:rFonts w:eastAsia="Times New Roman"/>
          <w:lang w:val="en-GB"/>
        </w:rPr>
        <w:t>) (28)</w:t>
      </w:r>
      <w:r w:rsidR="00B74DF0">
        <w:rPr>
          <w:rFonts w:eastAsia="Times New Roman"/>
          <w:color w:val="4472C4" w:themeColor="accent1"/>
          <w:lang w:val="en-GB"/>
        </w:rPr>
        <w:t xml:space="preserve">. </w:t>
      </w:r>
      <w:r w:rsidR="00B74DF0" w:rsidRPr="00B74DF0">
        <w:rPr>
          <w:rFonts w:eastAsia="Times New Roman"/>
          <w:color w:val="auto"/>
          <w:lang w:val="en-GB"/>
        </w:rPr>
        <w:t>T</w:t>
      </w:r>
      <w:r w:rsidR="003338B5" w:rsidRPr="00B74DF0">
        <w:rPr>
          <w:rFonts w:eastAsia="Times New Roman"/>
          <w:color w:val="auto"/>
          <w:lang w:val="en-GB"/>
        </w:rPr>
        <w:t xml:space="preserve">he instrument </w:t>
      </w:r>
      <w:r w:rsidR="00B74DF0" w:rsidRPr="00B74DF0">
        <w:rPr>
          <w:rFonts w:eastAsia="Times New Roman"/>
          <w:color w:val="auto"/>
          <w:lang w:val="en-GB"/>
        </w:rPr>
        <w:t xml:space="preserve">IS </w:t>
      </w:r>
      <w:r w:rsidR="003338B5" w:rsidRPr="00B74DF0">
        <w:rPr>
          <w:rFonts w:eastAsia="Times New Roman"/>
          <w:color w:val="auto"/>
          <w:lang w:val="en-GB"/>
        </w:rPr>
        <w:t>described in the article</w:t>
      </w:r>
      <w:r w:rsidRPr="00B74DF0">
        <w:rPr>
          <w:rFonts w:eastAsia="Times New Roman"/>
          <w:color w:val="auto"/>
          <w:lang w:val="en-GB"/>
        </w:rPr>
        <w:t>.</w:t>
      </w:r>
      <w:r w:rsidR="003E7BFD" w:rsidRPr="00B74DF0">
        <w:rPr>
          <w:rFonts w:eastAsia="Times New Roman"/>
          <w:color w:val="auto"/>
          <w:lang w:val="en-GB"/>
        </w:rPr>
        <w:t xml:space="preserve"> </w:t>
      </w:r>
    </w:p>
    <w:p w14:paraId="72428196" w14:textId="77777777" w:rsidR="009627E0" w:rsidRPr="003338B5" w:rsidRDefault="009627E0" w:rsidP="009627E0">
      <w:pPr>
        <w:spacing w:before="0" w:after="0"/>
        <w:ind w:firstLine="720"/>
        <w:jc w:val="both"/>
        <w:rPr>
          <w:rFonts w:eastAsia="Times New Roman" w:cs="Times New Roman"/>
          <w:b/>
          <w:bCs/>
          <w:iCs/>
          <w:szCs w:val="24"/>
          <w:lang w:val="es-ES"/>
        </w:rPr>
      </w:pPr>
    </w:p>
    <w:p w14:paraId="7C7259A4" w14:textId="77777777" w:rsidR="009627E0" w:rsidRPr="00787053" w:rsidRDefault="009627E0" w:rsidP="009627E0">
      <w:pPr>
        <w:spacing w:before="0" w:after="0"/>
        <w:ind w:firstLine="720"/>
        <w:jc w:val="both"/>
        <w:rPr>
          <w:rFonts w:eastAsia="Times New Roman" w:cs="Times New Roman"/>
          <w:b/>
          <w:bCs/>
          <w:iCs/>
          <w:szCs w:val="24"/>
          <w:lang w:val="en-GB"/>
        </w:rPr>
      </w:pPr>
      <w:r w:rsidRPr="00787053">
        <w:rPr>
          <w:rFonts w:eastAsia="Times New Roman" w:cs="Times New Roman"/>
          <w:b/>
          <w:bCs/>
          <w:iCs/>
          <w:szCs w:val="24"/>
          <w:lang w:val="en-GB"/>
        </w:rPr>
        <w:t>Procedure.</w:t>
      </w:r>
    </w:p>
    <w:p w14:paraId="49E5ECFA" w14:textId="7A666124" w:rsidR="009627E0" w:rsidRPr="00B74DF0" w:rsidRDefault="009627E0" w:rsidP="009627E0">
      <w:pPr>
        <w:spacing w:before="0" w:after="0"/>
        <w:ind w:firstLine="720"/>
        <w:jc w:val="both"/>
        <w:rPr>
          <w:rFonts w:eastAsia="Times New Roman" w:cs="Times New Roman"/>
          <w:szCs w:val="24"/>
        </w:rPr>
      </w:pPr>
      <w:r>
        <w:rPr>
          <w:rFonts w:eastAsia="Times New Roman" w:cs="Times New Roman"/>
          <w:szCs w:val="24"/>
          <w:lang w:val="en-GB"/>
        </w:rPr>
        <w:t xml:space="preserve">The </w:t>
      </w:r>
      <w:r w:rsidRPr="00787053">
        <w:rPr>
          <w:rFonts w:eastAsia="Times New Roman" w:cs="Times New Roman"/>
          <w:szCs w:val="24"/>
          <w:lang w:val="en-GB"/>
        </w:rPr>
        <w:t>questionnaire was translated to Russian, following the back-translation method guidelines and the cultural adaptation guidelines for the tests recommended by (</w:t>
      </w:r>
      <w:r w:rsidR="00907FBF">
        <w:rPr>
          <w:rFonts w:eastAsia="Times New Roman" w:cs="Times New Roman"/>
          <w:szCs w:val="24"/>
          <w:lang w:val="en-GB"/>
        </w:rPr>
        <w:t>54</w:t>
      </w:r>
      <w:r w:rsidRPr="00787053">
        <w:rPr>
          <w:rFonts w:eastAsia="Times New Roman" w:cs="Times New Roman"/>
          <w:szCs w:val="24"/>
          <w:lang w:val="en-GB"/>
        </w:rPr>
        <w:t>).</w:t>
      </w:r>
      <w:r>
        <w:rPr>
          <w:rFonts w:eastAsia="Times New Roman" w:cs="Times New Roman"/>
          <w:szCs w:val="24"/>
          <w:lang w:val="en-GB"/>
        </w:rPr>
        <w:t xml:space="preserve"> </w:t>
      </w:r>
      <w:r w:rsidR="003338B5" w:rsidRPr="00B74DF0">
        <w:rPr>
          <w:rFonts w:eastAsia="Times New Roman" w:cs="Times New Roman"/>
          <w:szCs w:val="24"/>
        </w:rPr>
        <w:t>The application procedure described in the article was used in both Russia and Canada.</w:t>
      </w:r>
    </w:p>
    <w:p w14:paraId="14C10B2A" w14:textId="77777777" w:rsidR="009627E0" w:rsidRPr="003338B5" w:rsidRDefault="009627E0" w:rsidP="009627E0">
      <w:pPr>
        <w:spacing w:before="0" w:after="0"/>
        <w:ind w:firstLine="720"/>
        <w:jc w:val="both"/>
        <w:rPr>
          <w:rFonts w:eastAsia="Times New Roman" w:cs="Times New Roman"/>
          <w:b/>
          <w:bCs/>
          <w:iCs/>
          <w:szCs w:val="24"/>
        </w:rPr>
      </w:pPr>
    </w:p>
    <w:p w14:paraId="4CD603A7" w14:textId="77777777" w:rsidR="009627E0" w:rsidRPr="00787053" w:rsidRDefault="009627E0" w:rsidP="009627E0">
      <w:pPr>
        <w:spacing w:before="0" w:after="0"/>
        <w:ind w:firstLine="720"/>
        <w:jc w:val="both"/>
        <w:rPr>
          <w:rFonts w:eastAsia="Times New Roman" w:cs="Times New Roman"/>
          <w:b/>
          <w:bCs/>
          <w:iCs/>
          <w:szCs w:val="24"/>
          <w:lang w:val="en-GB"/>
        </w:rPr>
      </w:pPr>
      <w:r w:rsidRPr="00787053">
        <w:rPr>
          <w:rFonts w:eastAsia="Times New Roman" w:cs="Times New Roman"/>
          <w:b/>
          <w:bCs/>
          <w:iCs/>
          <w:szCs w:val="24"/>
          <w:lang w:val="en-GB"/>
        </w:rPr>
        <w:t>Data Analysis</w:t>
      </w:r>
      <w:r>
        <w:rPr>
          <w:rFonts w:eastAsia="Times New Roman" w:cs="Times New Roman"/>
          <w:b/>
          <w:bCs/>
          <w:iCs/>
          <w:szCs w:val="24"/>
          <w:lang w:val="en-GB"/>
        </w:rPr>
        <w:t>.</w:t>
      </w:r>
    </w:p>
    <w:p w14:paraId="4956FCC0" w14:textId="77777777" w:rsidR="009627E0" w:rsidRPr="00787053"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 xml:space="preserve">The statistics program SPSS v.25 was utilized for the purpose of </w:t>
      </w:r>
      <w:proofErr w:type="spellStart"/>
      <w:r w:rsidRPr="00EF123F">
        <w:rPr>
          <w:rFonts w:eastAsia="Times New Roman" w:cs="Times New Roman"/>
          <w:szCs w:val="24"/>
          <w:lang w:val="en-GB"/>
        </w:rPr>
        <w:t>analyzing</w:t>
      </w:r>
      <w:proofErr w:type="spellEnd"/>
      <w:r w:rsidRPr="00EF123F">
        <w:rPr>
          <w:rFonts w:eastAsia="Times New Roman" w:cs="Times New Roman"/>
          <w:szCs w:val="24"/>
          <w:lang w:val="en-GB"/>
        </w:rPr>
        <w:t xml:space="preserve"> the descriptive statistics, reliability through Cronbach's alpha and Pearson's bivariate correlations. In addition, the statistics program AMOS v.20 was used to </w:t>
      </w:r>
      <w:proofErr w:type="spellStart"/>
      <w:r w:rsidRPr="00EF123F">
        <w:rPr>
          <w:rFonts w:eastAsia="Times New Roman" w:cs="Times New Roman"/>
          <w:szCs w:val="24"/>
          <w:lang w:val="en-GB"/>
        </w:rPr>
        <w:t>analyze</w:t>
      </w:r>
      <w:proofErr w:type="spellEnd"/>
      <w:r w:rsidRPr="00EF123F">
        <w:rPr>
          <w:rFonts w:eastAsia="Times New Roman" w:cs="Times New Roman"/>
          <w:szCs w:val="24"/>
          <w:lang w:val="en-GB"/>
        </w:rPr>
        <w:t xml:space="preserve"> the factorial structure of</w:t>
      </w:r>
      <w:r w:rsidRPr="00787053">
        <w:rPr>
          <w:rFonts w:eastAsia="Times New Roman" w:cs="Times New Roman"/>
          <w:szCs w:val="24"/>
          <w:lang w:val="en-GB"/>
        </w:rPr>
        <w:t xml:space="preserve"> the questionnaire using a confirmatory factorial analysis (CFA). </w:t>
      </w:r>
    </w:p>
    <w:p w14:paraId="292B3ED9" w14:textId="6D0EB478" w:rsidR="009627E0" w:rsidRPr="00787053"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In order to evaluate the hypothesized model (see Figures 1 and 2), the bootstrapping procedure was used, along with the maximum likelihood method. The estimators were not affected by the lack of normality, which is why they were considered robust (</w:t>
      </w:r>
      <w:r w:rsidR="006B192D">
        <w:rPr>
          <w:rFonts w:eastAsia="Times New Roman" w:cs="Times New Roman"/>
          <w:szCs w:val="24"/>
          <w:lang w:val="en-GB"/>
        </w:rPr>
        <w:t>5</w:t>
      </w:r>
      <w:r w:rsidR="00907FBF">
        <w:rPr>
          <w:rFonts w:eastAsia="Times New Roman" w:cs="Times New Roman"/>
          <w:szCs w:val="24"/>
          <w:lang w:val="en-GB"/>
        </w:rPr>
        <w:t>5</w:t>
      </w:r>
      <w:r w:rsidRPr="00787053">
        <w:rPr>
          <w:rFonts w:eastAsia="Times New Roman" w:cs="Times New Roman"/>
          <w:szCs w:val="24"/>
          <w:lang w:val="en-GB"/>
        </w:rPr>
        <w:t>). The following fit indices were considered with the aim of accepting or rejecting the hypothesized model (</w:t>
      </w:r>
      <w:r w:rsidR="006B192D">
        <w:rPr>
          <w:rFonts w:eastAsia="Times New Roman" w:cs="Times New Roman"/>
          <w:szCs w:val="24"/>
          <w:lang w:val="en-GB"/>
        </w:rPr>
        <w:t>5</w:t>
      </w:r>
      <w:r w:rsidR="00907FBF">
        <w:rPr>
          <w:rFonts w:eastAsia="Times New Roman" w:cs="Times New Roman"/>
          <w:szCs w:val="24"/>
          <w:lang w:val="en-GB"/>
        </w:rPr>
        <w:t>6</w:t>
      </w:r>
      <w:r w:rsidRPr="00787053">
        <w:rPr>
          <w:rFonts w:eastAsia="Times New Roman" w:cs="Times New Roman"/>
          <w:szCs w:val="24"/>
          <w:lang w:val="en-GB"/>
        </w:rPr>
        <w:t xml:space="preserve">): the </w:t>
      </w:r>
      <w:r>
        <w:rPr>
          <w:rFonts w:eastAsia="Times New Roman" w:cs="Times New Roman"/>
          <w:szCs w:val="24"/>
          <w:lang w:val="en-GB"/>
        </w:rPr>
        <w:t xml:space="preserve">relative fit </w:t>
      </w:r>
      <w:r w:rsidRPr="00787053">
        <w:rPr>
          <w:rFonts w:eastAsia="Times New Roman" w:cs="Times New Roman"/>
          <w:szCs w:val="24"/>
          <w:lang w:val="en-GB"/>
        </w:rPr>
        <w:t>indices</w:t>
      </w:r>
      <w:r>
        <w:rPr>
          <w:rFonts w:eastAsia="Times New Roman" w:cs="Times New Roman"/>
          <w:szCs w:val="24"/>
          <w:lang w:val="en-GB"/>
        </w:rPr>
        <w:t xml:space="preserve"> [incremental fit index (IFI), comparative fit index (CFI), and Tucker-Lewis Index</w:t>
      </w:r>
      <w:r w:rsidRPr="00787053">
        <w:rPr>
          <w:rFonts w:eastAsia="Times New Roman" w:cs="Times New Roman"/>
          <w:szCs w:val="24"/>
          <w:lang w:val="en-GB"/>
        </w:rPr>
        <w:t xml:space="preserve"> (TLI)</w:t>
      </w:r>
      <w:r>
        <w:rPr>
          <w:rFonts w:eastAsia="Times New Roman" w:cs="Times New Roman"/>
          <w:szCs w:val="24"/>
          <w:lang w:val="en-GB"/>
        </w:rPr>
        <w:t>]</w:t>
      </w:r>
      <w:r w:rsidRPr="00787053">
        <w:rPr>
          <w:rFonts w:eastAsia="Times New Roman" w:cs="Times New Roman"/>
          <w:szCs w:val="24"/>
          <w:lang w:val="en-GB"/>
        </w:rPr>
        <w:t xml:space="preserve"> had to display a score over .95; the indices of the Root Mean Square Error of Approximation (RMSEA) and the Standardized Root Mean Square Residual (SRMSR) were considered acceptable values when equal to or less than .06 and .08, respectively. Finally, the χ2/</w:t>
      </w:r>
      <w:r>
        <w:rPr>
          <w:rFonts w:eastAsia="Times New Roman" w:cs="Times New Roman"/>
          <w:szCs w:val="24"/>
          <w:lang w:val="en-GB"/>
        </w:rPr>
        <w:t>df</w:t>
      </w:r>
      <w:r w:rsidRPr="00787053">
        <w:rPr>
          <w:rFonts w:eastAsia="Times New Roman" w:cs="Times New Roman"/>
          <w:szCs w:val="24"/>
          <w:lang w:val="en-GB"/>
        </w:rPr>
        <w:t xml:space="preserve"> values were considered acceptable when less than 3. </w:t>
      </w:r>
    </w:p>
    <w:p w14:paraId="7B16D04A" w14:textId="77777777" w:rsidR="009627E0" w:rsidRDefault="009627E0" w:rsidP="009627E0">
      <w:pPr>
        <w:spacing w:before="0" w:after="0"/>
        <w:rPr>
          <w:rFonts w:eastAsia="Times New Roman" w:cs="Times New Roman"/>
          <w:b/>
          <w:szCs w:val="24"/>
        </w:rPr>
      </w:pPr>
    </w:p>
    <w:p w14:paraId="561B070F" w14:textId="77777777" w:rsidR="00907FBF" w:rsidRDefault="00907FBF" w:rsidP="009627E0">
      <w:pPr>
        <w:spacing w:before="0" w:after="0"/>
        <w:rPr>
          <w:rFonts w:eastAsia="Times New Roman" w:cs="Times New Roman"/>
          <w:b/>
          <w:szCs w:val="24"/>
        </w:rPr>
      </w:pPr>
    </w:p>
    <w:p w14:paraId="7850FE29" w14:textId="77777777" w:rsidR="00907FBF" w:rsidRDefault="00907FBF" w:rsidP="009627E0">
      <w:pPr>
        <w:spacing w:before="0" w:after="0"/>
        <w:rPr>
          <w:rFonts w:eastAsia="Times New Roman" w:cs="Times New Roman"/>
          <w:b/>
          <w:szCs w:val="24"/>
        </w:rPr>
      </w:pPr>
    </w:p>
    <w:p w14:paraId="35418F55" w14:textId="65EAB5E5" w:rsidR="009627E0" w:rsidRDefault="009627E0" w:rsidP="009627E0">
      <w:pPr>
        <w:spacing w:before="0" w:after="0"/>
        <w:rPr>
          <w:rFonts w:eastAsia="Times New Roman" w:cs="Times New Roman"/>
          <w:b/>
          <w:szCs w:val="24"/>
        </w:rPr>
      </w:pPr>
      <w:r w:rsidRPr="00BF1541">
        <w:rPr>
          <w:rFonts w:eastAsia="Times New Roman" w:cs="Times New Roman"/>
          <w:b/>
          <w:szCs w:val="24"/>
        </w:rPr>
        <w:lastRenderedPageBreak/>
        <w:t>RESULTS</w:t>
      </w:r>
    </w:p>
    <w:p w14:paraId="2F2491D0" w14:textId="77777777" w:rsidR="009627E0" w:rsidRPr="00787053" w:rsidRDefault="009627E0" w:rsidP="009627E0">
      <w:pPr>
        <w:spacing w:before="0" w:after="0"/>
        <w:rPr>
          <w:rFonts w:eastAsia="Times New Roman" w:cs="Times New Roman"/>
          <w:b/>
          <w:szCs w:val="24"/>
        </w:rPr>
      </w:pPr>
    </w:p>
    <w:p w14:paraId="28FA9B8D" w14:textId="77777777" w:rsidR="009627E0" w:rsidRPr="00787053" w:rsidRDefault="009627E0" w:rsidP="009627E0">
      <w:pPr>
        <w:spacing w:before="0" w:after="0"/>
        <w:ind w:firstLine="720"/>
        <w:jc w:val="both"/>
        <w:rPr>
          <w:rFonts w:eastAsia="Times New Roman" w:cs="Times New Roman"/>
          <w:b/>
          <w:bCs/>
          <w:iCs/>
          <w:szCs w:val="24"/>
        </w:rPr>
      </w:pPr>
      <w:r w:rsidRPr="00787053">
        <w:rPr>
          <w:rFonts w:eastAsia="Times New Roman" w:cs="Times New Roman"/>
          <w:b/>
          <w:bCs/>
          <w:iCs/>
          <w:szCs w:val="24"/>
        </w:rPr>
        <w:t>Preliminary analysis.</w:t>
      </w:r>
    </w:p>
    <w:p w14:paraId="312E3289" w14:textId="0C27E0B3" w:rsidR="009627E0"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The Mean, standard deviation, and bivariate correlations for the Russian and Canadian samples are presented in Tables 1 and 2 respectively. In addition, Tables 1 and 2 display the reliability analysis conducted using Cronbach’s alpha for each of the factors revealing acceptable scores over .70 (</w:t>
      </w:r>
      <w:r w:rsidR="006B192D">
        <w:rPr>
          <w:rFonts w:eastAsia="Times New Roman" w:cs="Times New Roman"/>
          <w:szCs w:val="24"/>
          <w:lang w:val="en-GB"/>
        </w:rPr>
        <w:t>5</w:t>
      </w:r>
      <w:r w:rsidR="00907FBF">
        <w:rPr>
          <w:rFonts w:eastAsia="Times New Roman" w:cs="Times New Roman"/>
          <w:szCs w:val="24"/>
          <w:lang w:val="en-GB"/>
        </w:rPr>
        <w:t>7</w:t>
      </w:r>
      <w:r w:rsidRPr="00787053">
        <w:rPr>
          <w:rFonts w:eastAsia="Times New Roman" w:cs="Times New Roman"/>
          <w:szCs w:val="24"/>
          <w:lang w:val="en-GB"/>
        </w:rPr>
        <w:t>).</w:t>
      </w:r>
    </w:p>
    <w:tbl>
      <w:tblPr>
        <w:tblW w:w="7087" w:type="dxa"/>
        <w:jc w:val="center"/>
        <w:tblLayout w:type="fixed"/>
        <w:tblLook w:val="04A0" w:firstRow="1" w:lastRow="0" w:firstColumn="1" w:lastColumn="0" w:noHBand="0" w:noVBand="1"/>
      </w:tblPr>
      <w:tblGrid>
        <w:gridCol w:w="2410"/>
        <w:gridCol w:w="850"/>
        <w:gridCol w:w="709"/>
        <w:gridCol w:w="1172"/>
        <w:gridCol w:w="812"/>
        <w:gridCol w:w="1134"/>
      </w:tblGrid>
      <w:tr w:rsidR="003E7BFD" w:rsidRPr="00BF1541" w14:paraId="23D70C51" w14:textId="77777777" w:rsidTr="007524DE">
        <w:trPr>
          <w:jc w:val="center"/>
        </w:trPr>
        <w:tc>
          <w:tcPr>
            <w:tcW w:w="7087" w:type="dxa"/>
            <w:gridSpan w:val="6"/>
            <w:tcBorders>
              <w:bottom w:val="single" w:sz="4" w:space="0" w:color="auto"/>
            </w:tcBorders>
          </w:tcPr>
          <w:p w14:paraId="343657E7" w14:textId="77777777" w:rsidR="003E7BFD" w:rsidRPr="00787053" w:rsidRDefault="003E7BFD" w:rsidP="007524DE">
            <w:pPr>
              <w:spacing w:after="120"/>
              <w:jc w:val="both"/>
              <w:rPr>
                <w:rFonts w:eastAsia="Times New Roman" w:cs="Times New Roman"/>
                <w:szCs w:val="24"/>
                <w:lang w:val="en-GB"/>
              </w:rPr>
            </w:pPr>
            <w:r w:rsidRPr="00787053">
              <w:rPr>
                <w:rFonts w:eastAsia="Times New Roman" w:cs="Times New Roman"/>
                <w:szCs w:val="24"/>
                <w:lang w:val="en-GB"/>
              </w:rPr>
              <w:t xml:space="preserve">Table 1. Descriptive statistics, reliability analysis and </w:t>
            </w:r>
            <w:r>
              <w:rPr>
                <w:rFonts w:eastAsia="Times New Roman" w:cs="Times New Roman"/>
                <w:szCs w:val="24"/>
                <w:lang w:val="en-GB"/>
              </w:rPr>
              <w:t xml:space="preserve">bivariate </w:t>
            </w:r>
            <w:r w:rsidRPr="00787053">
              <w:rPr>
                <w:rFonts w:eastAsia="Times New Roman" w:cs="Times New Roman"/>
                <w:szCs w:val="24"/>
                <w:lang w:val="en-GB"/>
              </w:rPr>
              <w:t>correlations between all variables (QSAS, Russia)</w:t>
            </w:r>
          </w:p>
        </w:tc>
      </w:tr>
      <w:tr w:rsidR="003E7BFD" w:rsidRPr="004B1867" w14:paraId="6F2596A2" w14:textId="77777777" w:rsidTr="007524DE">
        <w:trPr>
          <w:jc w:val="center"/>
        </w:trPr>
        <w:tc>
          <w:tcPr>
            <w:tcW w:w="2410" w:type="dxa"/>
            <w:tcBorders>
              <w:top w:val="single" w:sz="4" w:space="0" w:color="auto"/>
              <w:bottom w:val="single" w:sz="4" w:space="0" w:color="auto"/>
            </w:tcBorders>
            <w:vAlign w:val="center"/>
          </w:tcPr>
          <w:p w14:paraId="0C003946"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Factors</w:t>
            </w:r>
          </w:p>
        </w:tc>
        <w:tc>
          <w:tcPr>
            <w:tcW w:w="850" w:type="dxa"/>
            <w:tcBorders>
              <w:top w:val="single" w:sz="4" w:space="0" w:color="auto"/>
              <w:bottom w:val="single" w:sz="4" w:space="0" w:color="auto"/>
            </w:tcBorders>
            <w:vAlign w:val="center"/>
          </w:tcPr>
          <w:p w14:paraId="7FA1EE98"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M</w:t>
            </w:r>
          </w:p>
        </w:tc>
        <w:tc>
          <w:tcPr>
            <w:tcW w:w="709" w:type="dxa"/>
            <w:tcBorders>
              <w:top w:val="single" w:sz="4" w:space="0" w:color="auto"/>
              <w:bottom w:val="single" w:sz="4" w:space="0" w:color="auto"/>
            </w:tcBorders>
            <w:vAlign w:val="center"/>
          </w:tcPr>
          <w:p w14:paraId="024B37F5"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SD</w:t>
            </w:r>
          </w:p>
        </w:tc>
        <w:tc>
          <w:tcPr>
            <w:tcW w:w="1172" w:type="dxa"/>
            <w:tcBorders>
              <w:top w:val="single" w:sz="4" w:space="0" w:color="auto"/>
              <w:bottom w:val="single" w:sz="4" w:space="0" w:color="auto"/>
            </w:tcBorders>
            <w:vAlign w:val="center"/>
          </w:tcPr>
          <w:p w14:paraId="1AAE5380"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α</w:t>
            </w:r>
          </w:p>
        </w:tc>
        <w:tc>
          <w:tcPr>
            <w:tcW w:w="812" w:type="dxa"/>
            <w:tcBorders>
              <w:top w:val="single" w:sz="4" w:space="0" w:color="auto"/>
              <w:bottom w:val="single" w:sz="4" w:space="0" w:color="auto"/>
            </w:tcBorders>
            <w:vAlign w:val="center"/>
          </w:tcPr>
          <w:p w14:paraId="2CC61066"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1</w:t>
            </w:r>
          </w:p>
        </w:tc>
        <w:tc>
          <w:tcPr>
            <w:tcW w:w="1134" w:type="dxa"/>
            <w:tcBorders>
              <w:top w:val="single" w:sz="4" w:space="0" w:color="auto"/>
              <w:bottom w:val="single" w:sz="4" w:space="0" w:color="auto"/>
            </w:tcBorders>
            <w:vAlign w:val="center"/>
          </w:tcPr>
          <w:p w14:paraId="456FDAB1" w14:textId="77777777" w:rsidR="003E7BFD" w:rsidRPr="00787053" w:rsidRDefault="003E7BFD" w:rsidP="007524DE">
            <w:pPr>
              <w:spacing w:after="120"/>
              <w:ind w:left="-108" w:right="-126"/>
              <w:jc w:val="center"/>
              <w:rPr>
                <w:rFonts w:eastAsia="Times New Roman" w:cs="Times New Roman"/>
                <w:szCs w:val="24"/>
              </w:rPr>
            </w:pPr>
            <w:r w:rsidRPr="00787053">
              <w:rPr>
                <w:rFonts w:eastAsia="Times New Roman" w:cs="Times New Roman"/>
                <w:szCs w:val="24"/>
              </w:rPr>
              <w:t>2</w:t>
            </w:r>
          </w:p>
        </w:tc>
      </w:tr>
      <w:tr w:rsidR="003E7BFD" w:rsidRPr="004B1867" w14:paraId="152FF3F7" w14:textId="77777777" w:rsidTr="007524DE">
        <w:trPr>
          <w:jc w:val="center"/>
        </w:trPr>
        <w:tc>
          <w:tcPr>
            <w:tcW w:w="2410" w:type="dxa"/>
            <w:vAlign w:val="center"/>
          </w:tcPr>
          <w:p w14:paraId="1010B8FE"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1. Social distance</w:t>
            </w:r>
          </w:p>
        </w:tc>
        <w:tc>
          <w:tcPr>
            <w:tcW w:w="850" w:type="dxa"/>
            <w:vAlign w:val="center"/>
          </w:tcPr>
          <w:p w14:paraId="6C95B0BA"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.68</w:t>
            </w:r>
          </w:p>
        </w:tc>
        <w:tc>
          <w:tcPr>
            <w:tcW w:w="709" w:type="dxa"/>
            <w:vAlign w:val="center"/>
          </w:tcPr>
          <w:p w14:paraId="45A9C236"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.25</w:t>
            </w:r>
          </w:p>
        </w:tc>
        <w:tc>
          <w:tcPr>
            <w:tcW w:w="1172" w:type="dxa"/>
            <w:vAlign w:val="center"/>
          </w:tcPr>
          <w:p w14:paraId="1C8C6829"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.83</w:t>
            </w:r>
          </w:p>
        </w:tc>
        <w:tc>
          <w:tcPr>
            <w:tcW w:w="812" w:type="dxa"/>
            <w:vAlign w:val="center"/>
          </w:tcPr>
          <w:p w14:paraId="5184BEDE" w14:textId="77777777" w:rsidR="003E7BFD" w:rsidRPr="00787053" w:rsidRDefault="003E7BFD" w:rsidP="007524DE">
            <w:pPr>
              <w:spacing w:after="120"/>
              <w:jc w:val="center"/>
              <w:rPr>
                <w:rFonts w:eastAsia="Times New Roman" w:cs="Times New Roman"/>
                <w:szCs w:val="24"/>
              </w:rPr>
            </w:pPr>
          </w:p>
        </w:tc>
        <w:tc>
          <w:tcPr>
            <w:tcW w:w="1134" w:type="dxa"/>
            <w:vAlign w:val="center"/>
          </w:tcPr>
          <w:p w14:paraId="6C9B198C" w14:textId="77777777" w:rsidR="003E7BFD" w:rsidRPr="00787053" w:rsidRDefault="003E7BFD" w:rsidP="007524DE">
            <w:pPr>
              <w:spacing w:after="120"/>
              <w:ind w:left="-108" w:right="-126"/>
              <w:jc w:val="center"/>
              <w:rPr>
                <w:rFonts w:eastAsia="Times New Roman" w:cs="Times New Roman"/>
                <w:szCs w:val="24"/>
              </w:rPr>
            </w:pPr>
            <w:r w:rsidRPr="00787053">
              <w:rPr>
                <w:rFonts w:eastAsia="Times New Roman" w:cs="Times New Roman"/>
                <w:szCs w:val="24"/>
              </w:rPr>
              <w:t>.44***</w:t>
            </w:r>
          </w:p>
        </w:tc>
      </w:tr>
      <w:tr w:rsidR="003E7BFD" w:rsidRPr="004B1867" w14:paraId="79AEA312" w14:textId="77777777" w:rsidTr="007524DE">
        <w:trPr>
          <w:jc w:val="center"/>
        </w:trPr>
        <w:tc>
          <w:tcPr>
            <w:tcW w:w="2410" w:type="dxa"/>
            <w:vAlign w:val="center"/>
          </w:tcPr>
          <w:p w14:paraId="6BAF17FB"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2. Stereotypes</w:t>
            </w:r>
          </w:p>
        </w:tc>
        <w:tc>
          <w:tcPr>
            <w:tcW w:w="850" w:type="dxa"/>
            <w:vAlign w:val="center"/>
          </w:tcPr>
          <w:p w14:paraId="3737DC70"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.58</w:t>
            </w:r>
          </w:p>
        </w:tc>
        <w:tc>
          <w:tcPr>
            <w:tcW w:w="709" w:type="dxa"/>
            <w:vAlign w:val="center"/>
          </w:tcPr>
          <w:p w14:paraId="75109006"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.34</w:t>
            </w:r>
          </w:p>
        </w:tc>
        <w:tc>
          <w:tcPr>
            <w:tcW w:w="1172" w:type="dxa"/>
            <w:vAlign w:val="center"/>
          </w:tcPr>
          <w:p w14:paraId="17722022"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.85</w:t>
            </w:r>
          </w:p>
        </w:tc>
        <w:tc>
          <w:tcPr>
            <w:tcW w:w="812" w:type="dxa"/>
            <w:vAlign w:val="center"/>
          </w:tcPr>
          <w:p w14:paraId="104765D6" w14:textId="77777777" w:rsidR="003E7BFD" w:rsidRPr="00787053" w:rsidRDefault="003E7BFD" w:rsidP="007524DE">
            <w:pPr>
              <w:spacing w:after="120"/>
              <w:jc w:val="center"/>
              <w:rPr>
                <w:rFonts w:eastAsia="Times New Roman" w:cs="Times New Roman"/>
                <w:szCs w:val="24"/>
              </w:rPr>
            </w:pPr>
          </w:p>
        </w:tc>
        <w:tc>
          <w:tcPr>
            <w:tcW w:w="1134" w:type="dxa"/>
            <w:vAlign w:val="center"/>
          </w:tcPr>
          <w:p w14:paraId="1E1A8009" w14:textId="77777777" w:rsidR="003E7BFD" w:rsidRPr="00787053" w:rsidRDefault="003E7BFD" w:rsidP="007524DE">
            <w:pPr>
              <w:spacing w:after="120"/>
              <w:ind w:left="-108" w:right="-126"/>
              <w:jc w:val="center"/>
              <w:rPr>
                <w:rFonts w:eastAsia="Times New Roman" w:cs="Times New Roman"/>
                <w:szCs w:val="24"/>
              </w:rPr>
            </w:pPr>
          </w:p>
        </w:tc>
      </w:tr>
      <w:tr w:rsidR="003E7BFD" w:rsidRPr="00386AD8" w14:paraId="59425541" w14:textId="77777777" w:rsidTr="007524DE">
        <w:trPr>
          <w:trHeight w:val="80"/>
          <w:jc w:val="center"/>
        </w:trPr>
        <w:tc>
          <w:tcPr>
            <w:tcW w:w="7087" w:type="dxa"/>
            <w:gridSpan w:val="6"/>
            <w:tcBorders>
              <w:top w:val="single" w:sz="4" w:space="0" w:color="auto"/>
            </w:tcBorders>
          </w:tcPr>
          <w:p w14:paraId="5C8947A4" w14:textId="77777777" w:rsidR="003E7BFD" w:rsidRDefault="003E7BFD" w:rsidP="007524DE">
            <w:pPr>
              <w:spacing w:after="120"/>
              <w:jc w:val="both"/>
              <w:rPr>
                <w:rFonts w:eastAsia="Times New Roman" w:cs="Times New Roman"/>
                <w:szCs w:val="24"/>
                <w:lang w:val="en-GB"/>
              </w:rPr>
            </w:pPr>
            <w:r w:rsidRPr="00787053">
              <w:rPr>
                <w:rFonts w:eastAsia="Times New Roman" w:cs="Times New Roman"/>
                <w:szCs w:val="24"/>
                <w:lang w:val="en-GB"/>
              </w:rPr>
              <w:t>Note: ***p&lt; .001</w:t>
            </w:r>
          </w:p>
          <w:p w14:paraId="3BB2E685" w14:textId="65BB466A" w:rsidR="003E7BFD" w:rsidRPr="00787053" w:rsidRDefault="003E7BFD" w:rsidP="007524DE">
            <w:pPr>
              <w:spacing w:after="120"/>
              <w:jc w:val="both"/>
              <w:rPr>
                <w:rFonts w:eastAsia="Times New Roman" w:cs="Times New Roman"/>
                <w:szCs w:val="24"/>
                <w:lang w:val="en-GB"/>
              </w:rPr>
            </w:pPr>
          </w:p>
        </w:tc>
      </w:tr>
      <w:tr w:rsidR="003E7BFD" w:rsidRPr="00BF1541" w14:paraId="5CF679A6" w14:textId="77777777" w:rsidTr="003E7BFD">
        <w:trPr>
          <w:trHeight w:val="80"/>
          <w:jc w:val="center"/>
        </w:trPr>
        <w:tc>
          <w:tcPr>
            <w:tcW w:w="7087" w:type="dxa"/>
            <w:gridSpan w:val="6"/>
            <w:tcBorders>
              <w:top w:val="single" w:sz="4" w:space="0" w:color="auto"/>
            </w:tcBorders>
          </w:tcPr>
          <w:p w14:paraId="0534FDBA" w14:textId="77777777" w:rsidR="003E7BFD" w:rsidRPr="00787053" w:rsidRDefault="003E7BFD" w:rsidP="007524DE">
            <w:pPr>
              <w:spacing w:after="120"/>
              <w:jc w:val="both"/>
              <w:rPr>
                <w:rFonts w:eastAsia="Times New Roman" w:cs="Times New Roman"/>
                <w:szCs w:val="24"/>
                <w:lang w:val="en-GB"/>
              </w:rPr>
            </w:pPr>
            <w:r w:rsidRPr="00787053">
              <w:rPr>
                <w:rFonts w:eastAsia="Times New Roman" w:cs="Times New Roman"/>
                <w:szCs w:val="24"/>
                <w:lang w:val="en-GB"/>
              </w:rPr>
              <w:t xml:space="preserve">Table 2. Descriptive statistics, reliability analysis and </w:t>
            </w:r>
            <w:r>
              <w:rPr>
                <w:rFonts w:eastAsia="Times New Roman" w:cs="Times New Roman"/>
                <w:szCs w:val="24"/>
                <w:lang w:val="en-GB"/>
              </w:rPr>
              <w:t xml:space="preserve">bivariate </w:t>
            </w:r>
            <w:r w:rsidRPr="00787053">
              <w:rPr>
                <w:rFonts w:eastAsia="Times New Roman" w:cs="Times New Roman"/>
                <w:szCs w:val="24"/>
                <w:lang w:val="en-GB"/>
              </w:rPr>
              <w:t>correlations between all variables (QSAS, Canada)</w:t>
            </w:r>
          </w:p>
        </w:tc>
      </w:tr>
      <w:tr w:rsidR="003E7BFD" w:rsidRPr="004B1867" w14:paraId="211B4839" w14:textId="77777777" w:rsidTr="007524DE">
        <w:trPr>
          <w:jc w:val="center"/>
        </w:trPr>
        <w:tc>
          <w:tcPr>
            <w:tcW w:w="2410" w:type="dxa"/>
            <w:tcBorders>
              <w:top w:val="single" w:sz="4" w:space="0" w:color="auto"/>
              <w:bottom w:val="single" w:sz="4" w:space="0" w:color="auto"/>
            </w:tcBorders>
            <w:vAlign w:val="center"/>
          </w:tcPr>
          <w:p w14:paraId="76A5AE2B"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Factors</w:t>
            </w:r>
          </w:p>
        </w:tc>
        <w:tc>
          <w:tcPr>
            <w:tcW w:w="850" w:type="dxa"/>
            <w:tcBorders>
              <w:top w:val="single" w:sz="4" w:space="0" w:color="auto"/>
              <w:bottom w:val="single" w:sz="4" w:space="0" w:color="auto"/>
            </w:tcBorders>
            <w:vAlign w:val="center"/>
          </w:tcPr>
          <w:p w14:paraId="4D1791CB"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M</w:t>
            </w:r>
          </w:p>
        </w:tc>
        <w:tc>
          <w:tcPr>
            <w:tcW w:w="709" w:type="dxa"/>
            <w:tcBorders>
              <w:top w:val="single" w:sz="4" w:space="0" w:color="auto"/>
              <w:bottom w:val="single" w:sz="4" w:space="0" w:color="auto"/>
            </w:tcBorders>
            <w:vAlign w:val="center"/>
          </w:tcPr>
          <w:p w14:paraId="1C41016C"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SD</w:t>
            </w:r>
          </w:p>
        </w:tc>
        <w:tc>
          <w:tcPr>
            <w:tcW w:w="1172" w:type="dxa"/>
            <w:tcBorders>
              <w:top w:val="single" w:sz="4" w:space="0" w:color="auto"/>
              <w:bottom w:val="single" w:sz="4" w:space="0" w:color="auto"/>
            </w:tcBorders>
            <w:vAlign w:val="center"/>
          </w:tcPr>
          <w:p w14:paraId="04E05C90"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α</w:t>
            </w:r>
          </w:p>
        </w:tc>
        <w:tc>
          <w:tcPr>
            <w:tcW w:w="812" w:type="dxa"/>
            <w:tcBorders>
              <w:top w:val="single" w:sz="4" w:space="0" w:color="auto"/>
              <w:bottom w:val="single" w:sz="4" w:space="0" w:color="auto"/>
            </w:tcBorders>
            <w:vAlign w:val="center"/>
          </w:tcPr>
          <w:p w14:paraId="2E4BA900"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1</w:t>
            </w:r>
          </w:p>
        </w:tc>
        <w:tc>
          <w:tcPr>
            <w:tcW w:w="1134" w:type="dxa"/>
            <w:tcBorders>
              <w:top w:val="single" w:sz="4" w:space="0" w:color="auto"/>
              <w:bottom w:val="single" w:sz="4" w:space="0" w:color="auto"/>
            </w:tcBorders>
            <w:vAlign w:val="center"/>
          </w:tcPr>
          <w:p w14:paraId="279F30AE" w14:textId="77777777" w:rsidR="003E7BFD" w:rsidRPr="00787053" w:rsidRDefault="003E7BFD" w:rsidP="007524DE">
            <w:pPr>
              <w:spacing w:after="120"/>
              <w:ind w:left="-108" w:right="-126"/>
              <w:jc w:val="center"/>
              <w:rPr>
                <w:rFonts w:eastAsia="Times New Roman" w:cs="Times New Roman"/>
                <w:szCs w:val="24"/>
              </w:rPr>
            </w:pPr>
            <w:r w:rsidRPr="00787053">
              <w:rPr>
                <w:rFonts w:eastAsia="Times New Roman" w:cs="Times New Roman"/>
                <w:szCs w:val="24"/>
              </w:rPr>
              <w:t>2</w:t>
            </w:r>
          </w:p>
        </w:tc>
      </w:tr>
      <w:tr w:rsidR="003E7BFD" w:rsidRPr="004B1867" w14:paraId="21F8AA42" w14:textId="77777777" w:rsidTr="007524DE">
        <w:trPr>
          <w:jc w:val="center"/>
        </w:trPr>
        <w:tc>
          <w:tcPr>
            <w:tcW w:w="2410" w:type="dxa"/>
            <w:vAlign w:val="center"/>
          </w:tcPr>
          <w:p w14:paraId="2EAE7159"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1. Social distance</w:t>
            </w:r>
          </w:p>
        </w:tc>
        <w:tc>
          <w:tcPr>
            <w:tcW w:w="850" w:type="dxa"/>
            <w:vAlign w:val="center"/>
          </w:tcPr>
          <w:p w14:paraId="753F3779"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.61</w:t>
            </w:r>
          </w:p>
        </w:tc>
        <w:tc>
          <w:tcPr>
            <w:tcW w:w="709" w:type="dxa"/>
            <w:vAlign w:val="center"/>
          </w:tcPr>
          <w:p w14:paraId="15401C7D"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.31</w:t>
            </w:r>
          </w:p>
        </w:tc>
        <w:tc>
          <w:tcPr>
            <w:tcW w:w="1172" w:type="dxa"/>
            <w:vAlign w:val="center"/>
          </w:tcPr>
          <w:p w14:paraId="5791A0E1"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.80</w:t>
            </w:r>
          </w:p>
        </w:tc>
        <w:tc>
          <w:tcPr>
            <w:tcW w:w="812" w:type="dxa"/>
            <w:vAlign w:val="center"/>
          </w:tcPr>
          <w:p w14:paraId="08D5BDCB" w14:textId="77777777" w:rsidR="003E7BFD" w:rsidRPr="00787053" w:rsidRDefault="003E7BFD" w:rsidP="007524DE">
            <w:pPr>
              <w:spacing w:after="120"/>
              <w:jc w:val="center"/>
              <w:rPr>
                <w:rFonts w:eastAsia="Times New Roman" w:cs="Times New Roman"/>
                <w:szCs w:val="24"/>
              </w:rPr>
            </w:pPr>
          </w:p>
        </w:tc>
        <w:tc>
          <w:tcPr>
            <w:tcW w:w="1134" w:type="dxa"/>
            <w:vAlign w:val="center"/>
          </w:tcPr>
          <w:p w14:paraId="0ADED75C" w14:textId="77777777" w:rsidR="003E7BFD" w:rsidRPr="00787053" w:rsidRDefault="003E7BFD" w:rsidP="007524DE">
            <w:pPr>
              <w:spacing w:after="120"/>
              <w:ind w:left="-108" w:right="-126"/>
              <w:jc w:val="center"/>
              <w:rPr>
                <w:rFonts w:eastAsia="Times New Roman" w:cs="Times New Roman"/>
                <w:szCs w:val="24"/>
              </w:rPr>
            </w:pPr>
            <w:r w:rsidRPr="00787053">
              <w:rPr>
                <w:rFonts w:eastAsia="Times New Roman" w:cs="Times New Roman"/>
                <w:szCs w:val="24"/>
              </w:rPr>
              <w:t>.57***</w:t>
            </w:r>
          </w:p>
        </w:tc>
      </w:tr>
      <w:tr w:rsidR="003E7BFD" w:rsidRPr="004B1867" w14:paraId="79351B6E" w14:textId="77777777" w:rsidTr="007524DE">
        <w:trPr>
          <w:jc w:val="center"/>
        </w:trPr>
        <w:tc>
          <w:tcPr>
            <w:tcW w:w="2410" w:type="dxa"/>
            <w:vAlign w:val="center"/>
          </w:tcPr>
          <w:p w14:paraId="5BA8648A" w14:textId="77777777" w:rsidR="003E7BFD" w:rsidRPr="00787053" w:rsidRDefault="003E7BFD" w:rsidP="007524DE">
            <w:pPr>
              <w:spacing w:after="120"/>
              <w:jc w:val="both"/>
              <w:rPr>
                <w:rFonts w:eastAsia="Times New Roman" w:cs="Times New Roman"/>
                <w:szCs w:val="24"/>
              </w:rPr>
            </w:pPr>
            <w:r w:rsidRPr="00787053">
              <w:rPr>
                <w:rFonts w:eastAsia="Times New Roman" w:cs="Times New Roman"/>
                <w:szCs w:val="24"/>
              </w:rPr>
              <w:t>2. Stereotypes</w:t>
            </w:r>
          </w:p>
        </w:tc>
        <w:tc>
          <w:tcPr>
            <w:tcW w:w="850" w:type="dxa"/>
            <w:vAlign w:val="center"/>
          </w:tcPr>
          <w:p w14:paraId="6625F5AC"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.66</w:t>
            </w:r>
          </w:p>
        </w:tc>
        <w:tc>
          <w:tcPr>
            <w:tcW w:w="709" w:type="dxa"/>
            <w:vAlign w:val="center"/>
          </w:tcPr>
          <w:p w14:paraId="594EA4C5"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.25</w:t>
            </w:r>
          </w:p>
        </w:tc>
        <w:tc>
          <w:tcPr>
            <w:tcW w:w="1172" w:type="dxa"/>
            <w:vAlign w:val="center"/>
          </w:tcPr>
          <w:p w14:paraId="3913F8E0" w14:textId="77777777" w:rsidR="003E7BFD" w:rsidRPr="00787053" w:rsidRDefault="003E7BFD" w:rsidP="007524DE">
            <w:pPr>
              <w:spacing w:after="120"/>
              <w:jc w:val="center"/>
              <w:rPr>
                <w:rFonts w:eastAsia="Times New Roman" w:cs="Times New Roman"/>
                <w:szCs w:val="24"/>
              </w:rPr>
            </w:pPr>
            <w:r w:rsidRPr="00787053">
              <w:rPr>
                <w:rFonts w:eastAsia="Times New Roman" w:cs="Times New Roman"/>
                <w:szCs w:val="24"/>
              </w:rPr>
              <w:t>.85</w:t>
            </w:r>
          </w:p>
        </w:tc>
        <w:tc>
          <w:tcPr>
            <w:tcW w:w="812" w:type="dxa"/>
            <w:vAlign w:val="center"/>
          </w:tcPr>
          <w:p w14:paraId="4E3F8503" w14:textId="77777777" w:rsidR="003E7BFD" w:rsidRPr="00787053" w:rsidRDefault="003E7BFD" w:rsidP="007524DE">
            <w:pPr>
              <w:spacing w:after="120"/>
              <w:jc w:val="center"/>
              <w:rPr>
                <w:rFonts w:eastAsia="Times New Roman" w:cs="Times New Roman"/>
                <w:szCs w:val="24"/>
              </w:rPr>
            </w:pPr>
          </w:p>
        </w:tc>
        <w:tc>
          <w:tcPr>
            <w:tcW w:w="1134" w:type="dxa"/>
            <w:vAlign w:val="center"/>
          </w:tcPr>
          <w:p w14:paraId="75DEA38C" w14:textId="77777777" w:rsidR="003E7BFD" w:rsidRPr="00787053" w:rsidRDefault="003E7BFD" w:rsidP="007524DE">
            <w:pPr>
              <w:spacing w:after="120"/>
              <w:ind w:left="-108" w:right="-126"/>
              <w:jc w:val="center"/>
              <w:rPr>
                <w:rFonts w:eastAsia="Times New Roman" w:cs="Times New Roman"/>
                <w:szCs w:val="24"/>
              </w:rPr>
            </w:pPr>
            <w:r w:rsidRPr="00787053">
              <w:rPr>
                <w:rFonts w:eastAsia="Times New Roman" w:cs="Times New Roman"/>
                <w:szCs w:val="24"/>
              </w:rPr>
              <w:t>-</w:t>
            </w:r>
          </w:p>
        </w:tc>
      </w:tr>
      <w:tr w:rsidR="003E7BFD" w:rsidRPr="00386AD8" w14:paraId="50C66270" w14:textId="77777777" w:rsidTr="007524DE">
        <w:trPr>
          <w:trHeight w:val="80"/>
          <w:jc w:val="center"/>
        </w:trPr>
        <w:tc>
          <w:tcPr>
            <w:tcW w:w="7087" w:type="dxa"/>
            <w:gridSpan w:val="6"/>
            <w:tcBorders>
              <w:top w:val="single" w:sz="4" w:space="0" w:color="auto"/>
            </w:tcBorders>
          </w:tcPr>
          <w:p w14:paraId="056A489F" w14:textId="77777777" w:rsidR="003E7BFD" w:rsidRPr="00787053" w:rsidRDefault="003E7BFD" w:rsidP="007524DE">
            <w:pPr>
              <w:spacing w:after="120"/>
              <w:jc w:val="both"/>
              <w:rPr>
                <w:rFonts w:eastAsia="Times New Roman" w:cs="Times New Roman"/>
                <w:szCs w:val="24"/>
                <w:lang w:val="en-GB"/>
              </w:rPr>
            </w:pPr>
            <w:r w:rsidRPr="00787053">
              <w:rPr>
                <w:rFonts w:eastAsia="Times New Roman" w:cs="Times New Roman"/>
                <w:szCs w:val="24"/>
                <w:lang w:val="en-GB"/>
              </w:rPr>
              <w:t>Note: ***p&lt; .001</w:t>
            </w:r>
          </w:p>
          <w:p w14:paraId="5970A067" w14:textId="77777777" w:rsidR="003E7BFD" w:rsidRPr="00787053" w:rsidRDefault="003E7BFD" w:rsidP="007524DE">
            <w:pPr>
              <w:spacing w:after="120"/>
              <w:jc w:val="both"/>
              <w:rPr>
                <w:rFonts w:eastAsia="Times New Roman" w:cs="Times New Roman"/>
                <w:szCs w:val="24"/>
                <w:lang w:val="en-GB"/>
              </w:rPr>
            </w:pPr>
          </w:p>
        </w:tc>
      </w:tr>
    </w:tbl>
    <w:p w14:paraId="46E77FFB" w14:textId="77777777" w:rsidR="009627E0" w:rsidRPr="00787053" w:rsidRDefault="009627E0" w:rsidP="009627E0">
      <w:pPr>
        <w:spacing w:before="0" w:after="0"/>
        <w:ind w:firstLine="720"/>
        <w:jc w:val="both"/>
        <w:rPr>
          <w:rFonts w:eastAsia="Times New Roman" w:cs="Times New Roman"/>
          <w:b/>
          <w:bCs/>
          <w:iCs/>
          <w:szCs w:val="24"/>
        </w:rPr>
      </w:pPr>
      <w:r w:rsidRPr="00787053">
        <w:rPr>
          <w:rFonts w:eastAsia="Times New Roman" w:cs="Times New Roman"/>
          <w:b/>
          <w:bCs/>
          <w:iCs/>
          <w:szCs w:val="24"/>
        </w:rPr>
        <w:t>Confirmatory factor analysis.</w:t>
      </w:r>
    </w:p>
    <w:p w14:paraId="3A25AB68" w14:textId="77777777" w:rsidR="009627E0" w:rsidRPr="00787053" w:rsidRDefault="009627E0" w:rsidP="009627E0">
      <w:pPr>
        <w:spacing w:before="0" w:after="0"/>
        <w:ind w:firstLine="720"/>
        <w:jc w:val="both"/>
        <w:rPr>
          <w:rFonts w:eastAsia="Times New Roman" w:cs="Times New Roman"/>
          <w:szCs w:val="24"/>
          <w:lang w:val="en-GB"/>
        </w:rPr>
      </w:pPr>
      <w:bookmarkStart w:id="2" w:name="_Hlk45131219"/>
      <w:r w:rsidRPr="00787053">
        <w:rPr>
          <w:rFonts w:eastAsia="Times New Roman" w:cs="Times New Roman"/>
          <w:szCs w:val="24"/>
          <w:lang w:val="en-GB"/>
        </w:rPr>
        <w:t xml:space="preserve">Testing the model for the Russian version of the QSAS (Figure 1) revealed suitable fit indices: </w:t>
      </w:r>
      <w:r w:rsidRPr="00787053">
        <w:rPr>
          <w:rFonts w:eastAsia="Times New Roman" w:cs="Times New Roman"/>
          <w:szCs w:val="24"/>
        </w:rPr>
        <w:t>χ</w:t>
      </w:r>
      <w:r w:rsidRPr="00787053">
        <w:rPr>
          <w:rFonts w:eastAsia="Times New Roman" w:cs="Times New Roman"/>
          <w:szCs w:val="24"/>
          <w:lang w:val="en-GB"/>
        </w:rPr>
        <w:t xml:space="preserve">2 (151. N = 304) = 238.69, </w:t>
      </w:r>
      <w:r w:rsidRPr="00787053">
        <w:rPr>
          <w:rFonts w:eastAsia="Times New Roman" w:cs="Times New Roman"/>
          <w:i/>
          <w:iCs/>
          <w:szCs w:val="24"/>
          <w:lang w:val="en-GB"/>
        </w:rPr>
        <w:t>p</w:t>
      </w:r>
      <w:r w:rsidRPr="00787053">
        <w:rPr>
          <w:rFonts w:eastAsia="Times New Roman" w:cs="Times New Roman"/>
          <w:szCs w:val="24"/>
          <w:lang w:val="en-GB"/>
        </w:rPr>
        <w:t xml:space="preserve"> &lt; .001; </w:t>
      </w:r>
      <w:r w:rsidRPr="00787053">
        <w:rPr>
          <w:rFonts w:eastAsia="Times New Roman" w:cs="Times New Roman"/>
          <w:szCs w:val="24"/>
        </w:rPr>
        <w:t>χ</w:t>
      </w:r>
      <w:r w:rsidRPr="00787053">
        <w:rPr>
          <w:rFonts w:eastAsia="Times New Roman" w:cs="Times New Roman"/>
          <w:szCs w:val="24"/>
          <w:lang w:val="en-GB"/>
        </w:rPr>
        <w:t>2/</w:t>
      </w:r>
      <w:r>
        <w:rPr>
          <w:rFonts w:eastAsia="Times New Roman" w:cs="Times New Roman"/>
          <w:szCs w:val="24"/>
          <w:lang w:val="en-GB"/>
        </w:rPr>
        <w:t>df</w:t>
      </w:r>
      <w:r w:rsidRPr="00787053">
        <w:rPr>
          <w:rFonts w:eastAsia="Times New Roman" w:cs="Times New Roman"/>
          <w:szCs w:val="24"/>
          <w:lang w:val="en-GB"/>
        </w:rPr>
        <w:t>= 1.58; CFI = .96; IFI = .96; RMSEA = .063 (IC 90% = .052-.069); SRMR = .032. The standardized regression weights ranged between .75 and .83, making them statistically significant (</w:t>
      </w:r>
      <w:r w:rsidRPr="00787053">
        <w:rPr>
          <w:rFonts w:eastAsia="Times New Roman" w:cs="Times New Roman"/>
          <w:i/>
          <w:iCs/>
          <w:szCs w:val="24"/>
          <w:lang w:val="en-GB"/>
        </w:rPr>
        <w:t>p</w:t>
      </w:r>
      <w:r w:rsidRPr="00787053">
        <w:rPr>
          <w:rFonts w:eastAsia="Times New Roman" w:cs="Times New Roman"/>
          <w:szCs w:val="24"/>
          <w:lang w:val="en-GB"/>
        </w:rPr>
        <w:t xml:space="preserve"> &lt; .001). The correlation between the factors was also statistically significant, with a figure of .51 (</w:t>
      </w:r>
      <w:r w:rsidRPr="00787053">
        <w:rPr>
          <w:rFonts w:eastAsia="Times New Roman" w:cs="Times New Roman"/>
          <w:i/>
          <w:iCs/>
          <w:szCs w:val="24"/>
          <w:lang w:val="en-GB"/>
        </w:rPr>
        <w:t>p</w:t>
      </w:r>
      <w:r w:rsidRPr="00787053">
        <w:rPr>
          <w:rFonts w:eastAsia="Times New Roman" w:cs="Times New Roman"/>
          <w:szCs w:val="24"/>
          <w:lang w:val="en-GB"/>
        </w:rPr>
        <w:t xml:space="preserve"> &lt; .001).</w:t>
      </w:r>
    </w:p>
    <w:bookmarkEnd w:id="2"/>
    <w:p w14:paraId="2AC4B4C5" w14:textId="77777777" w:rsidR="003E7BFD" w:rsidRDefault="003E7BFD" w:rsidP="009627E0">
      <w:pPr>
        <w:spacing w:before="0" w:after="0"/>
        <w:ind w:firstLine="720"/>
        <w:jc w:val="both"/>
        <w:rPr>
          <w:rFonts w:eastAsia="Times New Roman" w:cs="Times New Roman"/>
          <w:szCs w:val="24"/>
          <w:lang w:val="en-GB"/>
        </w:rPr>
      </w:pPr>
      <w:r w:rsidRPr="00232908">
        <w:rPr>
          <w:rFonts w:eastAsia="Times New Roman" w:cs="Times New Roman"/>
          <w:noProof/>
        </w:rPr>
        <w:lastRenderedPageBreak/>
        <w:drawing>
          <wp:inline distT="0" distB="0" distL="0" distR="0" wp14:anchorId="0B4A3039" wp14:editId="3828BBE5">
            <wp:extent cx="4459514" cy="51451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2446" cy="5206180"/>
                    </a:xfrm>
                    <a:prstGeom prst="rect">
                      <a:avLst/>
                    </a:prstGeom>
                    <a:noFill/>
                    <a:ln>
                      <a:noFill/>
                    </a:ln>
                  </pic:spPr>
                </pic:pic>
              </a:graphicData>
            </a:graphic>
          </wp:inline>
        </w:drawing>
      </w:r>
    </w:p>
    <w:p w14:paraId="59F96098" w14:textId="77777777" w:rsidR="003E7BFD" w:rsidRDefault="003E7BFD" w:rsidP="009627E0">
      <w:pPr>
        <w:spacing w:before="0" w:after="0"/>
        <w:ind w:firstLine="720"/>
        <w:jc w:val="both"/>
        <w:rPr>
          <w:rFonts w:eastAsia="Times New Roman" w:cs="Times New Roman"/>
          <w:szCs w:val="24"/>
          <w:lang w:val="en-GB"/>
        </w:rPr>
      </w:pPr>
    </w:p>
    <w:p w14:paraId="0A906B50" w14:textId="77777777" w:rsidR="00DA4E1F" w:rsidRPr="00787053" w:rsidRDefault="00DA4E1F" w:rsidP="00DA4E1F">
      <w:pPr>
        <w:spacing w:after="0" w:line="360" w:lineRule="auto"/>
        <w:jc w:val="center"/>
        <w:rPr>
          <w:rFonts w:cs="Times New Roman"/>
          <w:szCs w:val="24"/>
          <w:lang w:val="en-GB"/>
        </w:rPr>
      </w:pPr>
      <w:bookmarkStart w:id="3" w:name="_Hlk45131408"/>
      <w:r w:rsidRPr="00787053">
        <w:rPr>
          <w:rFonts w:cs="Times New Roman"/>
          <w:i/>
          <w:szCs w:val="24"/>
          <w:lang w:val="en-GB"/>
        </w:rPr>
        <w:t>Figure 1.</w:t>
      </w:r>
      <w:r w:rsidRPr="00787053">
        <w:rPr>
          <w:rFonts w:cs="Times New Roman"/>
          <w:szCs w:val="24"/>
          <w:lang w:val="en-GB"/>
        </w:rPr>
        <w:t xml:space="preserve"> Confirmatory factorial analysis Russian QSAS</w:t>
      </w:r>
    </w:p>
    <w:bookmarkEnd w:id="3"/>
    <w:p w14:paraId="08A3AF80" w14:textId="77777777" w:rsidR="00DA4E1F" w:rsidRDefault="00DA4E1F" w:rsidP="009627E0">
      <w:pPr>
        <w:spacing w:before="0" w:after="0"/>
        <w:ind w:firstLine="720"/>
        <w:jc w:val="both"/>
        <w:rPr>
          <w:rFonts w:eastAsia="Times New Roman" w:cs="Times New Roman"/>
          <w:szCs w:val="24"/>
          <w:lang w:val="en-GB"/>
        </w:rPr>
      </w:pPr>
    </w:p>
    <w:p w14:paraId="220896DB" w14:textId="192DAF1D" w:rsidR="009627E0"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 xml:space="preserve">Testing the model for the Canadian (English) version of the QSAS (Figure 2) also revealed suitable fit indices: </w:t>
      </w:r>
      <w:r w:rsidRPr="00787053">
        <w:rPr>
          <w:rFonts w:eastAsia="Times New Roman" w:cs="Times New Roman"/>
          <w:szCs w:val="24"/>
        </w:rPr>
        <w:t>χ</w:t>
      </w:r>
      <w:r w:rsidRPr="00787053">
        <w:rPr>
          <w:rFonts w:eastAsia="Times New Roman" w:cs="Times New Roman"/>
          <w:szCs w:val="24"/>
          <w:lang w:val="en-GB"/>
        </w:rPr>
        <w:t xml:space="preserve">2 (151. N = 304) = 386.70, p &lt; .001; </w:t>
      </w:r>
      <w:r w:rsidRPr="00787053">
        <w:rPr>
          <w:rFonts w:eastAsia="Times New Roman" w:cs="Times New Roman"/>
          <w:szCs w:val="24"/>
        </w:rPr>
        <w:t>χ</w:t>
      </w:r>
      <w:r w:rsidRPr="00787053">
        <w:rPr>
          <w:rFonts w:eastAsia="Times New Roman" w:cs="Times New Roman"/>
          <w:szCs w:val="24"/>
          <w:lang w:val="en-GB"/>
        </w:rPr>
        <w:t>2/</w:t>
      </w:r>
      <w:r>
        <w:rPr>
          <w:rFonts w:eastAsia="Times New Roman" w:cs="Times New Roman"/>
          <w:szCs w:val="24"/>
          <w:lang w:val="en-GB"/>
        </w:rPr>
        <w:t>df</w:t>
      </w:r>
      <w:r w:rsidRPr="00787053">
        <w:rPr>
          <w:rFonts w:eastAsia="Times New Roman" w:cs="Times New Roman"/>
          <w:szCs w:val="24"/>
          <w:lang w:val="en-GB"/>
        </w:rPr>
        <w:t>= 2.56; CFI = .97; IFI = .97; RMSEA = .052 (IC 90% = .043-.061); SRMR = .036. The standardized regression weights ranged between .76 and .84, making them statistically significant (</w:t>
      </w:r>
      <w:r w:rsidRPr="00787053">
        <w:rPr>
          <w:rFonts w:eastAsia="Times New Roman" w:cs="Times New Roman"/>
          <w:i/>
          <w:iCs/>
          <w:szCs w:val="24"/>
          <w:lang w:val="en-GB"/>
        </w:rPr>
        <w:t>p</w:t>
      </w:r>
      <w:r w:rsidRPr="00787053">
        <w:rPr>
          <w:rFonts w:eastAsia="Times New Roman" w:cs="Times New Roman"/>
          <w:szCs w:val="24"/>
          <w:lang w:val="en-GB"/>
        </w:rPr>
        <w:t xml:space="preserve"> &lt; .001). The correlation between the factors was also statistically significant, with a figure of .48 (</w:t>
      </w:r>
      <w:r w:rsidRPr="00787053">
        <w:rPr>
          <w:rFonts w:eastAsia="Times New Roman" w:cs="Times New Roman"/>
          <w:i/>
          <w:iCs/>
          <w:szCs w:val="24"/>
          <w:lang w:val="en-GB"/>
        </w:rPr>
        <w:t>p</w:t>
      </w:r>
      <w:r w:rsidRPr="00787053">
        <w:rPr>
          <w:rFonts w:eastAsia="Times New Roman" w:cs="Times New Roman"/>
          <w:szCs w:val="24"/>
          <w:lang w:val="en-GB"/>
        </w:rPr>
        <w:t xml:space="preserve"> &lt; .001).</w:t>
      </w:r>
    </w:p>
    <w:p w14:paraId="3E9016AA" w14:textId="77777777" w:rsidR="009627E0" w:rsidRPr="00787053" w:rsidRDefault="009627E0" w:rsidP="009627E0">
      <w:pPr>
        <w:spacing w:before="0" w:after="0"/>
        <w:ind w:firstLine="720"/>
        <w:jc w:val="both"/>
        <w:rPr>
          <w:rFonts w:eastAsia="Times New Roman" w:cs="Times New Roman"/>
          <w:szCs w:val="24"/>
          <w:lang w:val="en-GB"/>
        </w:rPr>
      </w:pPr>
    </w:p>
    <w:p w14:paraId="545F8822" w14:textId="77777777" w:rsidR="003E7BFD" w:rsidRDefault="003E7BFD" w:rsidP="003E7BFD">
      <w:pPr>
        <w:spacing w:after="0" w:line="360" w:lineRule="auto"/>
        <w:jc w:val="center"/>
        <w:rPr>
          <w:rFonts w:cs="Times New Roman"/>
          <w:i/>
          <w:szCs w:val="24"/>
          <w:lang w:val="en-GB"/>
        </w:rPr>
      </w:pPr>
      <w:r w:rsidRPr="00232908">
        <w:rPr>
          <w:rFonts w:cs="Times New Roman"/>
          <w:noProof/>
          <w:szCs w:val="23"/>
        </w:rPr>
        <w:lastRenderedPageBreak/>
        <w:drawing>
          <wp:inline distT="0" distB="0" distL="0" distR="0" wp14:anchorId="007EABCE" wp14:editId="1691A7CC">
            <wp:extent cx="3876968" cy="4468368"/>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294" cy="4608201"/>
                    </a:xfrm>
                    <a:prstGeom prst="rect">
                      <a:avLst/>
                    </a:prstGeom>
                    <a:noFill/>
                    <a:ln>
                      <a:noFill/>
                    </a:ln>
                  </pic:spPr>
                </pic:pic>
              </a:graphicData>
            </a:graphic>
          </wp:inline>
        </w:drawing>
      </w:r>
    </w:p>
    <w:p w14:paraId="1B7DF706" w14:textId="3D252093" w:rsidR="003E7BFD" w:rsidRPr="00787053" w:rsidRDefault="003E7BFD" w:rsidP="003E7BFD">
      <w:pPr>
        <w:spacing w:after="0" w:line="360" w:lineRule="auto"/>
        <w:jc w:val="center"/>
        <w:rPr>
          <w:rFonts w:cs="Times New Roman"/>
          <w:szCs w:val="24"/>
          <w:lang w:val="en-GB"/>
        </w:rPr>
      </w:pPr>
      <w:r w:rsidRPr="003E7BFD">
        <w:rPr>
          <w:rFonts w:cs="Times New Roman"/>
          <w:i/>
          <w:szCs w:val="24"/>
          <w:lang w:val="en-GB"/>
        </w:rPr>
        <w:t xml:space="preserve"> </w:t>
      </w:r>
      <w:r w:rsidRPr="00787053">
        <w:rPr>
          <w:rFonts w:cs="Times New Roman"/>
          <w:i/>
          <w:szCs w:val="24"/>
          <w:lang w:val="en-GB"/>
        </w:rPr>
        <w:t>Figure 2.</w:t>
      </w:r>
      <w:r w:rsidRPr="00787053">
        <w:rPr>
          <w:rFonts w:cs="Times New Roman"/>
          <w:szCs w:val="24"/>
          <w:lang w:val="en-GB"/>
        </w:rPr>
        <w:t xml:space="preserve"> Confirmatory factorial analysis Canadian QSAS</w:t>
      </w:r>
    </w:p>
    <w:p w14:paraId="18E85A16" w14:textId="4A7A50AF" w:rsidR="003E7BFD" w:rsidRDefault="003E7BFD" w:rsidP="009627E0">
      <w:pPr>
        <w:spacing w:before="0" w:after="0"/>
        <w:rPr>
          <w:rFonts w:eastAsia="Times New Roman" w:cs="Times New Roman"/>
          <w:szCs w:val="24"/>
          <w:lang w:val="en-GB"/>
        </w:rPr>
      </w:pPr>
    </w:p>
    <w:p w14:paraId="0EBD395D" w14:textId="77777777" w:rsidR="003E7BFD" w:rsidRDefault="003E7BFD" w:rsidP="009627E0">
      <w:pPr>
        <w:spacing w:before="0" w:after="0"/>
        <w:rPr>
          <w:rFonts w:eastAsia="Times New Roman" w:cs="Times New Roman"/>
          <w:szCs w:val="24"/>
          <w:lang w:val="en-GB"/>
        </w:rPr>
      </w:pPr>
    </w:p>
    <w:p w14:paraId="2B5BD2B9" w14:textId="24D4B1FF" w:rsidR="009627E0" w:rsidRDefault="009627E0" w:rsidP="009627E0">
      <w:pPr>
        <w:spacing w:before="0" w:after="0"/>
        <w:rPr>
          <w:rFonts w:eastAsia="Times New Roman" w:cs="Times New Roman"/>
          <w:b/>
          <w:bCs/>
          <w:szCs w:val="24"/>
          <w:lang w:val="en-GB"/>
        </w:rPr>
      </w:pPr>
      <w:r w:rsidRPr="006D4BE5">
        <w:rPr>
          <w:rFonts w:eastAsia="Times New Roman" w:cs="Times New Roman"/>
          <w:b/>
          <w:bCs/>
          <w:szCs w:val="24"/>
          <w:lang w:val="en-GB"/>
        </w:rPr>
        <w:t>DISCUSSION</w:t>
      </w:r>
    </w:p>
    <w:p w14:paraId="7CAFD9D2" w14:textId="77777777" w:rsidR="009627E0" w:rsidRPr="00787053" w:rsidRDefault="009627E0" w:rsidP="009627E0">
      <w:pPr>
        <w:spacing w:before="0" w:after="0"/>
        <w:rPr>
          <w:rFonts w:eastAsia="Times New Roman" w:cs="Times New Roman"/>
          <w:b/>
          <w:bCs/>
          <w:szCs w:val="24"/>
          <w:lang w:val="en-GB"/>
        </w:rPr>
      </w:pPr>
    </w:p>
    <w:p w14:paraId="01444C99" w14:textId="4030EFE1" w:rsidR="009627E0" w:rsidRDefault="009627E0" w:rsidP="009627E0">
      <w:pPr>
        <w:spacing w:before="0" w:after="0"/>
        <w:ind w:firstLine="720"/>
        <w:jc w:val="both"/>
        <w:rPr>
          <w:rFonts w:eastAsia="Times New Roman" w:cs="Times New Roman"/>
          <w:szCs w:val="24"/>
          <w:lang w:val="en-GB"/>
        </w:rPr>
      </w:pPr>
      <w:r w:rsidRPr="00787053">
        <w:rPr>
          <w:rFonts w:eastAsia="Times New Roman" w:cs="Times New Roman"/>
          <w:szCs w:val="24"/>
          <w:lang w:val="en-GB"/>
        </w:rPr>
        <w:t xml:space="preserve">By means of CFA, the results of the preliminary study revealed that the factorial structure of the QSAS support the two-factor model (social distance and stereotypes). These results coincide with those obtained using the original scale, </w:t>
      </w:r>
      <w:r>
        <w:rPr>
          <w:rFonts w:eastAsia="Times New Roman" w:cs="Times New Roman"/>
          <w:szCs w:val="24"/>
          <w:lang w:val="en-GB"/>
        </w:rPr>
        <w:t>that</w:t>
      </w:r>
      <w:r w:rsidRPr="00787053">
        <w:rPr>
          <w:rFonts w:eastAsia="Times New Roman" w:cs="Times New Roman"/>
          <w:szCs w:val="24"/>
          <w:lang w:val="en-GB"/>
        </w:rPr>
        <w:t xml:space="preserve"> also featured the same structure. Furthermore, the reliability analyses revealed that Cronbach index scores were over .80 for the two factors in both contexts, and higher than .70, which is the set limit to be deemed suitable (</w:t>
      </w:r>
      <w:r w:rsidR="006B192D">
        <w:rPr>
          <w:rFonts w:eastAsia="Times New Roman" w:cs="Times New Roman"/>
          <w:szCs w:val="24"/>
          <w:lang w:val="en-GB"/>
        </w:rPr>
        <w:t>5</w:t>
      </w:r>
      <w:r w:rsidR="006F57A4">
        <w:rPr>
          <w:rFonts w:eastAsia="Times New Roman" w:cs="Times New Roman"/>
          <w:szCs w:val="24"/>
          <w:lang w:val="en-GB"/>
        </w:rPr>
        <w:t>6</w:t>
      </w:r>
      <w:r w:rsidRPr="00787053">
        <w:rPr>
          <w:rFonts w:eastAsia="Times New Roman" w:cs="Times New Roman"/>
          <w:szCs w:val="24"/>
          <w:lang w:val="en-GB"/>
        </w:rPr>
        <w:t>). These results were not only similar to those obtained using the original scale and the Spanish version (</w:t>
      </w:r>
      <w:r>
        <w:rPr>
          <w:rFonts w:eastAsia="Times New Roman" w:cs="Times New Roman"/>
          <w:szCs w:val="24"/>
          <w:lang w:val="en-GB"/>
        </w:rPr>
        <w:t>5, 29</w:t>
      </w:r>
      <w:r w:rsidRPr="00787053">
        <w:rPr>
          <w:rFonts w:eastAsia="Times New Roman" w:cs="Times New Roman"/>
          <w:szCs w:val="24"/>
          <w:lang w:val="en-GB"/>
        </w:rPr>
        <w:t>), but also to those obtained in various studies that have utilized the same instrument (</w:t>
      </w:r>
      <w:r w:rsidR="006B192D">
        <w:rPr>
          <w:rFonts w:eastAsia="Times New Roman" w:cs="Times New Roman"/>
          <w:szCs w:val="24"/>
          <w:lang w:val="en-GB"/>
        </w:rPr>
        <w:t>5</w:t>
      </w:r>
      <w:r w:rsidR="00907FBF">
        <w:rPr>
          <w:rFonts w:eastAsia="Times New Roman" w:cs="Times New Roman"/>
          <w:szCs w:val="24"/>
          <w:lang w:val="en-GB"/>
        </w:rPr>
        <w:t>8-60</w:t>
      </w:r>
      <w:r w:rsidRPr="00787053">
        <w:rPr>
          <w:rFonts w:eastAsia="Times New Roman" w:cs="Times New Roman"/>
          <w:szCs w:val="24"/>
          <w:lang w:val="en-GB"/>
        </w:rPr>
        <w:t xml:space="preserve">). Thus, the results support the robustness of this measure’s structure and reveal that the adapted versions manage to reliably replicate the original theoretical structure. </w:t>
      </w:r>
    </w:p>
    <w:p w14:paraId="1C947FFA" w14:textId="77777777" w:rsidR="002D2DD0" w:rsidRPr="009E18F8" w:rsidRDefault="002D2DD0" w:rsidP="002D2DD0">
      <w:pPr>
        <w:ind w:left="709" w:hanging="709"/>
        <w:rPr>
          <w:rFonts w:eastAsia="Times New Roman" w:cs="Times New Roman"/>
          <w:szCs w:val="24"/>
        </w:rPr>
      </w:pPr>
      <w:r w:rsidRPr="009E18F8">
        <w:rPr>
          <w:rFonts w:eastAsia="Times New Roman" w:cs="Times New Roman"/>
          <w:b/>
          <w:szCs w:val="24"/>
        </w:rPr>
        <w:t>REFERENCES</w:t>
      </w:r>
    </w:p>
    <w:p w14:paraId="07FE4DC0" w14:textId="77777777" w:rsidR="002D2DD0" w:rsidRPr="009E18F8" w:rsidRDefault="002D2DD0" w:rsidP="002D2DD0">
      <w:pPr>
        <w:spacing w:before="0" w:after="0"/>
        <w:ind w:left="284" w:hanging="284"/>
        <w:jc w:val="both"/>
        <w:rPr>
          <w:rFonts w:eastAsia="Times New Roman" w:cs="Times New Roman"/>
          <w:szCs w:val="24"/>
        </w:rPr>
      </w:pPr>
      <w:r w:rsidRPr="009E18F8">
        <w:rPr>
          <w:rFonts w:eastAsia="Times New Roman" w:cs="Times New Roman"/>
          <w:szCs w:val="24"/>
        </w:rPr>
        <w:t xml:space="preserve">5. Schulze B, </w:t>
      </w:r>
      <w:proofErr w:type="spellStart"/>
      <w:r w:rsidRPr="009E18F8">
        <w:rPr>
          <w:rFonts w:eastAsia="Times New Roman" w:cs="Times New Roman"/>
          <w:szCs w:val="24"/>
        </w:rPr>
        <w:t>Angermeyer</w:t>
      </w:r>
      <w:proofErr w:type="spellEnd"/>
      <w:r w:rsidRPr="009E18F8">
        <w:rPr>
          <w:rFonts w:eastAsia="Times New Roman" w:cs="Times New Roman"/>
          <w:szCs w:val="24"/>
        </w:rPr>
        <w:t xml:space="preserve"> MC. Subjective experiences of stigma. </w:t>
      </w:r>
      <w:proofErr w:type="gramStart"/>
      <w:r w:rsidRPr="009E18F8">
        <w:rPr>
          <w:rFonts w:eastAsia="Times New Roman" w:cs="Times New Roman"/>
          <w:szCs w:val="24"/>
        </w:rPr>
        <w:t>A focus group study of schizophrenic patients, their relatives and mental health professionals.</w:t>
      </w:r>
      <w:proofErr w:type="gramEnd"/>
      <w:r w:rsidRPr="009E18F8">
        <w:rPr>
          <w:rFonts w:eastAsia="Times New Roman" w:cs="Times New Roman"/>
          <w:szCs w:val="24"/>
        </w:rPr>
        <w:t xml:space="preserve"> </w:t>
      </w:r>
      <w:proofErr w:type="spellStart"/>
      <w:r w:rsidRPr="009E18F8">
        <w:rPr>
          <w:rFonts w:eastAsia="Times New Roman" w:cs="Times New Roman"/>
          <w:i/>
          <w:iCs/>
          <w:szCs w:val="24"/>
        </w:rPr>
        <w:t>Soc</w:t>
      </w:r>
      <w:proofErr w:type="spellEnd"/>
      <w:r w:rsidRPr="009E18F8">
        <w:rPr>
          <w:rFonts w:eastAsia="Times New Roman" w:cs="Times New Roman"/>
          <w:i/>
          <w:iCs/>
          <w:szCs w:val="24"/>
        </w:rPr>
        <w:t xml:space="preserve"> </w:t>
      </w:r>
      <w:proofErr w:type="spellStart"/>
      <w:r w:rsidRPr="009E18F8">
        <w:rPr>
          <w:rFonts w:eastAsia="Times New Roman" w:cs="Times New Roman"/>
          <w:i/>
          <w:iCs/>
          <w:szCs w:val="24"/>
        </w:rPr>
        <w:t>Sci</w:t>
      </w:r>
      <w:proofErr w:type="spellEnd"/>
      <w:r w:rsidRPr="009E18F8">
        <w:rPr>
          <w:rFonts w:eastAsia="Times New Roman" w:cs="Times New Roman"/>
          <w:i/>
          <w:iCs/>
          <w:szCs w:val="24"/>
        </w:rPr>
        <w:t xml:space="preserve"> Med</w:t>
      </w:r>
      <w:r w:rsidRPr="009E18F8">
        <w:rPr>
          <w:rFonts w:eastAsia="Times New Roman" w:cs="Times New Roman"/>
          <w:szCs w:val="24"/>
        </w:rPr>
        <w:t xml:space="preserve"> (2003) 56(2):299-312. </w:t>
      </w:r>
      <w:proofErr w:type="spellStart"/>
      <w:proofErr w:type="gramStart"/>
      <w:r w:rsidRPr="009E18F8">
        <w:rPr>
          <w:rFonts w:cs="Times New Roman"/>
          <w:szCs w:val="24"/>
          <w:shd w:val="clear" w:color="auto" w:fill="FFFFFF"/>
        </w:rPr>
        <w:t>doi</w:t>
      </w:r>
      <w:proofErr w:type="spellEnd"/>
      <w:proofErr w:type="gramEnd"/>
      <w:r w:rsidRPr="009E18F8">
        <w:rPr>
          <w:rFonts w:cs="Times New Roman"/>
          <w:szCs w:val="24"/>
          <w:shd w:val="clear" w:color="auto" w:fill="FFFFFF"/>
        </w:rPr>
        <w:t>: 10.1016/s0277-9536(02)00028-x.</w:t>
      </w:r>
    </w:p>
    <w:p w14:paraId="41F96D81" w14:textId="77777777" w:rsidR="002D2DD0" w:rsidRPr="009E18F8" w:rsidRDefault="002D2DD0" w:rsidP="002D2DD0">
      <w:pPr>
        <w:spacing w:before="0" w:after="0"/>
        <w:ind w:left="284" w:hanging="284"/>
        <w:jc w:val="both"/>
        <w:rPr>
          <w:rFonts w:eastAsia="Times New Roman" w:cs="Times New Roman"/>
          <w:szCs w:val="24"/>
        </w:rPr>
      </w:pPr>
      <w:r w:rsidRPr="009E18F8">
        <w:rPr>
          <w:rFonts w:eastAsia="Times New Roman" w:cs="Times New Roman"/>
          <w:szCs w:val="24"/>
        </w:rPr>
        <w:t>28. Schulze B, Richter-</w:t>
      </w:r>
      <w:proofErr w:type="spellStart"/>
      <w:r w:rsidRPr="009E18F8">
        <w:rPr>
          <w:rFonts w:eastAsia="Times New Roman" w:cs="Times New Roman"/>
          <w:szCs w:val="24"/>
        </w:rPr>
        <w:t>Werling</w:t>
      </w:r>
      <w:proofErr w:type="spellEnd"/>
      <w:r w:rsidRPr="009E18F8">
        <w:rPr>
          <w:rFonts w:eastAsia="Times New Roman" w:cs="Times New Roman"/>
          <w:szCs w:val="24"/>
        </w:rPr>
        <w:t xml:space="preserve"> M, </w:t>
      </w:r>
      <w:proofErr w:type="spellStart"/>
      <w:r w:rsidRPr="009E18F8">
        <w:rPr>
          <w:rFonts w:eastAsia="Times New Roman" w:cs="Times New Roman"/>
          <w:szCs w:val="24"/>
        </w:rPr>
        <w:t>Matschinger</w:t>
      </w:r>
      <w:proofErr w:type="spellEnd"/>
      <w:r w:rsidRPr="009E18F8">
        <w:rPr>
          <w:rFonts w:eastAsia="Times New Roman" w:cs="Times New Roman"/>
          <w:szCs w:val="24"/>
        </w:rPr>
        <w:t xml:space="preserve"> H, </w:t>
      </w:r>
      <w:proofErr w:type="spellStart"/>
      <w:r w:rsidRPr="009E18F8">
        <w:rPr>
          <w:rFonts w:eastAsia="Times New Roman" w:cs="Times New Roman"/>
          <w:szCs w:val="24"/>
        </w:rPr>
        <w:t>Angermeyer</w:t>
      </w:r>
      <w:proofErr w:type="spellEnd"/>
      <w:r w:rsidRPr="009E18F8">
        <w:rPr>
          <w:rFonts w:eastAsia="Times New Roman" w:cs="Times New Roman"/>
          <w:szCs w:val="24"/>
        </w:rPr>
        <w:t xml:space="preserve"> MC. Crazy? So what! Effects of a sc</w:t>
      </w:r>
      <w:bookmarkStart w:id="4" w:name="_GoBack"/>
      <w:bookmarkEnd w:id="4"/>
      <w:r w:rsidRPr="009E18F8">
        <w:rPr>
          <w:rFonts w:eastAsia="Times New Roman" w:cs="Times New Roman"/>
          <w:szCs w:val="24"/>
        </w:rPr>
        <w:t xml:space="preserve">hool project on students´ attitudes toward people with schizophrenia. </w:t>
      </w:r>
      <w:proofErr w:type="spellStart"/>
      <w:proofErr w:type="gramStart"/>
      <w:r w:rsidRPr="009E18F8">
        <w:rPr>
          <w:rFonts w:eastAsia="Times New Roman" w:cs="Times New Roman"/>
          <w:i/>
          <w:szCs w:val="24"/>
        </w:rPr>
        <w:t>Acta</w:t>
      </w:r>
      <w:proofErr w:type="spellEnd"/>
      <w:r w:rsidRPr="009E18F8">
        <w:rPr>
          <w:rFonts w:eastAsia="Times New Roman" w:cs="Times New Roman"/>
          <w:i/>
          <w:szCs w:val="24"/>
        </w:rPr>
        <w:t xml:space="preserve"> </w:t>
      </w:r>
      <w:proofErr w:type="spellStart"/>
      <w:r w:rsidRPr="009E18F8">
        <w:rPr>
          <w:rFonts w:eastAsia="Times New Roman" w:cs="Times New Roman"/>
          <w:i/>
          <w:szCs w:val="24"/>
        </w:rPr>
        <w:t>Psychiat</w:t>
      </w:r>
      <w:proofErr w:type="spellEnd"/>
      <w:r w:rsidRPr="009E18F8">
        <w:rPr>
          <w:rFonts w:eastAsia="Times New Roman" w:cs="Times New Roman"/>
          <w:i/>
          <w:szCs w:val="24"/>
        </w:rPr>
        <w:t xml:space="preserve"> </w:t>
      </w:r>
      <w:proofErr w:type="spellStart"/>
      <w:r w:rsidRPr="009E18F8">
        <w:rPr>
          <w:rFonts w:eastAsia="Times New Roman" w:cs="Times New Roman"/>
          <w:i/>
          <w:szCs w:val="24"/>
        </w:rPr>
        <w:t>Scand</w:t>
      </w:r>
      <w:proofErr w:type="spellEnd"/>
      <w:r w:rsidRPr="009E18F8">
        <w:rPr>
          <w:rFonts w:eastAsia="Times New Roman" w:cs="Times New Roman"/>
          <w:i/>
          <w:szCs w:val="24"/>
        </w:rPr>
        <w:t xml:space="preserve"> </w:t>
      </w:r>
      <w:r w:rsidRPr="009E18F8">
        <w:rPr>
          <w:rFonts w:eastAsia="Times New Roman" w:cs="Times New Roman"/>
          <w:iCs/>
          <w:szCs w:val="24"/>
        </w:rPr>
        <w:t>(2003) 107:142</w:t>
      </w:r>
      <w:r w:rsidRPr="009E18F8">
        <w:rPr>
          <w:rFonts w:eastAsia="Times New Roman" w:cs="Times New Roman"/>
          <w:szCs w:val="24"/>
        </w:rPr>
        <w:t>-150.</w:t>
      </w:r>
      <w:proofErr w:type="gramEnd"/>
      <w:r w:rsidRPr="009E18F8">
        <w:rPr>
          <w:rFonts w:eastAsia="Times New Roman" w:cs="Times New Roman"/>
          <w:szCs w:val="24"/>
        </w:rPr>
        <w:t xml:space="preserve"> </w:t>
      </w:r>
    </w:p>
    <w:p w14:paraId="18EAD4E4" w14:textId="77777777" w:rsidR="002D2DD0" w:rsidRPr="009E18F8" w:rsidRDefault="002D2DD0" w:rsidP="002D2DD0">
      <w:pPr>
        <w:spacing w:before="0" w:after="0"/>
        <w:ind w:left="284" w:hanging="284"/>
        <w:jc w:val="both"/>
        <w:rPr>
          <w:rFonts w:cs="Times New Roman"/>
          <w:szCs w:val="24"/>
        </w:rPr>
      </w:pPr>
      <w:r w:rsidRPr="009E18F8">
        <w:rPr>
          <w:rFonts w:eastAsia="Times New Roman" w:cs="Times New Roman"/>
          <w:szCs w:val="24"/>
          <w:lang w:val="es-ES"/>
        </w:rPr>
        <w:lastRenderedPageBreak/>
        <w:t xml:space="preserve">29. Navarro N, Cangas A, Aguilar-Parra JM, Gallego J, Moreno-San Pedro E, Carrasco-Rodríguez Y, Fuentes-Méndez C. Propiedades psicométricas de la versión en castellano del cuestionario de las actitudes de los estudiantes hacia la esquizofrenia. </w:t>
      </w:r>
      <w:proofErr w:type="spellStart"/>
      <w:proofErr w:type="gramStart"/>
      <w:r w:rsidRPr="009E18F8">
        <w:rPr>
          <w:rFonts w:eastAsia="Times New Roman" w:cs="Times New Roman"/>
          <w:i/>
          <w:szCs w:val="24"/>
        </w:rPr>
        <w:t>Psychol</w:t>
      </w:r>
      <w:proofErr w:type="spellEnd"/>
      <w:r w:rsidRPr="009E18F8">
        <w:rPr>
          <w:rFonts w:eastAsia="Times New Roman" w:cs="Times New Roman"/>
          <w:i/>
          <w:szCs w:val="24"/>
        </w:rPr>
        <w:t xml:space="preserve"> </w:t>
      </w:r>
      <w:proofErr w:type="spellStart"/>
      <w:r w:rsidRPr="009E18F8">
        <w:rPr>
          <w:rFonts w:eastAsia="Times New Roman" w:cs="Times New Roman"/>
          <w:i/>
          <w:szCs w:val="24"/>
        </w:rPr>
        <w:t>Soc</w:t>
      </w:r>
      <w:proofErr w:type="spellEnd"/>
      <w:r w:rsidRPr="009E18F8">
        <w:rPr>
          <w:rFonts w:eastAsia="Times New Roman" w:cs="Times New Roman"/>
          <w:i/>
          <w:szCs w:val="24"/>
        </w:rPr>
        <w:t xml:space="preserve"> </w:t>
      </w:r>
      <w:proofErr w:type="spellStart"/>
      <w:r w:rsidRPr="009E18F8">
        <w:rPr>
          <w:rFonts w:eastAsia="Times New Roman" w:cs="Times New Roman"/>
          <w:i/>
          <w:szCs w:val="24"/>
        </w:rPr>
        <w:t>Educ</w:t>
      </w:r>
      <w:proofErr w:type="spellEnd"/>
      <w:r w:rsidRPr="009E18F8">
        <w:rPr>
          <w:rFonts w:eastAsia="Times New Roman" w:cs="Times New Roman"/>
          <w:i/>
          <w:szCs w:val="24"/>
        </w:rPr>
        <w:t xml:space="preserve"> </w:t>
      </w:r>
      <w:r w:rsidRPr="009E18F8">
        <w:rPr>
          <w:rFonts w:eastAsia="Times New Roman" w:cs="Times New Roman"/>
          <w:iCs/>
          <w:szCs w:val="24"/>
        </w:rPr>
        <w:t>(2017) 9:</w:t>
      </w:r>
      <w:r w:rsidRPr="009E18F8">
        <w:rPr>
          <w:rFonts w:eastAsia="Times New Roman" w:cs="Times New Roman"/>
          <w:szCs w:val="24"/>
        </w:rPr>
        <w:t>325-334.</w:t>
      </w:r>
      <w:proofErr w:type="gramEnd"/>
      <w:r w:rsidRPr="009E18F8">
        <w:rPr>
          <w:rFonts w:eastAsia="Times New Roman" w:cs="Times New Roman"/>
          <w:szCs w:val="24"/>
        </w:rPr>
        <w:t xml:space="preserve"> </w:t>
      </w:r>
      <w:proofErr w:type="spellStart"/>
      <w:proofErr w:type="gramStart"/>
      <w:r w:rsidRPr="009E18F8">
        <w:rPr>
          <w:rFonts w:cs="Times New Roman"/>
          <w:szCs w:val="24"/>
        </w:rPr>
        <w:t>doi</w:t>
      </w:r>
      <w:proofErr w:type="spellEnd"/>
      <w:proofErr w:type="gramEnd"/>
      <w:r w:rsidRPr="009E18F8">
        <w:rPr>
          <w:rFonts w:cs="Times New Roman"/>
          <w:szCs w:val="24"/>
        </w:rPr>
        <w:t xml:space="preserve"> 10.25115/psye.v9i2.865.</w:t>
      </w:r>
    </w:p>
    <w:p w14:paraId="03F5FF4E" w14:textId="77777777" w:rsidR="002D2DD0" w:rsidRPr="009E18F8" w:rsidRDefault="002D2DD0" w:rsidP="002D2DD0">
      <w:pPr>
        <w:spacing w:before="0" w:after="0"/>
        <w:ind w:left="284" w:hanging="284"/>
        <w:jc w:val="both"/>
        <w:rPr>
          <w:rFonts w:eastAsia="Times New Roman" w:cs="Times New Roman"/>
          <w:szCs w:val="24"/>
        </w:rPr>
      </w:pPr>
      <w:r w:rsidRPr="009E18F8">
        <w:rPr>
          <w:rFonts w:cs="Times New Roman"/>
          <w:szCs w:val="24"/>
          <w:shd w:val="clear" w:color="auto" w:fill="FFFFFF"/>
        </w:rPr>
        <w:t xml:space="preserve">54. </w:t>
      </w:r>
      <w:proofErr w:type="spellStart"/>
      <w:r w:rsidRPr="009E18F8">
        <w:rPr>
          <w:rFonts w:cs="Times New Roman"/>
          <w:szCs w:val="24"/>
          <w:shd w:val="clear" w:color="auto" w:fill="FFFFFF"/>
        </w:rPr>
        <w:t>Muñiz</w:t>
      </w:r>
      <w:proofErr w:type="spellEnd"/>
      <w:r w:rsidRPr="009E18F8">
        <w:rPr>
          <w:rFonts w:cs="Times New Roman"/>
          <w:szCs w:val="24"/>
          <w:shd w:val="clear" w:color="auto" w:fill="FFFFFF"/>
        </w:rPr>
        <w:t xml:space="preserve"> J, </w:t>
      </w:r>
      <w:proofErr w:type="spellStart"/>
      <w:r w:rsidRPr="009E18F8">
        <w:rPr>
          <w:rFonts w:cs="Times New Roman"/>
          <w:szCs w:val="24"/>
          <w:shd w:val="clear" w:color="auto" w:fill="FFFFFF"/>
        </w:rPr>
        <w:t>Elosua</w:t>
      </w:r>
      <w:proofErr w:type="spellEnd"/>
      <w:r w:rsidRPr="009E18F8">
        <w:rPr>
          <w:rFonts w:cs="Times New Roman"/>
          <w:szCs w:val="24"/>
          <w:shd w:val="clear" w:color="auto" w:fill="FFFFFF"/>
        </w:rPr>
        <w:t xml:space="preserve"> P, Hambleton RK. </w:t>
      </w:r>
      <w:r w:rsidRPr="009E18F8">
        <w:rPr>
          <w:rFonts w:cs="Times New Roman"/>
          <w:szCs w:val="24"/>
          <w:shd w:val="clear" w:color="auto" w:fill="FFFFFF"/>
          <w:lang w:val="es-ES"/>
        </w:rPr>
        <w:t xml:space="preserve">Directrices para la traducción y adaptación de los </w:t>
      </w:r>
      <w:proofErr w:type="spellStart"/>
      <w:r w:rsidRPr="009E18F8">
        <w:rPr>
          <w:rFonts w:cs="Times New Roman"/>
          <w:szCs w:val="24"/>
          <w:shd w:val="clear" w:color="auto" w:fill="FFFFFF"/>
          <w:lang w:val="es-ES"/>
        </w:rPr>
        <w:t>tests</w:t>
      </w:r>
      <w:proofErr w:type="spellEnd"/>
      <w:r w:rsidRPr="009E18F8">
        <w:rPr>
          <w:rFonts w:cs="Times New Roman"/>
          <w:szCs w:val="24"/>
          <w:shd w:val="clear" w:color="auto" w:fill="FFFFFF"/>
          <w:lang w:val="es-ES"/>
        </w:rPr>
        <w:t>: segunda edición. </w:t>
      </w:r>
      <w:proofErr w:type="spellStart"/>
      <w:proofErr w:type="gramStart"/>
      <w:r w:rsidRPr="009E18F8">
        <w:rPr>
          <w:rFonts w:cs="Times New Roman"/>
          <w:i/>
          <w:iCs/>
          <w:szCs w:val="24"/>
          <w:shd w:val="clear" w:color="auto" w:fill="FFFFFF"/>
        </w:rPr>
        <w:t>Psicothema</w:t>
      </w:r>
      <w:proofErr w:type="spellEnd"/>
      <w:r w:rsidRPr="009E18F8">
        <w:rPr>
          <w:rFonts w:cs="Times New Roman"/>
          <w:szCs w:val="24"/>
          <w:shd w:val="clear" w:color="auto" w:fill="FFFFFF"/>
        </w:rPr>
        <w:t xml:space="preserve"> (2013) </w:t>
      </w:r>
      <w:r w:rsidRPr="009E18F8">
        <w:rPr>
          <w:rFonts w:cs="Times New Roman"/>
          <w:i/>
          <w:iCs/>
          <w:szCs w:val="24"/>
          <w:shd w:val="clear" w:color="auto" w:fill="FFFFFF"/>
        </w:rPr>
        <w:t>25</w:t>
      </w:r>
      <w:r w:rsidRPr="009E18F8">
        <w:rPr>
          <w:rFonts w:cs="Times New Roman"/>
          <w:szCs w:val="24"/>
          <w:shd w:val="clear" w:color="auto" w:fill="FFFFFF"/>
        </w:rPr>
        <w:t>:151-157.</w:t>
      </w:r>
      <w:proofErr w:type="gramEnd"/>
      <w:r w:rsidRPr="009E18F8">
        <w:rPr>
          <w:rFonts w:cs="Times New Roman"/>
          <w:szCs w:val="24"/>
          <w:shd w:val="clear" w:color="auto" w:fill="FFFFFF"/>
        </w:rPr>
        <w:t xml:space="preserve"> </w:t>
      </w:r>
      <w:proofErr w:type="spellStart"/>
      <w:proofErr w:type="gramStart"/>
      <w:r w:rsidRPr="009E18F8">
        <w:rPr>
          <w:rFonts w:cs="Times New Roman"/>
          <w:szCs w:val="24"/>
        </w:rPr>
        <w:t>doi</w:t>
      </w:r>
      <w:proofErr w:type="spellEnd"/>
      <w:proofErr w:type="gramEnd"/>
      <w:r w:rsidRPr="009E18F8">
        <w:rPr>
          <w:rFonts w:cs="Times New Roman"/>
          <w:szCs w:val="24"/>
        </w:rPr>
        <w:t>: 10.7334/psicothema2013.24.</w:t>
      </w:r>
    </w:p>
    <w:p w14:paraId="0F5009F6" w14:textId="77777777" w:rsidR="002D2DD0" w:rsidRPr="009E18F8" w:rsidRDefault="002D2DD0" w:rsidP="002D2DD0">
      <w:pPr>
        <w:spacing w:before="0" w:after="0"/>
        <w:ind w:left="284" w:hanging="284"/>
        <w:jc w:val="both"/>
        <w:rPr>
          <w:rFonts w:cs="Times New Roman"/>
          <w:szCs w:val="24"/>
        </w:rPr>
      </w:pPr>
      <w:r w:rsidRPr="009E18F8">
        <w:rPr>
          <w:rFonts w:cs="Times New Roman"/>
          <w:szCs w:val="24"/>
          <w:shd w:val="clear" w:color="auto" w:fill="FFFFFF"/>
        </w:rPr>
        <w:t xml:space="preserve">55. Byrne BM. </w:t>
      </w:r>
      <w:r w:rsidRPr="009E18F8">
        <w:rPr>
          <w:rFonts w:cs="Times New Roman"/>
          <w:i/>
          <w:iCs/>
          <w:szCs w:val="24"/>
          <w:shd w:val="clear" w:color="auto" w:fill="FFFFFF"/>
        </w:rPr>
        <w:t>Structural Equation Modeling with AMOS: Basic Concepts, Applications, and Programming</w:t>
      </w:r>
      <w:r w:rsidRPr="009E18F8">
        <w:rPr>
          <w:rFonts w:cs="Times New Roman"/>
          <w:szCs w:val="24"/>
          <w:shd w:val="clear" w:color="auto" w:fill="FFFFFF"/>
        </w:rPr>
        <w:t>. Mahwah, New Jersey: Lawrence Erlbaum Associates (2001).</w:t>
      </w:r>
    </w:p>
    <w:p w14:paraId="0C9AE5CE" w14:textId="77777777" w:rsidR="002D2DD0" w:rsidRPr="009E18F8" w:rsidRDefault="002D2DD0" w:rsidP="002D2DD0">
      <w:pPr>
        <w:tabs>
          <w:tab w:val="left" w:pos="700"/>
        </w:tabs>
        <w:spacing w:before="0" w:after="0"/>
        <w:ind w:left="284" w:hanging="284"/>
        <w:jc w:val="both"/>
        <w:rPr>
          <w:rFonts w:cs="Times New Roman"/>
          <w:szCs w:val="24"/>
          <w:shd w:val="clear" w:color="auto" w:fill="FFFFFF"/>
        </w:rPr>
      </w:pPr>
      <w:r w:rsidRPr="009E18F8">
        <w:rPr>
          <w:rFonts w:cs="Times New Roman"/>
          <w:szCs w:val="24"/>
        </w:rPr>
        <w:t xml:space="preserve">56. </w:t>
      </w:r>
      <w:r w:rsidRPr="009E18F8">
        <w:rPr>
          <w:rFonts w:cs="Times New Roman"/>
          <w:szCs w:val="24"/>
          <w:shd w:val="clear" w:color="auto" w:fill="FFFFFF"/>
        </w:rPr>
        <w:t xml:space="preserve">Hair JF, Black WC, </w:t>
      </w:r>
      <w:proofErr w:type="spellStart"/>
      <w:r w:rsidRPr="009E18F8">
        <w:rPr>
          <w:rFonts w:cs="Times New Roman"/>
          <w:szCs w:val="24"/>
          <w:shd w:val="clear" w:color="auto" w:fill="FFFFFF"/>
        </w:rPr>
        <w:t>Babin</w:t>
      </w:r>
      <w:proofErr w:type="spellEnd"/>
      <w:r w:rsidRPr="009E18F8">
        <w:rPr>
          <w:rFonts w:cs="Times New Roman"/>
          <w:szCs w:val="24"/>
          <w:shd w:val="clear" w:color="auto" w:fill="FFFFFF"/>
        </w:rPr>
        <w:t xml:space="preserve"> BJ, Anderson RE, Tatham RL. </w:t>
      </w:r>
      <w:proofErr w:type="gramStart"/>
      <w:r w:rsidRPr="009E18F8">
        <w:rPr>
          <w:rFonts w:cs="Times New Roman"/>
          <w:i/>
          <w:iCs/>
          <w:szCs w:val="24"/>
          <w:shd w:val="clear" w:color="auto" w:fill="FFFFFF"/>
        </w:rPr>
        <w:t>Multivariate data analysis</w:t>
      </w:r>
      <w:r w:rsidRPr="009E18F8">
        <w:rPr>
          <w:rFonts w:cs="Times New Roman"/>
          <w:szCs w:val="24"/>
          <w:shd w:val="clear" w:color="auto" w:fill="FFFFFF"/>
        </w:rPr>
        <w:t>.</w:t>
      </w:r>
      <w:proofErr w:type="gramEnd"/>
      <w:r w:rsidRPr="009E18F8">
        <w:rPr>
          <w:rFonts w:cs="Times New Roman"/>
          <w:szCs w:val="24"/>
          <w:shd w:val="clear" w:color="auto" w:fill="FFFFFF"/>
        </w:rPr>
        <w:t xml:space="preserve"> Upper Saddle River, NJ: Pearson (2006).</w:t>
      </w:r>
    </w:p>
    <w:p w14:paraId="2D6ED598" w14:textId="77777777" w:rsidR="002D2DD0" w:rsidRPr="009E18F8" w:rsidRDefault="002D2DD0" w:rsidP="002D2DD0">
      <w:pPr>
        <w:spacing w:before="0" w:after="0"/>
        <w:ind w:left="284" w:hanging="284"/>
        <w:jc w:val="both"/>
        <w:rPr>
          <w:rFonts w:eastAsia="Times New Roman" w:cs="Times New Roman"/>
          <w:szCs w:val="24"/>
        </w:rPr>
      </w:pPr>
      <w:r w:rsidRPr="009E18F8">
        <w:rPr>
          <w:rFonts w:cs="Times New Roman"/>
          <w:szCs w:val="24"/>
          <w:shd w:val="clear" w:color="auto" w:fill="FFFFFF"/>
        </w:rPr>
        <w:t xml:space="preserve">57. </w:t>
      </w:r>
      <w:proofErr w:type="spellStart"/>
      <w:r w:rsidRPr="009E18F8">
        <w:rPr>
          <w:rFonts w:cs="Times New Roman"/>
          <w:szCs w:val="24"/>
          <w:shd w:val="clear" w:color="auto" w:fill="FFFFFF"/>
        </w:rPr>
        <w:t>Cicchetti</w:t>
      </w:r>
      <w:proofErr w:type="spellEnd"/>
      <w:r w:rsidRPr="009E18F8">
        <w:rPr>
          <w:rFonts w:cs="Times New Roman"/>
          <w:szCs w:val="24"/>
          <w:shd w:val="clear" w:color="auto" w:fill="FFFFFF"/>
        </w:rPr>
        <w:t xml:space="preserve"> DV, Sparrow SA. </w:t>
      </w:r>
      <w:proofErr w:type="gramStart"/>
      <w:r w:rsidRPr="009E18F8">
        <w:rPr>
          <w:rFonts w:cs="Times New Roman"/>
          <w:szCs w:val="24"/>
          <w:shd w:val="clear" w:color="auto" w:fill="FFFFFF"/>
        </w:rPr>
        <w:t>Developing criteria for establishing interrater reliability of specific items: applications to assessment of adaptive behavior.</w:t>
      </w:r>
      <w:proofErr w:type="gramEnd"/>
      <w:r w:rsidRPr="009E18F8">
        <w:rPr>
          <w:rFonts w:cs="Times New Roman"/>
          <w:szCs w:val="24"/>
          <w:shd w:val="clear" w:color="auto" w:fill="FFFFFF"/>
        </w:rPr>
        <w:t> </w:t>
      </w:r>
      <w:proofErr w:type="gramStart"/>
      <w:r w:rsidRPr="009E18F8">
        <w:rPr>
          <w:rFonts w:cs="Times New Roman"/>
          <w:i/>
          <w:iCs/>
          <w:szCs w:val="24"/>
          <w:shd w:val="clear" w:color="auto" w:fill="FFFFFF"/>
        </w:rPr>
        <w:t>Am</w:t>
      </w:r>
      <w:proofErr w:type="gramEnd"/>
      <w:r w:rsidRPr="009E18F8">
        <w:rPr>
          <w:rFonts w:cs="Times New Roman"/>
          <w:i/>
          <w:iCs/>
          <w:szCs w:val="24"/>
          <w:shd w:val="clear" w:color="auto" w:fill="FFFFFF"/>
        </w:rPr>
        <w:t xml:space="preserve"> J </w:t>
      </w:r>
      <w:proofErr w:type="spellStart"/>
      <w:r w:rsidRPr="009E18F8">
        <w:rPr>
          <w:rFonts w:cs="Times New Roman"/>
          <w:i/>
          <w:iCs/>
          <w:szCs w:val="24"/>
          <w:shd w:val="clear" w:color="auto" w:fill="FFFFFF"/>
        </w:rPr>
        <w:t>Ment</w:t>
      </w:r>
      <w:proofErr w:type="spellEnd"/>
      <w:r w:rsidRPr="009E18F8">
        <w:rPr>
          <w:rFonts w:cs="Times New Roman"/>
          <w:i/>
          <w:iCs/>
          <w:szCs w:val="24"/>
          <w:shd w:val="clear" w:color="auto" w:fill="FFFFFF"/>
        </w:rPr>
        <w:t xml:space="preserve"> Def</w:t>
      </w:r>
      <w:r w:rsidRPr="009E18F8">
        <w:rPr>
          <w:rFonts w:cs="Times New Roman"/>
          <w:szCs w:val="24"/>
          <w:shd w:val="clear" w:color="auto" w:fill="FFFFFF"/>
        </w:rPr>
        <w:t xml:space="preserve"> (1981) </w:t>
      </w:r>
      <w:r w:rsidRPr="009E18F8">
        <w:rPr>
          <w:rStyle w:val="Emphasis"/>
          <w:rFonts w:cs="Times New Roman"/>
          <w:szCs w:val="24"/>
          <w:shd w:val="clear" w:color="auto" w:fill="FFFFFF"/>
        </w:rPr>
        <w:t>86</w:t>
      </w:r>
      <w:r w:rsidRPr="009E18F8">
        <w:rPr>
          <w:rFonts w:cs="Times New Roman"/>
          <w:szCs w:val="24"/>
          <w:shd w:val="clear" w:color="auto" w:fill="FFFFFF"/>
        </w:rPr>
        <w:t>:127–137.</w:t>
      </w:r>
    </w:p>
    <w:p w14:paraId="1005062F" w14:textId="77777777" w:rsidR="002D2DD0" w:rsidRPr="009E18F8" w:rsidRDefault="002D2DD0" w:rsidP="002D2DD0">
      <w:pPr>
        <w:spacing w:before="0" w:after="0"/>
        <w:ind w:left="284" w:hanging="284"/>
        <w:rPr>
          <w:rFonts w:eastAsia="Times New Roman" w:cs="Times New Roman"/>
          <w:szCs w:val="24"/>
        </w:rPr>
      </w:pPr>
      <w:r w:rsidRPr="009E18F8">
        <w:rPr>
          <w:rFonts w:eastAsia="Times New Roman" w:cs="Times New Roman"/>
          <w:szCs w:val="24"/>
        </w:rPr>
        <w:t xml:space="preserve">58. </w:t>
      </w:r>
      <w:proofErr w:type="spellStart"/>
      <w:r w:rsidRPr="009E18F8">
        <w:rPr>
          <w:rFonts w:eastAsia="Times New Roman" w:cs="Times New Roman"/>
          <w:szCs w:val="24"/>
        </w:rPr>
        <w:t>Angermeyer</w:t>
      </w:r>
      <w:proofErr w:type="spellEnd"/>
      <w:r w:rsidRPr="009E18F8">
        <w:rPr>
          <w:rFonts w:eastAsia="Times New Roman" w:cs="Times New Roman"/>
          <w:szCs w:val="24"/>
        </w:rPr>
        <w:t xml:space="preserve"> MC, </w:t>
      </w:r>
      <w:proofErr w:type="spellStart"/>
      <w:r w:rsidRPr="009E18F8">
        <w:rPr>
          <w:rFonts w:eastAsia="Times New Roman" w:cs="Times New Roman"/>
          <w:szCs w:val="24"/>
        </w:rPr>
        <w:t>Matschinger</w:t>
      </w:r>
      <w:proofErr w:type="spellEnd"/>
      <w:r w:rsidRPr="009E18F8">
        <w:rPr>
          <w:rFonts w:eastAsia="Times New Roman" w:cs="Times New Roman"/>
          <w:szCs w:val="24"/>
        </w:rPr>
        <w:t xml:space="preserve"> H, Corrigan PW. Familiarity with mental illness and social distance from people with schizophrenia and major depression: testing a model using data from a representative population survey. </w:t>
      </w:r>
      <w:proofErr w:type="spellStart"/>
      <w:proofErr w:type="gramStart"/>
      <w:r w:rsidRPr="009E18F8">
        <w:rPr>
          <w:rFonts w:eastAsia="Times New Roman" w:cs="Times New Roman"/>
          <w:i/>
          <w:iCs/>
          <w:szCs w:val="24"/>
        </w:rPr>
        <w:t>Schizophr</w:t>
      </w:r>
      <w:proofErr w:type="spellEnd"/>
      <w:r w:rsidRPr="009E18F8">
        <w:rPr>
          <w:rFonts w:eastAsia="Times New Roman" w:cs="Times New Roman"/>
          <w:i/>
          <w:iCs/>
          <w:szCs w:val="24"/>
        </w:rPr>
        <w:t xml:space="preserve"> Res</w:t>
      </w:r>
      <w:r w:rsidRPr="009E18F8">
        <w:rPr>
          <w:rFonts w:eastAsia="Times New Roman" w:cs="Times New Roman"/>
          <w:szCs w:val="24"/>
        </w:rPr>
        <w:t xml:space="preserve"> (2004) 69:175-182.</w:t>
      </w:r>
      <w:proofErr w:type="gramEnd"/>
      <w:r w:rsidRPr="009E18F8">
        <w:rPr>
          <w:rFonts w:eastAsia="Times New Roman" w:cs="Times New Roman"/>
          <w:szCs w:val="24"/>
        </w:rPr>
        <w:t xml:space="preserve"> </w:t>
      </w:r>
      <w:proofErr w:type="spellStart"/>
      <w:proofErr w:type="gramStart"/>
      <w:r w:rsidRPr="009E18F8">
        <w:rPr>
          <w:rFonts w:cs="Times New Roman"/>
          <w:szCs w:val="24"/>
          <w:shd w:val="clear" w:color="auto" w:fill="FFFFFF"/>
        </w:rPr>
        <w:t>doi</w:t>
      </w:r>
      <w:proofErr w:type="spellEnd"/>
      <w:proofErr w:type="gramEnd"/>
      <w:r w:rsidRPr="009E18F8">
        <w:rPr>
          <w:rFonts w:cs="Times New Roman"/>
          <w:szCs w:val="24"/>
          <w:shd w:val="clear" w:color="auto" w:fill="FFFFFF"/>
        </w:rPr>
        <w:t>: 10.1016/s0920-9964(03)00186-5.</w:t>
      </w:r>
    </w:p>
    <w:p w14:paraId="2BCAE402" w14:textId="77777777" w:rsidR="002D2DD0" w:rsidRPr="009E18F8" w:rsidRDefault="002D2DD0" w:rsidP="002D2DD0">
      <w:pPr>
        <w:spacing w:before="0" w:after="0"/>
        <w:ind w:left="284" w:hanging="284"/>
        <w:jc w:val="both"/>
        <w:rPr>
          <w:rFonts w:cs="Times New Roman"/>
          <w:szCs w:val="24"/>
          <w:shd w:val="clear" w:color="auto" w:fill="FFFFFF"/>
        </w:rPr>
      </w:pPr>
      <w:r w:rsidRPr="009E18F8">
        <w:rPr>
          <w:rFonts w:cs="Times New Roman"/>
          <w:szCs w:val="24"/>
        </w:rPr>
        <w:t xml:space="preserve">59. Cangas AJ, Navarro N, Aguilar JM, Ojeda JJ, </w:t>
      </w:r>
      <w:proofErr w:type="spellStart"/>
      <w:r w:rsidRPr="009E18F8">
        <w:rPr>
          <w:rFonts w:cs="Times New Roman"/>
          <w:szCs w:val="24"/>
        </w:rPr>
        <w:t>Piedra</w:t>
      </w:r>
      <w:proofErr w:type="spellEnd"/>
      <w:r w:rsidRPr="009E18F8">
        <w:rPr>
          <w:rFonts w:cs="Times New Roman"/>
          <w:szCs w:val="24"/>
        </w:rPr>
        <w:t xml:space="preserve"> JA, Cangas D, </w:t>
      </w:r>
      <w:proofErr w:type="spellStart"/>
      <w:r w:rsidRPr="009E18F8">
        <w:rPr>
          <w:rFonts w:cs="Times New Roman"/>
          <w:szCs w:val="24"/>
        </w:rPr>
        <w:t>Gallego</w:t>
      </w:r>
      <w:proofErr w:type="spellEnd"/>
      <w:r w:rsidRPr="009E18F8">
        <w:rPr>
          <w:rFonts w:cs="Times New Roman"/>
          <w:szCs w:val="24"/>
        </w:rPr>
        <w:t xml:space="preserve"> J. Stigma-Stop: a serious game against the Stigma in mental health. </w:t>
      </w:r>
      <w:r w:rsidRPr="009E18F8">
        <w:rPr>
          <w:rFonts w:cs="Times New Roman"/>
          <w:i/>
          <w:iCs/>
          <w:szCs w:val="24"/>
        </w:rPr>
        <w:t xml:space="preserve">Front </w:t>
      </w:r>
      <w:proofErr w:type="spellStart"/>
      <w:r w:rsidRPr="009E18F8">
        <w:rPr>
          <w:rFonts w:cs="Times New Roman"/>
          <w:i/>
          <w:iCs/>
          <w:szCs w:val="24"/>
        </w:rPr>
        <w:t>Psychol</w:t>
      </w:r>
      <w:proofErr w:type="spellEnd"/>
      <w:r w:rsidRPr="009E18F8">
        <w:rPr>
          <w:rFonts w:cs="Times New Roman"/>
          <w:i/>
          <w:iCs/>
          <w:szCs w:val="24"/>
        </w:rPr>
        <w:t xml:space="preserve"> (2017) 8</w:t>
      </w:r>
      <w:r w:rsidRPr="009E18F8">
        <w:rPr>
          <w:rFonts w:cs="Times New Roman"/>
          <w:szCs w:val="24"/>
        </w:rPr>
        <w:t xml:space="preserve">: 1385. </w:t>
      </w:r>
      <w:proofErr w:type="spellStart"/>
      <w:proofErr w:type="gramStart"/>
      <w:r w:rsidRPr="009E18F8">
        <w:rPr>
          <w:rFonts w:cs="Times New Roman"/>
          <w:szCs w:val="24"/>
          <w:shd w:val="clear" w:color="auto" w:fill="FFFFFF"/>
        </w:rPr>
        <w:t>doi</w:t>
      </w:r>
      <w:proofErr w:type="spellEnd"/>
      <w:proofErr w:type="gramEnd"/>
      <w:r w:rsidRPr="009E18F8">
        <w:rPr>
          <w:rFonts w:cs="Times New Roman"/>
          <w:szCs w:val="24"/>
          <w:shd w:val="clear" w:color="auto" w:fill="FFFFFF"/>
        </w:rPr>
        <w:t>: 10.3389/fpsyg.2017.01385</w:t>
      </w:r>
    </w:p>
    <w:p w14:paraId="2199FDA4" w14:textId="77777777" w:rsidR="002D2DD0" w:rsidRPr="009E18F8" w:rsidRDefault="002D2DD0" w:rsidP="002D2DD0">
      <w:pPr>
        <w:spacing w:before="0" w:after="0"/>
        <w:ind w:left="284" w:hanging="284"/>
        <w:jc w:val="both"/>
        <w:rPr>
          <w:rFonts w:eastAsia="Times New Roman" w:cs="Times New Roman"/>
          <w:szCs w:val="24"/>
        </w:rPr>
      </w:pPr>
      <w:r w:rsidRPr="009E18F8">
        <w:rPr>
          <w:rFonts w:cs="Times New Roman"/>
          <w:szCs w:val="24"/>
          <w:shd w:val="clear" w:color="auto" w:fill="FFFFFF"/>
        </w:rPr>
        <w:t xml:space="preserve">60. Cangas AJ, Navarro N, Aguilar JM, </w:t>
      </w:r>
      <w:proofErr w:type="spellStart"/>
      <w:r w:rsidRPr="009E18F8">
        <w:rPr>
          <w:rFonts w:cs="Times New Roman"/>
          <w:szCs w:val="24"/>
          <w:shd w:val="clear" w:color="auto" w:fill="FFFFFF"/>
        </w:rPr>
        <w:t>Trigueros</w:t>
      </w:r>
      <w:proofErr w:type="spellEnd"/>
      <w:r w:rsidRPr="009E18F8">
        <w:rPr>
          <w:rFonts w:cs="Times New Roman"/>
          <w:szCs w:val="24"/>
          <w:shd w:val="clear" w:color="auto" w:fill="FFFFFF"/>
        </w:rPr>
        <w:t xml:space="preserve"> R, </w:t>
      </w:r>
      <w:proofErr w:type="spellStart"/>
      <w:r w:rsidRPr="009E18F8">
        <w:rPr>
          <w:rFonts w:cs="Times New Roman"/>
          <w:szCs w:val="24"/>
          <w:shd w:val="clear" w:color="auto" w:fill="FFFFFF"/>
        </w:rPr>
        <w:t>Gallego</w:t>
      </w:r>
      <w:proofErr w:type="spellEnd"/>
      <w:r w:rsidRPr="009E18F8">
        <w:rPr>
          <w:rFonts w:cs="Times New Roman"/>
          <w:szCs w:val="24"/>
          <w:shd w:val="clear" w:color="auto" w:fill="FFFFFF"/>
        </w:rPr>
        <w:t xml:space="preserve"> J, </w:t>
      </w:r>
      <w:proofErr w:type="spellStart"/>
      <w:r w:rsidRPr="009E18F8">
        <w:rPr>
          <w:rFonts w:cs="Times New Roman"/>
          <w:szCs w:val="24"/>
          <w:shd w:val="clear" w:color="auto" w:fill="FFFFFF"/>
        </w:rPr>
        <w:t>Zárate</w:t>
      </w:r>
      <w:proofErr w:type="spellEnd"/>
      <w:r w:rsidRPr="009E18F8">
        <w:rPr>
          <w:rFonts w:cs="Times New Roman"/>
          <w:szCs w:val="24"/>
          <w:shd w:val="clear" w:color="auto" w:fill="FFFFFF"/>
        </w:rPr>
        <w:t xml:space="preserve"> R, Gregg M. Analysis of the Usefulness of a Serious Game to Raise Awareness about Mental Health Problems in a Sample of High School and University Students: Relationship with Familiarity and Time Spent Playing Video Games. </w:t>
      </w:r>
      <w:r w:rsidRPr="009E18F8">
        <w:rPr>
          <w:rFonts w:cs="Times New Roman"/>
          <w:i/>
          <w:iCs/>
          <w:szCs w:val="24"/>
        </w:rPr>
        <w:t xml:space="preserve">J </w:t>
      </w:r>
      <w:proofErr w:type="spellStart"/>
      <w:r w:rsidRPr="009E18F8">
        <w:rPr>
          <w:rFonts w:cs="Times New Roman"/>
          <w:i/>
          <w:iCs/>
          <w:szCs w:val="24"/>
        </w:rPr>
        <w:t>Clin</w:t>
      </w:r>
      <w:proofErr w:type="spellEnd"/>
      <w:r w:rsidRPr="009E18F8">
        <w:rPr>
          <w:rFonts w:cs="Times New Roman"/>
          <w:i/>
          <w:iCs/>
          <w:szCs w:val="24"/>
        </w:rPr>
        <w:t xml:space="preserve"> Med </w:t>
      </w:r>
      <w:r w:rsidRPr="009E18F8">
        <w:rPr>
          <w:rFonts w:cs="Times New Roman"/>
          <w:szCs w:val="24"/>
        </w:rPr>
        <w:t>(2019)</w:t>
      </w:r>
      <w:r w:rsidRPr="009E18F8">
        <w:rPr>
          <w:rFonts w:cs="Times New Roman"/>
          <w:i/>
          <w:iCs/>
          <w:szCs w:val="24"/>
        </w:rPr>
        <w:t xml:space="preserve"> </w:t>
      </w:r>
      <w:r w:rsidRPr="009E18F8">
        <w:rPr>
          <w:rFonts w:cs="Times New Roman"/>
          <w:szCs w:val="24"/>
        </w:rPr>
        <w:t xml:space="preserve">8:1504. </w:t>
      </w:r>
      <w:proofErr w:type="spellStart"/>
      <w:proofErr w:type="gramStart"/>
      <w:r w:rsidRPr="009E18F8">
        <w:rPr>
          <w:rFonts w:cs="Times New Roman"/>
          <w:szCs w:val="24"/>
          <w:shd w:val="clear" w:color="auto" w:fill="FFFFFF"/>
        </w:rPr>
        <w:t>doi</w:t>
      </w:r>
      <w:proofErr w:type="spellEnd"/>
      <w:proofErr w:type="gramEnd"/>
      <w:r w:rsidRPr="009E18F8">
        <w:rPr>
          <w:rFonts w:cs="Times New Roman"/>
          <w:szCs w:val="24"/>
          <w:shd w:val="clear" w:color="auto" w:fill="FFFFFF"/>
        </w:rPr>
        <w:t>: 10.3390/jcm8101504.</w:t>
      </w:r>
    </w:p>
    <w:p w14:paraId="2BA4390C" w14:textId="77777777" w:rsidR="002D2DD0" w:rsidRDefault="002D2DD0" w:rsidP="002D2DD0"/>
    <w:p w14:paraId="66F693E4" w14:textId="77777777" w:rsidR="002D2DD0" w:rsidRDefault="002D2DD0" w:rsidP="002D2DD0">
      <w:pPr>
        <w:spacing w:before="0" w:after="0"/>
        <w:jc w:val="both"/>
        <w:rPr>
          <w:rFonts w:eastAsia="Times New Roman" w:cs="Times New Roman"/>
          <w:szCs w:val="24"/>
          <w:lang w:val="en-GB"/>
        </w:rPr>
      </w:pPr>
    </w:p>
    <w:p w14:paraId="343B2E13" w14:textId="77777777" w:rsidR="009627E0" w:rsidRPr="00787053" w:rsidRDefault="009627E0" w:rsidP="009627E0">
      <w:pPr>
        <w:spacing w:before="0" w:after="0"/>
        <w:ind w:firstLine="720"/>
        <w:jc w:val="both"/>
        <w:rPr>
          <w:rFonts w:eastAsia="Times New Roman" w:cs="Times New Roman"/>
          <w:szCs w:val="24"/>
          <w:lang w:val="en-GB"/>
        </w:rPr>
      </w:pPr>
    </w:p>
    <w:p w14:paraId="2C3146DC" w14:textId="77777777" w:rsidR="00F86F34" w:rsidRDefault="00F86F34"/>
    <w:sectPr w:rsidR="00F86F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0"/>
    <w:rsid w:val="00031F5F"/>
    <w:rsid w:val="0018086D"/>
    <w:rsid w:val="00297466"/>
    <w:rsid w:val="002D2DD0"/>
    <w:rsid w:val="003338B5"/>
    <w:rsid w:val="003E7BFD"/>
    <w:rsid w:val="006B192D"/>
    <w:rsid w:val="006F57A4"/>
    <w:rsid w:val="00907FBF"/>
    <w:rsid w:val="009627E0"/>
    <w:rsid w:val="00B05434"/>
    <w:rsid w:val="00B74DF0"/>
    <w:rsid w:val="00DA4E1F"/>
    <w:rsid w:val="00F8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E0"/>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7E0"/>
    <w:pPr>
      <w:autoSpaceDE w:val="0"/>
      <w:autoSpaceDN w:val="0"/>
      <w:adjustRightInd w:val="0"/>
      <w:spacing w:after="0" w:line="240" w:lineRule="auto"/>
    </w:pPr>
    <w:rPr>
      <w:rFonts w:ascii="Times New Roman" w:eastAsia="Calibri" w:hAnsi="Times New Roman" w:cs="Times New Roman"/>
      <w:color w:val="000000"/>
      <w:sz w:val="24"/>
      <w:szCs w:val="24"/>
      <w:lang w:val="en-CA" w:eastAsia="es-ES"/>
    </w:rPr>
  </w:style>
  <w:style w:type="paragraph" w:styleId="BalloonText">
    <w:name w:val="Balloon Text"/>
    <w:basedOn w:val="Normal"/>
    <w:link w:val="BalloonTextChar"/>
    <w:uiPriority w:val="99"/>
    <w:semiHidden/>
    <w:unhideWhenUsed/>
    <w:rsid w:val="002974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66"/>
    <w:rPr>
      <w:rFonts w:ascii="Segoe UI" w:hAnsi="Segoe UI" w:cs="Segoe UI"/>
      <w:sz w:val="18"/>
      <w:szCs w:val="18"/>
      <w:lang w:val="en-US"/>
    </w:rPr>
  </w:style>
  <w:style w:type="character" w:styleId="Emphasis">
    <w:name w:val="Emphasis"/>
    <w:basedOn w:val="DefaultParagraphFont"/>
    <w:uiPriority w:val="20"/>
    <w:qFormat/>
    <w:rsid w:val="002D2DD0"/>
    <w:rPr>
      <w:rFonts w:ascii="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E0"/>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7E0"/>
    <w:pPr>
      <w:autoSpaceDE w:val="0"/>
      <w:autoSpaceDN w:val="0"/>
      <w:adjustRightInd w:val="0"/>
      <w:spacing w:after="0" w:line="240" w:lineRule="auto"/>
    </w:pPr>
    <w:rPr>
      <w:rFonts w:ascii="Times New Roman" w:eastAsia="Calibri" w:hAnsi="Times New Roman" w:cs="Times New Roman"/>
      <w:color w:val="000000"/>
      <w:sz w:val="24"/>
      <w:szCs w:val="24"/>
      <w:lang w:val="en-CA" w:eastAsia="es-ES"/>
    </w:rPr>
  </w:style>
  <w:style w:type="paragraph" w:styleId="BalloonText">
    <w:name w:val="Balloon Text"/>
    <w:basedOn w:val="Normal"/>
    <w:link w:val="BalloonTextChar"/>
    <w:uiPriority w:val="99"/>
    <w:semiHidden/>
    <w:unhideWhenUsed/>
    <w:rsid w:val="0029746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66"/>
    <w:rPr>
      <w:rFonts w:ascii="Segoe UI" w:hAnsi="Segoe UI" w:cs="Segoe UI"/>
      <w:sz w:val="18"/>
      <w:szCs w:val="18"/>
      <w:lang w:val="en-US"/>
    </w:rPr>
  </w:style>
  <w:style w:type="character" w:styleId="Emphasis">
    <w:name w:val="Emphasis"/>
    <w:basedOn w:val="DefaultParagraphFont"/>
    <w:uiPriority w:val="20"/>
    <w:qFormat/>
    <w:rsid w:val="002D2DD0"/>
    <w:rPr>
      <w:rFonts w:ascii="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6475</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Amazon.com</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 Javier Cangas Diaz</dc:creator>
  <cp:lastModifiedBy> Bhuvan</cp:lastModifiedBy>
  <cp:revision>2</cp:revision>
  <dcterms:created xsi:type="dcterms:W3CDTF">2020-10-27T08:47:00Z</dcterms:created>
  <dcterms:modified xsi:type="dcterms:W3CDTF">2020-10-27T08:47:00Z</dcterms:modified>
</cp:coreProperties>
</file>