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EB449" w14:textId="77777777" w:rsidR="00E94A49" w:rsidRDefault="00E94A49" w:rsidP="00E94A49">
      <w:pPr>
        <w:rPr>
          <w:b/>
        </w:rPr>
      </w:pPr>
    </w:p>
    <w:p w14:paraId="655AD980" w14:textId="403C928B" w:rsidR="00E94A49" w:rsidRPr="007D124B" w:rsidRDefault="00E94A49" w:rsidP="00E94A49">
      <w:pPr>
        <w:jc w:val="center"/>
        <w:rPr>
          <w:b/>
        </w:rPr>
      </w:pPr>
      <w:r w:rsidRPr="007D124B">
        <w:rPr>
          <w:b/>
        </w:rPr>
        <w:t>Hydrological conditions influence soil and methane-cycling microbial populations in seasonally saturated wetlands</w:t>
      </w:r>
    </w:p>
    <w:p w14:paraId="6956FBD5" w14:textId="77777777" w:rsidR="00E94A49" w:rsidRPr="007D124B" w:rsidRDefault="00E94A49" w:rsidP="00E94A49"/>
    <w:p w14:paraId="49080FA4" w14:textId="19E6D3D5" w:rsidR="00E94A49" w:rsidRPr="007D124B" w:rsidRDefault="00E94A49" w:rsidP="00E94A49">
      <w:pPr>
        <w:jc w:val="center"/>
        <w:rPr>
          <w:vertAlign w:val="superscript"/>
        </w:rPr>
      </w:pPr>
      <w:r w:rsidRPr="007D124B">
        <w:t>Christine E. Maietta</w:t>
      </w:r>
      <w:r w:rsidRPr="007D124B">
        <w:rPr>
          <w:vertAlign w:val="superscript"/>
        </w:rPr>
        <w:t>1</w:t>
      </w:r>
      <w:r>
        <w:rPr>
          <w:vertAlign w:val="superscript"/>
        </w:rPr>
        <w:t>,2</w:t>
      </w:r>
      <w:r w:rsidRPr="007D124B">
        <w:t>, Kelly L. Hondula</w:t>
      </w:r>
      <w:r>
        <w:rPr>
          <w:vertAlign w:val="superscript"/>
        </w:rPr>
        <w:t>2</w:t>
      </w:r>
      <w:r w:rsidRPr="007D124B">
        <w:t>, C. Nathan Jones</w:t>
      </w:r>
      <w:r>
        <w:rPr>
          <w:vertAlign w:val="superscript"/>
        </w:rPr>
        <w:t>3</w:t>
      </w:r>
      <w:r w:rsidRPr="007D124B">
        <w:t>, and Margaret A. Palmer</w:t>
      </w:r>
      <w:r w:rsidRPr="007D124B">
        <w:rPr>
          <w:vertAlign w:val="superscript"/>
        </w:rPr>
        <w:t>1</w:t>
      </w:r>
      <w:r>
        <w:rPr>
          <w:vertAlign w:val="superscript"/>
        </w:rPr>
        <w:t>,2</w:t>
      </w:r>
    </w:p>
    <w:p w14:paraId="554CEAAE" w14:textId="77777777" w:rsidR="00E94A49" w:rsidRPr="007D124B" w:rsidRDefault="00E94A49" w:rsidP="00E94A49">
      <w:pPr>
        <w:jc w:val="center"/>
      </w:pPr>
      <w:r>
        <w:rPr>
          <w:vertAlign w:val="superscript"/>
        </w:rPr>
        <w:t>1</w:t>
      </w:r>
      <w:r>
        <w:t>Department of Entomology, University of Maryland, College Park, MD 20742, U.S.A.</w:t>
      </w:r>
    </w:p>
    <w:p w14:paraId="02D408D4" w14:textId="77777777" w:rsidR="00E94A49" w:rsidRPr="007D124B" w:rsidRDefault="00E94A49" w:rsidP="00E94A49">
      <w:pPr>
        <w:jc w:val="center"/>
      </w:pPr>
      <w:r>
        <w:rPr>
          <w:vertAlign w:val="superscript"/>
        </w:rPr>
        <w:t>2</w:t>
      </w:r>
      <w:r w:rsidRPr="007D124B">
        <w:t>National Socio-Environmental Synthesis Center, University of Maryland</w:t>
      </w:r>
      <w:r>
        <w:t xml:space="preserve">, </w:t>
      </w:r>
    </w:p>
    <w:p w14:paraId="1B636AE9" w14:textId="77777777" w:rsidR="00E94A49" w:rsidRDefault="00E94A49" w:rsidP="00E94A49">
      <w:pPr>
        <w:jc w:val="center"/>
      </w:pPr>
      <w:r w:rsidRPr="007D124B">
        <w:t>College Park, MD 20742, U.S.A.</w:t>
      </w:r>
    </w:p>
    <w:p w14:paraId="50092178" w14:textId="77777777" w:rsidR="00E94A49" w:rsidRPr="007D124B" w:rsidRDefault="00E94A49" w:rsidP="00E94A49">
      <w:pPr>
        <w:jc w:val="center"/>
      </w:pPr>
      <w:r>
        <w:rPr>
          <w:rFonts w:eastAsiaTheme="minorEastAsia"/>
          <w:vertAlign w:val="superscript"/>
        </w:rPr>
        <w:t>3</w:t>
      </w:r>
      <w:r w:rsidRPr="007D124B">
        <w:rPr>
          <w:rFonts w:eastAsiaTheme="minorEastAsia"/>
        </w:rPr>
        <w:t>Department of Biological Science, University of Alabama, Tuscaloosa, AL 35401, U</w:t>
      </w:r>
      <w:r>
        <w:rPr>
          <w:rFonts w:eastAsiaTheme="minorEastAsia"/>
        </w:rPr>
        <w:t>.</w:t>
      </w:r>
      <w:r w:rsidRPr="007D124B">
        <w:rPr>
          <w:rFonts w:eastAsiaTheme="minorEastAsia"/>
        </w:rPr>
        <w:t>S</w:t>
      </w:r>
      <w:r>
        <w:rPr>
          <w:rFonts w:eastAsiaTheme="minorEastAsia"/>
        </w:rPr>
        <w:t>.</w:t>
      </w:r>
      <w:r w:rsidRPr="007D124B">
        <w:rPr>
          <w:rFonts w:eastAsiaTheme="minorEastAsia"/>
        </w:rPr>
        <w:t>A</w:t>
      </w:r>
      <w:r>
        <w:rPr>
          <w:rFonts w:eastAsiaTheme="minorEastAsia"/>
        </w:rPr>
        <w:t>.</w:t>
      </w:r>
    </w:p>
    <w:p w14:paraId="0955EB9D" w14:textId="77777777" w:rsidR="00E94A49" w:rsidRDefault="00E94A49" w:rsidP="00E94A49">
      <w:pPr>
        <w:jc w:val="center"/>
      </w:pPr>
      <w:r>
        <w:t>*</w:t>
      </w:r>
      <w:r w:rsidRPr="007D124B">
        <w:t xml:space="preserve">Corresponding Author: </w:t>
      </w:r>
      <w:hyperlink r:id="rId7" w:history="1">
        <w:r w:rsidRPr="00B421BB">
          <w:rPr>
            <w:rStyle w:val="Hyperlink"/>
          </w:rPr>
          <w:t>cprasse@umd.edu</w:t>
        </w:r>
      </w:hyperlink>
    </w:p>
    <w:p w14:paraId="516D336E" w14:textId="77777777" w:rsidR="00E94A49" w:rsidRPr="00E94A49" w:rsidRDefault="00E94A49" w:rsidP="00E94A49"/>
    <w:p w14:paraId="6D1F6FD1" w14:textId="3B5FC71B" w:rsidR="00837F08" w:rsidRPr="00837F08" w:rsidRDefault="00837F08" w:rsidP="009F392E">
      <w:pPr>
        <w:rPr>
          <w:u w:val="single"/>
        </w:rPr>
      </w:pPr>
      <w:r w:rsidRPr="00837F08">
        <w:rPr>
          <w:u w:val="single"/>
        </w:rPr>
        <w:t>Supplemental Tables</w:t>
      </w:r>
    </w:p>
    <w:p w14:paraId="646624F5" w14:textId="77777777" w:rsidR="00837F08" w:rsidRDefault="00837F08" w:rsidP="009F392E">
      <w:pPr>
        <w:rPr>
          <w:b/>
        </w:rPr>
      </w:pPr>
    </w:p>
    <w:p w14:paraId="281CAD5E" w14:textId="44E39A0F" w:rsidR="00B10A4F" w:rsidRDefault="00F876AC" w:rsidP="009F392E">
      <w:r w:rsidRPr="00F876AC">
        <w:rPr>
          <w:b/>
        </w:rPr>
        <w:t>Supplementa</w:t>
      </w:r>
      <w:r w:rsidR="00405420">
        <w:rPr>
          <w:b/>
        </w:rPr>
        <w:t xml:space="preserve">ry </w:t>
      </w:r>
      <w:r w:rsidRPr="00F876AC">
        <w:rPr>
          <w:b/>
        </w:rPr>
        <w:t>Table 1:</w:t>
      </w:r>
      <w:r w:rsidRPr="00B10A4F">
        <w:t xml:space="preserve"> Mean water level</w:t>
      </w:r>
      <w:r>
        <w:t xml:space="preserve"> (cm)</w:t>
      </w:r>
      <w:r w:rsidRPr="00B10A4F">
        <w:t>, saturation duration (days), and saturation frequency (# of events) for the 2018 water year (09/30/2017 – 09/29/2018, total observations = 365 days)</w:t>
      </w:r>
      <w:r>
        <w:t xml:space="preserve"> and the month samples were collected (November 2017)</w:t>
      </w:r>
      <w:r w:rsidRPr="00B10A4F">
        <w:t>. Negative (-) values indicate the water table fell below the soil surface and positive (+) values indicate inundation. Statistical model results presented; an asterisk denotes significant models (p &lt; 0.05). Tukey HSD letters indicate significant differences among the mean comparisons across the transect.</w:t>
      </w:r>
      <w:r>
        <w:t xml:space="preserve"> Hydrology values collected from wetland 1A were removed from analysis since soil samples were not collected from these sites.</w:t>
      </w:r>
    </w:p>
    <w:p w14:paraId="4C61C963" w14:textId="77777777" w:rsidR="00F876AC" w:rsidRDefault="00F876AC" w:rsidP="009F392E">
      <w:pPr>
        <w:rPr>
          <w:b/>
          <w:color w:val="000000"/>
        </w:rPr>
      </w:pPr>
    </w:p>
    <w:p w14:paraId="0EED9BDE" w14:textId="189C2D57" w:rsidR="00837F08" w:rsidRDefault="00405420" w:rsidP="009F392E">
      <w:pPr>
        <w:rPr>
          <w:color w:val="000000"/>
        </w:rPr>
      </w:pPr>
      <w:r w:rsidRPr="00F876AC">
        <w:rPr>
          <w:b/>
        </w:rPr>
        <w:t>Supplementa</w:t>
      </w:r>
      <w:r>
        <w:rPr>
          <w:b/>
        </w:rPr>
        <w:t xml:space="preserve">ry </w:t>
      </w:r>
      <w:r w:rsidR="00B10A4F" w:rsidRPr="00680566">
        <w:rPr>
          <w:b/>
          <w:color w:val="000000"/>
        </w:rPr>
        <w:t xml:space="preserve">Table </w:t>
      </w:r>
      <w:r w:rsidR="00B10A4F">
        <w:rPr>
          <w:b/>
          <w:color w:val="000000"/>
        </w:rPr>
        <w:t>2</w:t>
      </w:r>
      <w:r w:rsidR="00B10A4F" w:rsidRPr="00680566">
        <w:rPr>
          <w:b/>
          <w:color w:val="000000"/>
        </w:rPr>
        <w:t xml:space="preserve">: </w:t>
      </w:r>
      <w:r w:rsidR="00B10A4F" w:rsidRPr="00680566">
        <w:rPr>
          <w:color w:val="000000"/>
        </w:rPr>
        <w:t xml:space="preserve">Rank abundance of the </w:t>
      </w:r>
      <w:r w:rsidR="00B10A4F">
        <w:rPr>
          <w:color w:val="000000"/>
        </w:rPr>
        <w:t>8,113</w:t>
      </w:r>
      <w:r w:rsidR="00B10A4F" w:rsidRPr="00680566">
        <w:rPr>
          <w:color w:val="000000"/>
        </w:rPr>
        <w:t xml:space="preserve"> amplicon sequence variants (ASVs)</w:t>
      </w:r>
      <w:r w:rsidR="00B10A4F">
        <w:rPr>
          <w:color w:val="000000"/>
        </w:rPr>
        <w:t>, also commonly referred to as</w:t>
      </w:r>
      <w:r w:rsidR="00B10A4F" w:rsidRPr="00680566">
        <w:rPr>
          <w:color w:val="000000"/>
        </w:rPr>
        <w:t xml:space="preserve"> operation taxonomic units (OTUs)</w:t>
      </w:r>
      <w:r w:rsidR="00B10A4F">
        <w:rPr>
          <w:color w:val="000000"/>
        </w:rPr>
        <w:t>, classified</w:t>
      </w:r>
      <w:r w:rsidR="00B10A4F" w:rsidRPr="00680566">
        <w:rPr>
          <w:color w:val="000000"/>
        </w:rPr>
        <w:t xml:space="preserve"> by phyla. The </w:t>
      </w:r>
      <w:r w:rsidR="00B10A4F">
        <w:rPr>
          <w:color w:val="000000"/>
        </w:rPr>
        <w:t>five</w:t>
      </w:r>
      <w:r w:rsidR="00B10A4F" w:rsidRPr="00680566">
        <w:rPr>
          <w:color w:val="000000"/>
        </w:rPr>
        <w:t xml:space="preserve"> </w:t>
      </w:r>
      <w:r w:rsidR="00B10A4F" w:rsidRPr="00680566">
        <w:rPr>
          <w:i/>
          <w:color w:val="000000"/>
        </w:rPr>
        <w:t>Archaea</w:t>
      </w:r>
      <w:r w:rsidR="00B10A4F" w:rsidRPr="00680566">
        <w:rPr>
          <w:color w:val="000000"/>
        </w:rPr>
        <w:t xml:space="preserve"> phyla are </w:t>
      </w:r>
      <w:r w:rsidR="00B10A4F">
        <w:rPr>
          <w:color w:val="000000"/>
        </w:rPr>
        <w:t>italicized and shaded</w:t>
      </w:r>
      <w:r w:rsidR="00B10A4F" w:rsidRPr="00680566">
        <w:rPr>
          <w:color w:val="000000"/>
        </w:rPr>
        <w:t>.</w:t>
      </w:r>
      <w:r w:rsidR="00B10A4F" w:rsidRPr="00680566">
        <w:rPr>
          <w:b/>
          <w:color w:val="000000"/>
        </w:rPr>
        <w:t xml:space="preserve"> </w:t>
      </w:r>
      <w:r w:rsidR="00B10A4F">
        <w:rPr>
          <w:b/>
          <w:color w:val="000000"/>
        </w:rPr>
        <w:t xml:space="preserve"> </w:t>
      </w:r>
      <w:r w:rsidR="00B10A4F">
        <w:rPr>
          <w:color w:val="000000"/>
        </w:rPr>
        <w:t>The two horizontal lines demark the boundary between dominant (</w:t>
      </w:r>
      <w:r w:rsidR="00B10A4F" w:rsidRPr="00EB6163">
        <w:rPr>
          <w:color w:val="000000"/>
          <w:u w:val="single"/>
        </w:rPr>
        <w:t>&gt;</w:t>
      </w:r>
      <w:r w:rsidR="00B10A4F">
        <w:rPr>
          <w:color w:val="000000"/>
        </w:rPr>
        <w:t>10%), common (</w:t>
      </w:r>
      <w:r w:rsidR="00B10A4F" w:rsidRPr="00EB6163">
        <w:rPr>
          <w:color w:val="000000"/>
          <w:u w:val="single"/>
        </w:rPr>
        <w:t>&gt;</w:t>
      </w:r>
      <w:r w:rsidR="00B10A4F">
        <w:rPr>
          <w:color w:val="000000"/>
        </w:rPr>
        <w:t>1 to &lt;10%) and rare (&lt;1%) phylotypes.</w:t>
      </w:r>
    </w:p>
    <w:p w14:paraId="614C415C" w14:textId="4574577D" w:rsidR="00310E24" w:rsidRDefault="00310E24" w:rsidP="009F392E">
      <w:pPr>
        <w:rPr>
          <w:b/>
        </w:rPr>
      </w:pPr>
    </w:p>
    <w:p w14:paraId="1B4D33EC" w14:textId="454E89B4" w:rsidR="00310E24" w:rsidRDefault="00405420" w:rsidP="009F392E">
      <w:pPr>
        <w:rPr>
          <w:b/>
        </w:rPr>
      </w:pPr>
      <w:r w:rsidRPr="00F876AC">
        <w:rPr>
          <w:b/>
        </w:rPr>
        <w:t>Supplementa</w:t>
      </w:r>
      <w:r>
        <w:rPr>
          <w:b/>
        </w:rPr>
        <w:t xml:space="preserve">ry </w:t>
      </w:r>
      <w:r w:rsidR="00310E24" w:rsidRPr="0067337D">
        <w:rPr>
          <w:b/>
        </w:rPr>
        <w:t xml:space="preserve">Table </w:t>
      </w:r>
      <w:r w:rsidR="00F876AC">
        <w:rPr>
          <w:b/>
        </w:rPr>
        <w:t>3</w:t>
      </w:r>
      <w:r w:rsidR="00310E24" w:rsidRPr="0067337D">
        <w:t xml:space="preserve">: Edaphic and microbial community diversity properties for </w:t>
      </w:r>
      <w:r w:rsidR="00310E24">
        <w:t>five seasonally saturated</w:t>
      </w:r>
      <w:r w:rsidR="00310E24" w:rsidRPr="0067337D">
        <w:t xml:space="preserve"> wetland </w:t>
      </w:r>
      <w:r w:rsidR="00310E24">
        <w:t>sites</w:t>
      </w:r>
      <w:r w:rsidR="00310E24" w:rsidRPr="0067337D">
        <w:t xml:space="preserve">. </w:t>
      </w:r>
      <w:r w:rsidR="00310E24">
        <w:t>Duplicate</w:t>
      </w:r>
      <w:r w:rsidR="00310E24" w:rsidRPr="0067337D">
        <w:t xml:space="preserve"> cores were collected from the upper soil horizons (0-30 cm) of </w:t>
      </w:r>
      <w:r w:rsidR="00310E24">
        <w:t>five</w:t>
      </w:r>
      <w:r w:rsidR="00310E24" w:rsidRPr="0067337D">
        <w:t xml:space="preserve"> hydrologic zone</w:t>
      </w:r>
      <w:r w:rsidR="00310E24">
        <w:t>s across five seasonally saturated wetlands</w:t>
      </w:r>
      <w:r w:rsidR="00310E24" w:rsidRPr="0067337D">
        <w:t xml:space="preserve"> and then homogenized into a single representative sample (n = 24). Summary statistics include the mean (± standard error of the mean) for soil pH</w:t>
      </w:r>
      <w:r w:rsidR="00310E24" w:rsidRPr="0067337D">
        <w:rPr>
          <w:vertAlign w:val="subscript"/>
        </w:rPr>
        <w:t>CaCl2</w:t>
      </w:r>
      <w:r w:rsidR="00310E24" w:rsidRPr="0067337D">
        <w:t>, soil organic matter (SOM) content (g OM g</w:t>
      </w:r>
      <w:r w:rsidR="00310E24" w:rsidRPr="0067337D">
        <w:rPr>
          <w:vertAlign w:val="superscript"/>
        </w:rPr>
        <w:t>-1</w:t>
      </w:r>
      <w:r w:rsidR="00310E24" w:rsidRPr="0067337D">
        <w:t xml:space="preserve"> soil), and microbial community diversity (Richness and Shannon’s Diversity Index). Transformed variables are marked with a hashtag (#). Statistical model results are presented for the one-way ANOVA used to test for mean differences among hydrologic zones (r</w:t>
      </w:r>
      <w:r w:rsidR="00310E24" w:rsidRPr="0067337D">
        <w:rPr>
          <w:vertAlign w:val="superscript"/>
        </w:rPr>
        <w:t>2</w:t>
      </w:r>
      <w:r w:rsidR="00310E24" w:rsidRPr="0067337D">
        <w:t>, F statistic, and p-value); an asterisk denotes a significant model (alpha = 0.05).</w:t>
      </w:r>
    </w:p>
    <w:p w14:paraId="43BF01FB" w14:textId="77777777" w:rsidR="00837F08" w:rsidRDefault="00837F08" w:rsidP="009F392E">
      <w:pPr>
        <w:rPr>
          <w:b/>
        </w:rPr>
      </w:pPr>
    </w:p>
    <w:p w14:paraId="4C814148" w14:textId="087BA132" w:rsidR="00837F08" w:rsidRPr="00837F08" w:rsidRDefault="00837F08" w:rsidP="00837F08">
      <w:pPr>
        <w:rPr>
          <w:u w:val="single"/>
        </w:rPr>
      </w:pPr>
      <w:r w:rsidRPr="00837F08">
        <w:rPr>
          <w:u w:val="single"/>
        </w:rPr>
        <w:t>Supplemental Figures</w:t>
      </w:r>
    </w:p>
    <w:p w14:paraId="72DCE36A" w14:textId="77777777" w:rsidR="009B6517" w:rsidRPr="009B6517" w:rsidRDefault="009B6517" w:rsidP="00837F08"/>
    <w:p w14:paraId="52AF7CFD" w14:textId="7E7A236E" w:rsidR="00DE4371" w:rsidRDefault="00405420" w:rsidP="00837F08">
      <w:r w:rsidRPr="00F876AC">
        <w:rPr>
          <w:b/>
        </w:rPr>
        <w:t>Supplementa</w:t>
      </w:r>
      <w:r>
        <w:rPr>
          <w:b/>
        </w:rPr>
        <w:t xml:space="preserve">ry </w:t>
      </w:r>
      <w:r w:rsidR="00837F08">
        <w:rPr>
          <w:b/>
        </w:rPr>
        <w:t>Figure</w:t>
      </w:r>
      <w:r w:rsidR="00837F08" w:rsidRPr="00D85878">
        <w:rPr>
          <w:b/>
        </w:rPr>
        <w:t xml:space="preserve"> </w:t>
      </w:r>
      <w:r w:rsidR="00837F08">
        <w:rPr>
          <w:b/>
        </w:rPr>
        <w:t xml:space="preserve">1: </w:t>
      </w:r>
      <w:r w:rsidR="00B10A4F" w:rsidRPr="00EC0CD8">
        <w:t xml:space="preserve">Rarefaction curves showing OTU richness as a function of sequencing depth. Rarefaction analysis </w:t>
      </w:r>
      <w:r w:rsidR="00B10A4F">
        <w:t>shows</w:t>
      </w:r>
      <w:r w:rsidR="00B10A4F" w:rsidRPr="00EC0CD8">
        <w:t xml:space="preserve"> that sequencing depth </w:t>
      </w:r>
      <w:r w:rsidR="00B10A4F">
        <w:t xml:space="preserve">sufficiently </w:t>
      </w:r>
      <w:r w:rsidR="00B10A4F" w:rsidRPr="00EC0CD8">
        <w:t>capture</w:t>
      </w:r>
      <w:r w:rsidR="00B10A4F">
        <w:t>d</w:t>
      </w:r>
      <w:r w:rsidR="00B10A4F" w:rsidRPr="00EC0CD8">
        <w:t xml:space="preserve"> OTU richness.</w:t>
      </w:r>
      <w:r w:rsidR="00B10A4F">
        <w:t xml:space="preserve"> </w:t>
      </w:r>
      <w:r w:rsidR="00B10A4F" w:rsidRPr="008F1E0F">
        <w:t>Paired-end read</w:t>
      </w:r>
      <w:r w:rsidR="00B10A4F">
        <w:t xml:space="preserve">s </w:t>
      </w:r>
      <w:r w:rsidR="00B10A4F" w:rsidRPr="008F1E0F">
        <w:t>were rarified</w:t>
      </w:r>
      <w:r w:rsidR="00B10A4F" w:rsidRPr="00EC0CD8">
        <w:t xml:space="preserve"> to </w:t>
      </w:r>
      <w:r w:rsidR="00B10A4F">
        <w:t>the minimum sequence depth (20,135 reads).</w:t>
      </w:r>
    </w:p>
    <w:p w14:paraId="0522BBF1" w14:textId="77777777" w:rsidR="00E94A49" w:rsidRDefault="00E94A49" w:rsidP="00837F08"/>
    <w:p w14:paraId="725041C0" w14:textId="6B7AA92D" w:rsidR="00310E24" w:rsidRDefault="00405420" w:rsidP="00310E24">
      <w:r w:rsidRPr="00F876AC">
        <w:rPr>
          <w:b/>
        </w:rPr>
        <w:t>Supplementa</w:t>
      </w:r>
      <w:r>
        <w:rPr>
          <w:b/>
        </w:rPr>
        <w:t xml:space="preserve">ry </w:t>
      </w:r>
      <w:r w:rsidR="00310E24">
        <w:rPr>
          <w:b/>
        </w:rPr>
        <w:t xml:space="preserve">Figure </w:t>
      </w:r>
      <w:r w:rsidR="00F876AC">
        <w:rPr>
          <w:b/>
        </w:rPr>
        <w:t>2</w:t>
      </w:r>
      <w:r w:rsidR="00310E24">
        <w:rPr>
          <w:b/>
        </w:rPr>
        <w:t>:</w:t>
      </w:r>
      <w:r w:rsidR="00310E24" w:rsidRPr="00837F08">
        <w:t>.</w:t>
      </w:r>
      <w:r w:rsidR="00310E24">
        <w:t xml:space="preserve"> Non-metric multidimensional scaling plot showing separation of the soil microbiome based on Bray-Curtis dissimilarities across the five selected wetland sites. </w:t>
      </w:r>
      <w:r w:rsidR="00310E24">
        <w:lastRenderedPageBreak/>
        <w:t>Microbial community composition did not statistically differ by site (PERMANOVA = F</w:t>
      </w:r>
      <w:r w:rsidR="00310E24" w:rsidRPr="000670C1">
        <w:rPr>
          <w:vertAlign w:val="subscript"/>
        </w:rPr>
        <w:t>4,19</w:t>
      </w:r>
      <w:r w:rsidR="00310E24">
        <w:t xml:space="preserve"> = 1.198, p &gt; 0.05).</w:t>
      </w:r>
    </w:p>
    <w:p w14:paraId="249D4EA9" w14:textId="77777777" w:rsidR="00310E24" w:rsidRDefault="00310E24" w:rsidP="00837F08"/>
    <w:p w14:paraId="63F35777" w14:textId="6584ED59" w:rsidR="00F876AC" w:rsidRDefault="00405420" w:rsidP="00F876AC">
      <w:r w:rsidRPr="00F876AC">
        <w:rPr>
          <w:b/>
        </w:rPr>
        <w:t>Supplementa</w:t>
      </w:r>
      <w:r>
        <w:rPr>
          <w:b/>
        </w:rPr>
        <w:t xml:space="preserve">ry </w:t>
      </w:r>
      <w:r w:rsidR="00F876AC" w:rsidRPr="00795EF8">
        <w:rPr>
          <w:b/>
        </w:rPr>
        <w:t xml:space="preserve">Figure </w:t>
      </w:r>
      <w:r w:rsidR="00F876AC">
        <w:rPr>
          <w:b/>
        </w:rPr>
        <w:t>3</w:t>
      </w:r>
      <w:r w:rsidR="00F876AC">
        <w:t>: Mean relative abundance of dominant bacterial phyla across each of the five hydrologic zones.</w:t>
      </w:r>
    </w:p>
    <w:p w14:paraId="7537D033" w14:textId="41DF5F45" w:rsidR="00F876AC" w:rsidRDefault="00F876AC" w:rsidP="00837F08">
      <w:pPr>
        <w:sectPr w:rsidR="00F876AC" w:rsidSect="000C3698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A3B60B" w14:textId="62514655" w:rsidR="00F876AC" w:rsidRDefault="00F876AC"/>
    <w:tbl>
      <w:tblPr>
        <w:tblStyle w:val="TableGrid"/>
        <w:tblW w:w="579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836"/>
        <w:gridCol w:w="1412"/>
        <w:gridCol w:w="1136"/>
        <w:gridCol w:w="2067"/>
        <w:gridCol w:w="1580"/>
        <w:gridCol w:w="1986"/>
        <w:gridCol w:w="2028"/>
        <w:gridCol w:w="1956"/>
      </w:tblGrid>
      <w:tr w:rsidR="00F876AC" w:rsidRPr="00A468AF" w14:paraId="1F53CE70" w14:textId="77777777" w:rsidTr="00F876AC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74E3BAA" w14:textId="05F361C9" w:rsidR="00F876AC" w:rsidRPr="00A468AF" w:rsidRDefault="00405420" w:rsidP="00933D12">
            <w:r w:rsidRPr="00F876AC">
              <w:rPr>
                <w:b/>
              </w:rPr>
              <w:t>Supplementa</w:t>
            </w:r>
            <w:r>
              <w:rPr>
                <w:b/>
              </w:rPr>
              <w:t xml:space="preserve">ry </w:t>
            </w:r>
            <w:r w:rsidR="00F876AC" w:rsidRPr="00F876AC">
              <w:rPr>
                <w:b/>
              </w:rPr>
              <w:t>Table 1:</w:t>
            </w:r>
            <w:r w:rsidR="00F876AC" w:rsidRPr="00B10A4F">
              <w:t xml:space="preserve"> Mean water level</w:t>
            </w:r>
            <w:r w:rsidR="00F876AC">
              <w:t xml:space="preserve"> (cm)</w:t>
            </w:r>
            <w:r w:rsidR="00F876AC" w:rsidRPr="00B10A4F">
              <w:t>, saturation duration (days), and saturation frequency (# of events) for the 2018 water year (09/30/2017 – 09/29/2018, total observations = 365 days)</w:t>
            </w:r>
            <w:r w:rsidR="00F876AC">
              <w:t xml:space="preserve"> and the month samples were collected (November 2017)</w:t>
            </w:r>
            <w:r w:rsidR="00F876AC" w:rsidRPr="00B10A4F">
              <w:t>. Negative (-) values indicate the water table fell below the soil surface and positive (+) values indicate inundation. Statistical model results presented; an asterisk denotes significant models (p &lt; 0.05). Tukey HSD letters indicate significant differences among the mean comparisons across the transect.</w:t>
            </w:r>
            <w:r w:rsidR="00F876AC">
              <w:t xml:space="preserve"> Hydrology values collected from wetland 1A were removed from analysis since soil samples were not collected from these sites.</w:t>
            </w:r>
          </w:p>
        </w:tc>
      </w:tr>
      <w:tr w:rsidR="00F876AC" w:rsidRPr="00A468AF" w14:paraId="75E988C8" w14:textId="77777777" w:rsidTr="00F87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673" w:type="pct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D2364D1" w14:textId="77777777" w:rsidR="00F876AC" w:rsidRPr="00CD561A" w:rsidRDefault="00F876AC" w:rsidP="00933D12">
            <w:pPr>
              <w:jc w:val="center"/>
              <w:rPr>
                <w:b/>
              </w:rPr>
            </w:pPr>
            <w:r>
              <w:rPr>
                <w:b/>
              </w:rPr>
              <w:t>Hydrologic Characteristics</w:t>
            </w:r>
          </w:p>
        </w:tc>
        <w:tc>
          <w:tcPr>
            <w:tcW w:w="112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1DFA6BB" w14:textId="77777777" w:rsidR="00F876AC" w:rsidRPr="00C4483C" w:rsidRDefault="00F876AC" w:rsidP="00933D12">
            <w:pPr>
              <w:jc w:val="center"/>
              <w:rPr>
                <w:b/>
                <w:u w:val="single"/>
              </w:rPr>
            </w:pPr>
            <w:r w:rsidRPr="00C4483C">
              <w:rPr>
                <w:b/>
                <w:u w:val="single"/>
              </w:rPr>
              <w:t>Model Statistics</w:t>
            </w:r>
          </w:p>
        </w:tc>
        <w:tc>
          <w:tcPr>
            <w:tcW w:w="3201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C0C10B2" w14:textId="77777777" w:rsidR="00F876AC" w:rsidRPr="00C4483C" w:rsidRDefault="00F876AC" w:rsidP="00933D12">
            <w:pPr>
              <w:jc w:val="center"/>
              <w:rPr>
                <w:b/>
                <w:u w:val="single"/>
              </w:rPr>
            </w:pPr>
            <w:r w:rsidRPr="00C4483C">
              <w:rPr>
                <w:b/>
                <w:u w:val="single"/>
              </w:rPr>
              <w:t>Hydrologic Zone</w:t>
            </w:r>
          </w:p>
        </w:tc>
      </w:tr>
      <w:tr w:rsidR="00F876AC" w:rsidRPr="00A468AF" w14:paraId="7E39737E" w14:textId="77777777" w:rsidTr="00F87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  <w:jc w:val="center"/>
        </w:trPr>
        <w:tc>
          <w:tcPr>
            <w:tcW w:w="673" w:type="pct"/>
            <w:vMerge/>
            <w:tcBorders>
              <w:left w:val="nil"/>
              <w:right w:val="nil"/>
            </w:tcBorders>
            <w:vAlign w:val="center"/>
          </w:tcPr>
          <w:p w14:paraId="1B3144D7" w14:textId="77777777" w:rsidR="00F876AC" w:rsidRPr="00A468AF" w:rsidRDefault="00F876AC" w:rsidP="00933D12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</w:tcPr>
          <w:p w14:paraId="4C2A9A09" w14:textId="77777777" w:rsidR="00F876AC" w:rsidRPr="00A468AF" w:rsidRDefault="00F876AC" w:rsidP="00933D12">
            <w:pPr>
              <w:jc w:val="center"/>
              <w:rPr>
                <w:b/>
              </w:rPr>
            </w:pPr>
            <w:r w:rsidRPr="005304C5">
              <w:t>r</w:t>
            </w:r>
            <w:r w:rsidRPr="005304C5">
              <w:rPr>
                <w:vertAlign w:val="superscript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</w:tcPr>
          <w:p w14:paraId="19643260" w14:textId="77777777" w:rsidR="00F876AC" w:rsidRPr="00A468AF" w:rsidRDefault="00F876AC" w:rsidP="00933D12">
            <w:pPr>
              <w:jc w:val="center"/>
              <w:rPr>
                <w:b/>
              </w:rPr>
            </w:pPr>
            <w:r w:rsidRPr="005304C5">
              <w:t>F</w:t>
            </w:r>
            <w:r>
              <w:t>-value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</w:tcPr>
          <w:p w14:paraId="33ED3DF4" w14:textId="77777777" w:rsidR="00F876AC" w:rsidRPr="00A468AF" w:rsidRDefault="00F876AC" w:rsidP="00933D12">
            <w:pPr>
              <w:jc w:val="center"/>
              <w:rPr>
                <w:b/>
              </w:rPr>
            </w:pPr>
            <w:r>
              <w:t>p-value</w:t>
            </w:r>
          </w:p>
        </w:tc>
        <w:tc>
          <w:tcPr>
            <w:tcW w:w="688" w:type="pct"/>
            <w:tcBorders>
              <w:top w:val="nil"/>
              <w:left w:val="nil"/>
              <w:right w:val="nil"/>
            </w:tcBorders>
          </w:tcPr>
          <w:p w14:paraId="2F6E9282" w14:textId="77777777" w:rsidR="00F876AC" w:rsidRDefault="00F876AC" w:rsidP="00933D12">
            <w:pPr>
              <w:jc w:val="center"/>
            </w:pPr>
            <w:r w:rsidRPr="00DC6174">
              <w:t>A</w:t>
            </w:r>
          </w:p>
          <w:p w14:paraId="3FF74909" w14:textId="77777777" w:rsidR="00F876AC" w:rsidRPr="00DC6174" w:rsidRDefault="00F876AC" w:rsidP="00933D12">
            <w:pPr>
              <w:jc w:val="center"/>
            </w:pPr>
            <w:r>
              <w:t>(Basin Edge Area)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</w:tcPr>
          <w:p w14:paraId="0CB9C6DF" w14:textId="77777777" w:rsidR="00F876AC" w:rsidRPr="00DC6174" w:rsidRDefault="00F876AC" w:rsidP="00933D12">
            <w:pPr>
              <w:jc w:val="center"/>
            </w:pPr>
            <w:r w:rsidRPr="00DC6174">
              <w:t>B</w:t>
            </w:r>
          </w:p>
        </w:tc>
        <w:tc>
          <w:tcPr>
            <w:tcW w:w="661" w:type="pct"/>
            <w:tcBorders>
              <w:top w:val="nil"/>
              <w:left w:val="nil"/>
              <w:right w:val="nil"/>
            </w:tcBorders>
          </w:tcPr>
          <w:p w14:paraId="4E0F225E" w14:textId="77777777" w:rsidR="00F876AC" w:rsidRPr="00DC6174" w:rsidRDefault="00F876AC" w:rsidP="00933D12">
            <w:pPr>
              <w:jc w:val="center"/>
            </w:pPr>
            <w:r w:rsidRPr="00DC6174">
              <w:t>C</w:t>
            </w:r>
          </w:p>
        </w:tc>
        <w:tc>
          <w:tcPr>
            <w:tcW w:w="675" w:type="pct"/>
            <w:tcBorders>
              <w:top w:val="nil"/>
              <w:left w:val="nil"/>
              <w:right w:val="nil"/>
            </w:tcBorders>
          </w:tcPr>
          <w:p w14:paraId="35A64352" w14:textId="77777777" w:rsidR="00F876AC" w:rsidRPr="00DC6174" w:rsidRDefault="00F876AC" w:rsidP="00933D12">
            <w:pPr>
              <w:jc w:val="center"/>
            </w:pPr>
            <w:r w:rsidRPr="00DC6174">
              <w:t>D</w:t>
            </w:r>
          </w:p>
        </w:tc>
        <w:tc>
          <w:tcPr>
            <w:tcW w:w="651" w:type="pct"/>
            <w:tcBorders>
              <w:top w:val="nil"/>
              <w:left w:val="nil"/>
              <w:right w:val="nil"/>
            </w:tcBorders>
          </w:tcPr>
          <w:p w14:paraId="46716C18" w14:textId="77777777" w:rsidR="00F876AC" w:rsidRDefault="00F876AC" w:rsidP="00933D12">
            <w:pPr>
              <w:jc w:val="center"/>
            </w:pPr>
            <w:r w:rsidRPr="00DC6174">
              <w:t>E</w:t>
            </w:r>
          </w:p>
          <w:p w14:paraId="084C9D41" w14:textId="77777777" w:rsidR="00F876AC" w:rsidRPr="00DC6174" w:rsidRDefault="00F876AC" w:rsidP="00933D12">
            <w:pPr>
              <w:jc w:val="center"/>
            </w:pPr>
            <w:r>
              <w:t>(</w:t>
            </w:r>
            <w:r w:rsidRPr="00A468AF">
              <w:t>Upland Area</w:t>
            </w:r>
            <w:r>
              <w:t>)</w:t>
            </w:r>
          </w:p>
        </w:tc>
      </w:tr>
      <w:tr w:rsidR="00F876AC" w:rsidRPr="00F876AC" w14:paraId="72C0799E" w14:textId="77777777" w:rsidTr="00F876AC">
        <w:trPr>
          <w:trHeight w:val="6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center"/>
          </w:tcPr>
          <w:p w14:paraId="4C0B90D8" w14:textId="54B6B152" w:rsidR="00F876AC" w:rsidRPr="00F876AC" w:rsidRDefault="00F876AC" w:rsidP="00F876AC">
            <w:pPr>
              <w:rPr>
                <w:b/>
                <w:color w:val="000000"/>
              </w:rPr>
            </w:pPr>
            <w:r w:rsidRPr="00F876AC">
              <w:rPr>
                <w:b/>
              </w:rPr>
              <w:t xml:space="preserve">Annual </w:t>
            </w:r>
            <w:r>
              <w:rPr>
                <w:b/>
              </w:rPr>
              <w:t xml:space="preserve">Summary </w:t>
            </w:r>
            <w:r w:rsidRPr="00F876AC">
              <w:rPr>
                <w:b/>
              </w:rPr>
              <w:t>Statistics</w:t>
            </w:r>
            <w:r>
              <w:rPr>
                <w:b/>
              </w:rPr>
              <w:t xml:space="preserve"> (October 2017 – October 2018)</w:t>
            </w:r>
          </w:p>
        </w:tc>
      </w:tr>
      <w:tr w:rsidR="00F876AC" w:rsidRPr="00F876AC" w14:paraId="74874F86" w14:textId="77777777" w:rsidTr="00F876AC">
        <w:trPr>
          <w:trHeight w:val="61"/>
          <w:jc w:val="center"/>
        </w:trPr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7D10A168" w14:textId="77777777" w:rsidR="00F876AC" w:rsidRPr="00F876AC" w:rsidRDefault="00F876AC" w:rsidP="00933D12">
            <w:r w:rsidRPr="00F876AC">
              <w:t>Mean Water Level (cm)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14:paraId="020CFDB5" w14:textId="77777777" w:rsidR="00F876AC" w:rsidRPr="00F876AC" w:rsidRDefault="00F876AC" w:rsidP="00933D12">
            <w:pPr>
              <w:ind w:left="167" w:hanging="167"/>
              <w:jc w:val="center"/>
            </w:pPr>
            <w:r w:rsidRPr="00F876AC">
              <w:t>85.4%</w:t>
            </w: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14:paraId="476DC406" w14:textId="77777777" w:rsidR="00F876AC" w:rsidRPr="00F876AC" w:rsidRDefault="00F876AC" w:rsidP="00933D12">
            <w:pPr>
              <w:ind w:left="167" w:hanging="167"/>
              <w:jc w:val="center"/>
            </w:pPr>
            <w:r w:rsidRPr="00F876AC">
              <w:t>F</w:t>
            </w:r>
            <w:r w:rsidRPr="00F876AC">
              <w:rPr>
                <w:vertAlign w:val="subscript"/>
              </w:rPr>
              <w:t>4, 20</w:t>
            </w:r>
            <w:r w:rsidRPr="00F876AC">
              <w:t xml:space="preserve"> = 27.8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14:paraId="5905E7A8" w14:textId="77777777" w:rsidR="00F876AC" w:rsidRPr="00F876AC" w:rsidRDefault="00F876AC" w:rsidP="00933D12">
            <w:pPr>
              <w:ind w:left="167" w:hanging="167"/>
              <w:jc w:val="center"/>
            </w:pPr>
            <w:r w:rsidRPr="00F876AC">
              <w:t>&lt; 0.05*</w:t>
            </w:r>
          </w:p>
        </w:tc>
        <w:tc>
          <w:tcPr>
            <w:tcW w:w="688" w:type="pct"/>
            <w:tcBorders>
              <w:top w:val="single" w:sz="4" w:space="0" w:color="auto"/>
            </w:tcBorders>
            <w:vAlign w:val="center"/>
          </w:tcPr>
          <w:p w14:paraId="529501D4" w14:textId="77777777" w:rsidR="00F876AC" w:rsidRPr="00F876AC" w:rsidRDefault="00F876AC" w:rsidP="00933D12">
            <w:pPr>
              <w:jc w:val="center"/>
              <w:rPr>
                <w:color w:val="000000"/>
              </w:rPr>
            </w:pPr>
            <w:r w:rsidRPr="00F876AC">
              <w:rPr>
                <w:color w:val="000000"/>
              </w:rPr>
              <w:t xml:space="preserve">+4.5 ± 6.6 </w:t>
            </w:r>
            <w:r w:rsidRPr="00F876AC">
              <w:rPr>
                <w:color w:val="000000"/>
                <w:vertAlign w:val="superscript"/>
              </w:rPr>
              <w:t>A</w:t>
            </w:r>
          </w:p>
        </w:tc>
        <w:tc>
          <w:tcPr>
            <w:tcW w:w="526" w:type="pct"/>
            <w:tcBorders>
              <w:top w:val="single" w:sz="4" w:space="0" w:color="auto"/>
            </w:tcBorders>
            <w:vAlign w:val="center"/>
          </w:tcPr>
          <w:p w14:paraId="39740E23" w14:textId="77777777" w:rsidR="00F876AC" w:rsidRPr="00F876AC" w:rsidRDefault="00F876AC" w:rsidP="00933D12">
            <w:pPr>
              <w:jc w:val="center"/>
            </w:pPr>
            <w:r w:rsidRPr="00F876AC">
              <w:rPr>
                <w:color w:val="000000"/>
              </w:rPr>
              <w:t xml:space="preserve">-11.2 ± 4.5 </w:t>
            </w:r>
            <w:r w:rsidRPr="00F876AC">
              <w:rPr>
                <w:color w:val="000000"/>
                <w:vertAlign w:val="superscript"/>
              </w:rPr>
              <w:t>AB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344F32AD" w14:textId="77777777" w:rsidR="00F876AC" w:rsidRPr="00F876AC" w:rsidRDefault="00F876AC" w:rsidP="00933D12">
            <w:pPr>
              <w:jc w:val="center"/>
            </w:pPr>
            <w:r w:rsidRPr="00F876AC">
              <w:rPr>
                <w:color w:val="000000"/>
              </w:rPr>
              <w:t xml:space="preserve">-33 ± 6.4 </w:t>
            </w:r>
            <w:r w:rsidRPr="00F876AC">
              <w:rPr>
                <w:color w:val="000000"/>
                <w:vertAlign w:val="superscript"/>
              </w:rPr>
              <w:t>BC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14:paraId="5D57E825" w14:textId="77777777" w:rsidR="00F876AC" w:rsidRPr="00F876AC" w:rsidRDefault="00F876AC" w:rsidP="00933D12">
            <w:pPr>
              <w:jc w:val="center"/>
            </w:pPr>
            <w:r w:rsidRPr="00F876AC">
              <w:rPr>
                <w:color w:val="000000"/>
              </w:rPr>
              <w:t xml:space="preserve">-53 ± 6.8 </w:t>
            </w:r>
            <w:r w:rsidRPr="00F876AC">
              <w:rPr>
                <w:color w:val="000000"/>
                <w:vertAlign w:val="superscript"/>
              </w:rPr>
              <w:t>CD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14:paraId="1071B05B" w14:textId="77777777" w:rsidR="00F876AC" w:rsidRPr="00F876AC" w:rsidRDefault="00F876AC" w:rsidP="00933D12">
            <w:pPr>
              <w:jc w:val="center"/>
            </w:pPr>
            <w:r w:rsidRPr="00F876AC">
              <w:rPr>
                <w:color w:val="000000"/>
              </w:rPr>
              <w:t xml:space="preserve">-75.6 ± 5.4 </w:t>
            </w:r>
            <w:r w:rsidRPr="00F876AC">
              <w:rPr>
                <w:color w:val="000000"/>
                <w:vertAlign w:val="superscript"/>
              </w:rPr>
              <w:t>D</w:t>
            </w:r>
          </w:p>
        </w:tc>
      </w:tr>
      <w:tr w:rsidR="00F876AC" w:rsidRPr="00F876AC" w14:paraId="5DB1572C" w14:textId="77777777" w:rsidTr="00F876AC">
        <w:trPr>
          <w:trHeight w:val="351"/>
          <w:jc w:val="center"/>
        </w:trPr>
        <w:tc>
          <w:tcPr>
            <w:tcW w:w="673" w:type="pct"/>
            <w:vAlign w:val="center"/>
          </w:tcPr>
          <w:p w14:paraId="0602B7ED" w14:textId="77777777" w:rsidR="00F876AC" w:rsidRPr="00F876AC" w:rsidRDefault="00F876AC" w:rsidP="00933D12">
            <w:pPr>
              <w:ind w:left="167" w:hanging="167"/>
            </w:pPr>
            <w:r w:rsidRPr="00F876AC">
              <w:t xml:space="preserve">Sat. Duration </w:t>
            </w:r>
          </w:p>
          <w:p w14:paraId="3156B679" w14:textId="77777777" w:rsidR="00F876AC" w:rsidRPr="00F876AC" w:rsidRDefault="00F876AC" w:rsidP="00933D12">
            <w:pPr>
              <w:ind w:left="167" w:hanging="167"/>
            </w:pPr>
            <w:r w:rsidRPr="00F876AC">
              <w:t>(days)</w:t>
            </w:r>
          </w:p>
        </w:tc>
        <w:tc>
          <w:tcPr>
            <w:tcW w:w="278" w:type="pct"/>
            <w:vAlign w:val="center"/>
          </w:tcPr>
          <w:p w14:paraId="66A2FC59" w14:textId="77777777" w:rsidR="00F876AC" w:rsidRPr="00F876AC" w:rsidRDefault="00F876AC" w:rsidP="00933D12">
            <w:pPr>
              <w:jc w:val="center"/>
              <w:rPr>
                <w:color w:val="000000"/>
              </w:rPr>
            </w:pPr>
            <w:r w:rsidRPr="00F876AC">
              <w:t>88.7%</w:t>
            </w:r>
          </w:p>
        </w:tc>
        <w:tc>
          <w:tcPr>
            <w:tcW w:w="470" w:type="pct"/>
            <w:vAlign w:val="center"/>
          </w:tcPr>
          <w:p w14:paraId="15B7CB9C" w14:textId="77777777" w:rsidR="00F876AC" w:rsidRPr="00F876AC" w:rsidRDefault="00F876AC" w:rsidP="00933D12">
            <w:pPr>
              <w:jc w:val="center"/>
              <w:rPr>
                <w:color w:val="000000"/>
              </w:rPr>
            </w:pPr>
            <w:r w:rsidRPr="00F876AC">
              <w:t>F</w:t>
            </w:r>
            <w:r w:rsidRPr="00F876AC">
              <w:rPr>
                <w:vertAlign w:val="subscript"/>
              </w:rPr>
              <w:t>4, 20</w:t>
            </w:r>
            <w:r w:rsidRPr="00F876AC">
              <w:t xml:space="preserve"> = 37.3</w:t>
            </w:r>
          </w:p>
        </w:tc>
        <w:tc>
          <w:tcPr>
            <w:tcW w:w="378" w:type="pct"/>
            <w:vAlign w:val="center"/>
          </w:tcPr>
          <w:p w14:paraId="470ADB04" w14:textId="77777777" w:rsidR="00F876AC" w:rsidRPr="00F876AC" w:rsidRDefault="00F876AC" w:rsidP="00933D12">
            <w:pPr>
              <w:jc w:val="center"/>
              <w:rPr>
                <w:color w:val="000000"/>
              </w:rPr>
            </w:pPr>
            <w:r w:rsidRPr="00F876AC">
              <w:rPr>
                <w:color w:val="000000"/>
              </w:rPr>
              <w:t>&lt; 0.05*</w:t>
            </w:r>
          </w:p>
        </w:tc>
        <w:tc>
          <w:tcPr>
            <w:tcW w:w="688" w:type="pct"/>
            <w:vAlign w:val="center"/>
          </w:tcPr>
          <w:p w14:paraId="0680FCE7" w14:textId="77777777" w:rsidR="00F876AC" w:rsidRPr="00F876AC" w:rsidRDefault="00F876AC" w:rsidP="00933D12">
            <w:pPr>
              <w:jc w:val="center"/>
              <w:rPr>
                <w:color w:val="000000"/>
              </w:rPr>
            </w:pPr>
            <w:r w:rsidRPr="00F876AC">
              <w:rPr>
                <w:color w:val="000000"/>
              </w:rPr>
              <w:t xml:space="preserve">311 ± 17 </w:t>
            </w:r>
            <w:r w:rsidRPr="00F876AC">
              <w:rPr>
                <w:color w:val="000000"/>
                <w:vertAlign w:val="superscript"/>
              </w:rPr>
              <w:t>A</w:t>
            </w:r>
          </w:p>
        </w:tc>
        <w:tc>
          <w:tcPr>
            <w:tcW w:w="526" w:type="pct"/>
            <w:vAlign w:val="center"/>
          </w:tcPr>
          <w:p w14:paraId="1D72D23B" w14:textId="77777777" w:rsidR="00F876AC" w:rsidRPr="00F876AC" w:rsidRDefault="00F876AC" w:rsidP="00933D12">
            <w:pPr>
              <w:jc w:val="center"/>
            </w:pPr>
            <w:r w:rsidRPr="00F876AC">
              <w:rPr>
                <w:color w:val="000000"/>
              </w:rPr>
              <w:t xml:space="preserve">260 ± 26 </w:t>
            </w:r>
            <w:r w:rsidRPr="00F876AC">
              <w:rPr>
                <w:color w:val="000000"/>
                <w:vertAlign w:val="superscript"/>
              </w:rPr>
              <w:t>AB</w:t>
            </w:r>
          </w:p>
        </w:tc>
        <w:tc>
          <w:tcPr>
            <w:tcW w:w="661" w:type="pct"/>
            <w:vAlign w:val="center"/>
          </w:tcPr>
          <w:p w14:paraId="58F7F0A2" w14:textId="77777777" w:rsidR="00F876AC" w:rsidRPr="00F876AC" w:rsidRDefault="00F876AC" w:rsidP="00933D12">
            <w:pPr>
              <w:jc w:val="center"/>
            </w:pPr>
            <w:r w:rsidRPr="00F876AC">
              <w:rPr>
                <w:color w:val="000000"/>
              </w:rPr>
              <w:t>182 ± 18</w:t>
            </w:r>
            <w:r w:rsidRPr="00F876AC">
              <w:rPr>
                <w:color w:val="000000"/>
                <w:vertAlign w:val="superscript"/>
              </w:rPr>
              <w:t xml:space="preserve"> BC</w:t>
            </w:r>
          </w:p>
        </w:tc>
        <w:tc>
          <w:tcPr>
            <w:tcW w:w="675" w:type="pct"/>
            <w:vAlign w:val="center"/>
          </w:tcPr>
          <w:p w14:paraId="3AD75077" w14:textId="77777777" w:rsidR="00F876AC" w:rsidRPr="00F876AC" w:rsidRDefault="00F876AC" w:rsidP="00933D12">
            <w:pPr>
              <w:jc w:val="center"/>
            </w:pPr>
            <w:r w:rsidRPr="00F876AC">
              <w:rPr>
                <w:color w:val="000000"/>
              </w:rPr>
              <w:t xml:space="preserve">122 ± 19 </w:t>
            </w:r>
            <w:r w:rsidRPr="00F876AC">
              <w:rPr>
                <w:color w:val="000000"/>
                <w:vertAlign w:val="superscript"/>
              </w:rPr>
              <w:t>C</w:t>
            </w:r>
          </w:p>
        </w:tc>
        <w:tc>
          <w:tcPr>
            <w:tcW w:w="651" w:type="pct"/>
            <w:vAlign w:val="center"/>
          </w:tcPr>
          <w:p w14:paraId="7136C85C" w14:textId="77777777" w:rsidR="00F876AC" w:rsidRPr="00F876AC" w:rsidRDefault="00F876AC" w:rsidP="00933D12">
            <w:pPr>
              <w:jc w:val="center"/>
            </w:pPr>
            <w:r w:rsidRPr="00F876AC">
              <w:rPr>
                <w:color w:val="000000"/>
              </w:rPr>
              <w:t xml:space="preserve">17 ± 9 </w:t>
            </w:r>
            <w:r w:rsidRPr="00F876AC">
              <w:rPr>
                <w:color w:val="000000"/>
                <w:vertAlign w:val="superscript"/>
              </w:rPr>
              <w:t>D</w:t>
            </w:r>
          </w:p>
        </w:tc>
      </w:tr>
      <w:tr w:rsidR="00F876AC" w:rsidRPr="00A468AF" w14:paraId="11907D3D" w14:textId="77777777" w:rsidTr="00F876AC">
        <w:trPr>
          <w:trHeight w:val="351"/>
          <w:jc w:val="center"/>
        </w:trPr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14:paraId="776A2698" w14:textId="77777777" w:rsidR="00F876AC" w:rsidRPr="00F876AC" w:rsidRDefault="00F876AC" w:rsidP="00933D12">
            <w:pPr>
              <w:ind w:left="167" w:hanging="167"/>
            </w:pPr>
            <w:r w:rsidRPr="00F876AC">
              <w:t>Sat. Frequency</w:t>
            </w:r>
          </w:p>
          <w:p w14:paraId="3E579FD6" w14:textId="77777777" w:rsidR="00F876AC" w:rsidRPr="00F876AC" w:rsidRDefault="00F876AC" w:rsidP="00933D12">
            <w:pPr>
              <w:ind w:left="167" w:hanging="167"/>
            </w:pPr>
            <w:r w:rsidRPr="00F876AC">
              <w:t>(# of events)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14:paraId="429BB014" w14:textId="77777777" w:rsidR="00F876AC" w:rsidRPr="00F876AC" w:rsidRDefault="00F876AC" w:rsidP="00933D12">
            <w:pPr>
              <w:jc w:val="center"/>
              <w:rPr>
                <w:color w:val="000000"/>
              </w:rPr>
            </w:pPr>
            <w:r w:rsidRPr="00F876AC">
              <w:rPr>
                <w:color w:val="000000"/>
              </w:rPr>
              <w:t>--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69BED936" w14:textId="77777777" w:rsidR="00F876AC" w:rsidRPr="00F876AC" w:rsidRDefault="00F876AC" w:rsidP="00933D12">
            <w:pPr>
              <w:jc w:val="center"/>
            </w:pPr>
            <w:r w:rsidRPr="00F876AC">
              <w:t>χ</w:t>
            </w:r>
            <w:r w:rsidRPr="00F876AC">
              <w:rPr>
                <w:vertAlign w:val="superscript"/>
              </w:rPr>
              <w:t>2</w:t>
            </w:r>
            <w:r w:rsidRPr="00F876AC">
              <w:t xml:space="preserve"> = 2.39</w:t>
            </w:r>
          </w:p>
          <w:p w14:paraId="599FE6AD" w14:textId="77777777" w:rsidR="00F876AC" w:rsidRPr="00F876AC" w:rsidRDefault="00F876AC" w:rsidP="00933D12">
            <w:pPr>
              <w:jc w:val="center"/>
            </w:pPr>
            <w:proofErr w:type="spellStart"/>
            <w:r w:rsidRPr="00F876AC">
              <w:t>df</w:t>
            </w:r>
            <w:proofErr w:type="spellEnd"/>
            <w:r w:rsidRPr="00F876AC">
              <w:t xml:space="preserve"> = 4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14:paraId="66615090" w14:textId="77777777" w:rsidR="00F876AC" w:rsidRPr="00F876AC" w:rsidRDefault="00F876AC" w:rsidP="00933D12">
            <w:r w:rsidRPr="00F876AC">
              <w:t>&gt; 0.05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14:paraId="3E5C9CB9" w14:textId="77777777" w:rsidR="00F876AC" w:rsidRPr="00F876AC" w:rsidRDefault="00F876AC" w:rsidP="00933D12">
            <w:pPr>
              <w:jc w:val="center"/>
              <w:rPr>
                <w:color w:val="000000"/>
              </w:rPr>
            </w:pPr>
            <w:r w:rsidRPr="00F876AC">
              <w:rPr>
                <w:color w:val="000000"/>
              </w:rPr>
              <w:t>2.5 ± 0.5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01F53B14" w14:textId="77777777" w:rsidR="00F876AC" w:rsidRPr="00F876AC" w:rsidRDefault="00F876AC" w:rsidP="00933D12">
            <w:pPr>
              <w:jc w:val="center"/>
              <w:rPr>
                <w:color w:val="000000"/>
              </w:rPr>
            </w:pPr>
            <w:r w:rsidRPr="00F876AC">
              <w:rPr>
                <w:color w:val="000000"/>
              </w:rPr>
              <w:t>2.8 ± 0.5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37E827E3" w14:textId="77777777" w:rsidR="00F876AC" w:rsidRPr="00F876AC" w:rsidRDefault="00F876AC" w:rsidP="00933D12">
            <w:pPr>
              <w:jc w:val="center"/>
              <w:rPr>
                <w:color w:val="000000"/>
              </w:rPr>
            </w:pPr>
            <w:r w:rsidRPr="00F876AC">
              <w:rPr>
                <w:color w:val="000000"/>
              </w:rPr>
              <w:t>3.8 ± 0.7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14:paraId="604EFD17" w14:textId="77777777" w:rsidR="00F876AC" w:rsidRPr="00F876AC" w:rsidRDefault="00F876AC" w:rsidP="00933D12">
            <w:pPr>
              <w:jc w:val="center"/>
              <w:rPr>
                <w:color w:val="000000"/>
              </w:rPr>
            </w:pPr>
            <w:r w:rsidRPr="00F876AC">
              <w:rPr>
                <w:color w:val="000000"/>
              </w:rPr>
              <w:t>4.0 ± 1.0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51505317" w14:textId="77777777" w:rsidR="00F876AC" w:rsidRPr="00A468AF" w:rsidRDefault="00F876AC" w:rsidP="00933D12">
            <w:pPr>
              <w:jc w:val="center"/>
              <w:rPr>
                <w:color w:val="000000"/>
              </w:rPr>
            </w:pPr>
            <w:r w:rsidRPr="00F876AC">
              <w:rPr>
                <w:color w:val="000000"/>
              </w:rPr>
              <w:t>3.8 ± 1.7</w:t>
            </w:r>
          </w:p>
        </w:tc>
      </w:tr>
      <w:tr w:rsidR="00F876AC" w:rsidRPr="00F876AC" w14:paraId="06521C0B" w14:textId="77777777" w:rsidTr="00F876AC">
        <w:trPr>
          <w:trHeight w:val="35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AF5BC" w14:textId="077AAB69" w:rsidR="00F876AC" w:rsidRPr="00F876AC" w:rsidRDefault="00F876AC" w:rsidP="00F876AC">
            <w:pPr>
              <w:rPr>
                <w:b/>
                <w:color w:val="000000"/>
              </w:rPr>
            </w:pPr>
            <w:r w:rsidRPr="00F876AC">
              <w:rPr>
                <w:b/>
              </w:rPr>
              <w:t xml:space="preserve">Sample Month </w:t>
            </w:r>
            <w:r>
              <w:rPr>
                <w:b/>
              </w:rPr>
              <w:t xml:space="preserve">Statistics </w:t>
            </w:r>
            <w:r w:rsidRPr="00F876AC">
              <w:rPr>
                <w:b/>
              </w:rPr>
              <w:t xml:space="preserve">(November 2017) </w:t>
            </w:r>
          </w:p>
        </w:tc>
      </w:tr>
      <w:tr w:rsidR="00F876AC" w:rsidRPr="00A468AF" w14:paraId="11FEF1B2" w14:textId="77777777" w:rsidTr="00F876AC">
        <w:trPr>
          <w:trHeight w:val="351"/>
          <w:jc w:val="center"/>
        </w:trPr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0D158B34" w14:textId="63B6205C" w:rsidR="00F876AC" w:rsidRDefault="00F876AC" w:rsidP="00F876AC">
            <w:r w:rsidRPr="0067337D">
              <w:t xml:space="preserve">Mean </w:t>
            </w:r>
            <w:r>
              <w:t>Water</w:t>
            </w:r>
            <w:r w:rsidRPr="0067337D">
              <w:t xml:space="preserve"> </w:t>
            </w:r>
            <w:r>
              <w:t>Level</w:t>
            </w:r>
            <w:r w:rsidRPr="0067337D">
              <w:t xml:space="preserve"> </w:t>
            </w:r>
          </w:p>
          <w:p w14:paraId="5FA64EA9" w14:textId="498EF9E4" w:rsidR="00F876AC" w:rsidRPr="0067337D" w:rsidRDefault="00F876AC" w:rsidP="00F876AC">
            <w:r w:rsidRPr="0067337D">
              <w:t>(cm)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</w:tcBorders>
            <w:vAlign w:val="center"/>
          </w:tcPr>
          <w:p w14:paraId="3AFB6AB9" w14:textId="457AAA4B" w:rsidR="00F876AC" w:rsidRPr="00F876AC" w:rsidRDefault="00F876AC" w:rsidP="00933D12">
            <w:pPr>
              <w:jc w:val="center"/>
            </w:pPr>
            <w:r w:rsidRPr="00F876AC">
              <w:t>--</w:t>
            </w:r>
          </w:p>
        </w:tc>
        <w:tc>
          <w:tcPr>
            <w:tcW w:w="688" w:type="pct"/>
            <w:tcBorders>
              <w:top w:val="single" w:sz="4" w:space="0" w:color="auto"/>
            </w:tcBorders>
            <w:vAlign w:val="center"/>
          </w:tcPr>
          <w:p w14:paraId="5A39FC78" w14:textId="77777777" w:rsidR="00F876AC" w:rsidRPr="00A468AF" w:rsidRDefault="00F876AC" w:rsidP="00933D12">
            <w:pPr>
              <w:jc w:val="center"/>
            </w:pPr>
            <w:r w:rsidRPr="00A468AF">
              <w:t>-1</w:t>
            </w:r>
            <w:r>
              <w:t>8.8</w:t>
            </w:r>
            <w:r w:rsidRPr="00A468AF">
              <w:t xml:space="preserve"> </w:t>
            </w:r>
            <w:r w:rsidRPr="00A468AF">
              <w:rPr>
                <w:color w:val="000000"/>
              </w:rPr>
              <w:t xml:space="preserve">± </w:t>
            </w:r>
            <w:r>
              <w:rPr>
                <w:color w:val="000000"/>
              </w:rPr>
              <w:t>3</w:t>
            </w:r>
            <w:r w:rsidRPr="00A468AF">
              <w:rPr>
                <w:color w:val="000000"/>
              </w:rPr>
              <w:t>.4</w:t>
            </w:r>
          </w:p>
        </w:tc>
        <w:tc>
          <w:tcPr>
            <w:tcW w:w="526" w:type="pct"/>
            <w:tcBorders>
              <w:top w:val="single" w:sz="4" w:space="0" w:color="auto"/>
            </w:tcBorders>
            <w:vAlign w:val="center"/>
          </w:tcPr>
          <w:p w14:paraId="7D976972" w14:textId="77777777" w:rsidR="00F876AC" w:rsidRPr="00A468AF" w:rsidRDefault="00F876AC" w:rsidP="00933D12">
            <w:pPr>
              <w:jc w:val="center"/>
            </w:pPr>
            <w:r w:rsidRPr="00A468AF">
              <w:t xml:space="preserve">-32.6 </w:t>
            </w:r>
            <w:r w:rsidRPr="00A468AF">
              <w:rPr>
                <w:color w:val="000000"/>
              </w:rPr>
              <w:t>± 5.4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34B54329" w14:textId="77777777" w:rsidR="00F876AC" w:rsidRPr="00A468AF" w:rsidRDefault="00F876AC" w:rsidP="00933D12">
            <w:pPr>
              <w:jc w:val="center"/>
            </w:pPr>
            <w:r w:rsidRPr="00A468AF">
              <w:t xml:space="preserve">-54.4 </w:t>
            </w:r>
            <w:r w:rsidRPr="00A468AF">
              <w:rPr>
                <w:color w:val="000000"/>
              </w:rPr>
              <w:t>± 9.3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14:paraId="28DE4267" w14:textId="77777777" w:rsidR="00F876AC" w:rsidRPr="00A468AF" w:rsidRDefault="00F876AC" w:rsidP="00933D12">
            <w:pPr>
              <w:jc w:val="center"/>
            </w:pPr>
            <w:r w:rsidRPr="00A468AF">
              <w:t xml:space="preserve">-75.2 </w:t>
            </w:r>
            <w:r w:rsidRPr="00A468AF">
              <w:rPr>
                <w:color w:val="000000"/>
              </w:rPr>
              <w:t>± 11.0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14:paraId="71A64055" w14:textId="77777777" w:rsidR="00F876AC" w:rsidRPr="00A468AF" w:rsidRDefault="00F876AC" w:rsidP="00933D12">
            <w:pPr>
              <w:jc w:val="center"/>
            </w:pPr>
            <w:r w:rsidRPr="00A468AF">
              <w:t xml:space="preserve">-98.0 </w:t>
            </w:r>
            <w:r w:rsidRPr="00A468AF">
              <w:rPr>
                <w:color w:val="000000"/>
              </w:rPr>
              <w:t>± 9.9</w:t>
            </w:r>
          </w:p>
        </w:tc>
      </w:tr>
      <w:tr w:rsidR="00F876AC" w:rsidRPr="005A455B" w14:paraId="4D9A57EB" w14:textId="77777777" w:rsidTr="00F876AC">
        <w:trPr>
          <w:trHeight w:val="351"/>
          <w:jc w:val="center"/>
        </w:trPr>
        <w:tc>
          <w:tcPr>
            <w:tcW w:w="673" w:type="pct"/>
            <w:vAlign w:val="center"/>
          </w:tcPr>
          <w:p w14:paraId="57D2B5A2" w14:textId="77777777" w:rsidR="00F876AC" w:rsidRDefault="00F876AC" w:rsidP="00933D12">
            <w:pPr>
              <w:ind w:left="167" w:hanging="167"/>
            </w:pPr>
            <w:r w:rsidRPr="0067337D">
              <w:t xml:space="preserve">Duration </w:t>
            </w:r>
          </w:p>
          <w:p w14:paraId="7C8AF408" w14:textId="4D4B2B8E" w:rsidR="00F876AC" w:rsidRPr="0067337D" w:rsidRDefault="00F876AC" w:rsidP="00933D12">
            <w:pPr>
              <w:ind w:left="167" w:hanging="167"/>
            </w:pPr>
            <w:r w:rsidRPr="0067337D">
              <w:t>(days)</w:t>
            </w:r>
          </w:p>
        </w:tc>
        <w:tc>
          <w:tcPr>
            <w:tcW w:w="1126" w:type="pct"/>
            <w:gridSpan w:val="3"/>
            <w:vAlign w:val="center"/>
          </w:tcPr>
          <w:p w14:paraId="7326603A" w14:textId="79C10A83" w:rsidR="00F876AC" w:rsidRPr="00F876AC" w:rsidRDefault="00F876AC" w:rsidP="00933D12">
            <w:pPr>
              <w:jc w:val="center"/>
            </w:pPr>
            <w:r w:rsidRPr="00F876AC">
              <w:t>--</w:t>
            </w:r>
          </w:p>
        </w:tc>
        <w:tc>
          <w:tcPr>
            <w:tcW w:w="688" w:type="pct"/>
            <w:vAlign w:val="center"/>
          </w:tcPr>
          <w:p w14:paraId="22468FC7" w14:textId="77777777" w:rsidR="00F876AC" w:rsidRPr="005A455B" w:rsidRDefault="00F876AC" w:rsidP="00933D12">
            <w:pPr>
              <w:jc w:val="center"/>
              <w:rPr>
                <w:b/>
              </w:rPr>
            </w:pPr>
            <w:r w:rsidRPr="00A468AF">
              <w:t xml:space="preserve">27 </w:t>
            </w:r>
            <w:r w:rsidRPr="00A468AF">
              <w:rPr>
                <w:color w:val="000000"/>
              </w:rPr>
              <w:t>± 2</w:t>
            </w:r>
          </w:p>
        </w:tc>
        <w:tc>
          <w:tcPr>
            <w:tcW w:w="526" w:type="pct"/>
            <w:vAlign w:val="center"/>
          </w:tcPr>
          <w:p w14:paraId="08067EC4" w14:textId="77777777" w:rsidR="00F876AC" w:rsidRPr="005A455B" w:rsidRDefault="00F876AC" w:rsidP="00933D12">
            <w:pPr>
              <w:jc w:val="center"/>
              <w:rPr>
                <w:b/>
              </w:rPr>
            </w:pPr>
            <w:r w:rsidRPr="00A468AF">
              <w:t xml:space="preserve">11 </w:t>
            </w:r>
            <w:r w:rsidRPr="00A468AF">
              <w:rPr>
                <w:color w:val="000000"/>
              </w:rPr>
              <w:t>± 7</w:t>
            </w:r>
          </w:p>
        </w:tc>
        <w:tc>
          <w:tcPr>
            <w:tcW w:w="661" w:type="pct"/>
            <w:vAlign w:val="center"/>
          </w:tcPr>
          <w:p w14:paraId="7C39E4E4" w14:textId="77777777" w:rsidR="00F876AC" w:rsidRPr="005A455B" w:rsidRDefault="00F876AC" w:rsidP="00933D12">
            <w:pPr>
              <w:jc w:val="center"/>
              <w:rPr>
                <w:b/>
              </w:rPr>
            </w:pPr>
            <w:r w:rsidRPr="00A468AF">
              <w:t xml:space="preserve">3 </w:t>
            </w:r>
            <w:r w:rsidRPr="00A468AF">
              <w:rPr>
                <w:color w:val="000000"/>
              </w:rPr>
              <w:t>± 3</w:t>
            </w:r>
          </w:p>
        </w:tc>
        <w:tc>
          <w:tcPr>
            <w:tcW w:w="675" w:type="pct"/>
            <w:vAlign w:val="center"/>
          </w:tcPr>
          <w:p w14:paraId="540EE7CD" w14:textId="77777777" w:rsidR="00F876AC" w:rsidRPr="005A455B" w:rsidRDefault="00F876AC" w:rsidP="00933D12">
            <w:pPr>
              <w:jc w:val="center"/>
              <w:rPr>
                <w:b/>
              </w:rPr>
            </w:pPr>
            <w:r w:rsidRPr="00A468AF">
              <w:t xml:space="preserve">0 </w:t>
            </w:r>
            <w:r w:rsidRPr="00A468AF">
              <w:rPr>
                <w:color w:val="000000"/>
              </w:rPr>
              <w:t>± 0</w:t>
            </w:r>
          </w:p>
        </w:tc>
        <w:tc>
          <w:tcPr>
            <w:tcW w:w="651" w:type="pct"/>
            <w:vAlign w:val="center"/>
          </w:tcPr>
          <w:p w14:paraId="5ADF8FBE" w14:textId="77777777" w:rsidR="00F876AC" w:rsidRPr="005A455B" w:rsidRDefault="00F876AC" w:rsidP="00933D12">
            <w:pPr>
              <w:jc w:val="center"/>
              <w:rPr>
                <w:b/>
              </w:rPr>
            </w:pPr>
            <w:r w:rsidRPr="00A468AF">
              <w:t xml:space="preserve">0 </w:t>
            </w:r>
            <w:r w:rsidRPr="00A468AF">
              <w:rPr>
                <w:color w:val="000000"/>
              </w:rPr>
              <w:t>± 0</w:t>
            </w:r>
          </w:p>
        </w:tc>
      </w:tr>
      <w:tr w:rsidR="00F876AC" w:rsidRPr="005A455B" w14:paraId="0918282A" w14:textId="77777777" w:rsidTr="00F876AC">
        <w:trPr>
          <w:trHeight w:val="351"/>
          <w:jc w:val="center"/>
        </w:trPr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14:paraId="73F65C98" w14:textId="77777777" w:rsidR="00F876AC" w:rsidRDefault="00F876AC" w:rsidP="00933D12">
            <w:pPr>
              <w:ind w:left="167" w:hanging="167"/>
            </w:pPr>
            <w:r>
              <w:t xml:space="preserve">Frequency </w:t>
            </w:r>
          </w:p>
          <w:p w14:paraId="352BC1CA" w14:textId="0C856167" w:rsidR="00F876AC" w:rsidRPr="0067337D" w:rsidRDefault="00F876AC" w:rsidP="00933D12">
            <w:pPr>
              <w:ind w:left="167" w:hanging="167"/>
            </w:pPr>
            <w:r>
              <w:t>(# of events)</w:t>
            </w:r>
          </w:p>
        </w:tc>
        <w:tc>
          <w:tcPr>
            <w:tcW w:w="1126" w:type="pct"/>
            <w:gridSpan w:val="3"/>
            <w:tcBorders>
              <w:bottom w:val="single" w:sz="4" w:space="0" w:color="auto"/>
            </w:tcBorders>
            <w:vAlign w:val="center"/>
          </w:tcPr>
          <w:p w14:paraId="6CC3C1C8" w14:textId="622365CD" w:rsidR="00F876AC" w:rsidRPr="00F876AC" w:rsidRDefault="00F876AC" w:rsidP="00933D12">
            <w:pPr>
              <w:jc w:val="center"/>
            </w:pPr>
            <w:r w:rsidRPr="00F876AC">
              <w:t>--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14:paraId="2CEE030E" w14:textId="77777777" w:rsidR="00F876AC" w:rsidRPr="00A468AF" w:rsidRDefault="00F876AC" w:rsidP="00933D12">
            <w:pPr>
              <w:jc w:val="center"/>
            </w:pPr>
            <w:r>
              <w:t xml:space="preserve">1.0 </w:t>
            </w:r>
            <w:r w:rsidRPr="00A468AF">
              <w:rPr>
                <w:color w:val="000000"/>
              </w:rPr>
              <w:t>±</w:t>
            </w:r>
            <w:r>
              <w:rPr>
                <w:color w:val="000000"/>
              </w:rPr>
              <w:t xml:space="preserve"> 0.0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41F7EB0E" w14:textId="77777777" w:rsidR="00F876AC" w:rsidRPr="00A468AF" w:rsidRDefault="00F876AC" w:rsidP="00933D12">
            <w:pPr>
              <w:jc w:val="center"/>
            </w:pPr>
            <w:r>
              <w:t xml:space="preserve">0.6 </w:t>
            </w:r>
            <w:r w:rsidRPr="00A468AF">
              <w:rPr>
                <w:color w:val="000000"/>
              </w:rPr>
              <w:t>±</w:t>
            </w:r>
            <w:r>
              <w:rPr>
                <w:color w:val="000000"/>
              </w:rPr>
              <w:t xml:space="preserve"> 0.2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F01500D" w14:textId="77777777" w:rsidR="00F876AC" w:rsidRPr="00A468AF" w:rsidRDefault="00F876AC" w:rsidP="00933D12">
            <w:pPr>
              <w:jc w:val="center"/>
            </w:pPr>
            <w:r>
              <w:t xml:space="preserve">0.2 </w:t>
            </w:r>
            <w:r w:rsidRPr="00A468AF">
              <w:rPr>
                <w:color w:val="000000"/>
              </w:rPr>
              <w:t>±</w:t>
            </w:r>
            <w:r>
              <w:rPr>
                <w:color w:val="000000"/>
              </w:rPr>
              <w:t xml:space="preserve"> 0.2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14:paraId="5068E601" w14:textId="77777777" w:rsidR="00F876AC" w:rsidRPr="00A468AF" w:rsidRDefault="00F876AC" w:rsidP="00933D12">
            <w:pPr>
              <w:jc w:val="center"/>
            </w:pPr>
            <w:r>
              <w:t xml:space="preserve">0.0 </w:t>
            </w:r>
            <w:r w:rsidRPr="00A468AF">
              <w:rPr>
                <w:color w:val="000000"/>
              </w:rPr>
              <w:t>±</w:t>
            </w:r>
            <w:r>
              <w:rPr>
                <w:color w:val="000000"/>
              </w:rPr>
              <w:t xml:space="preserve"> 0.0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634C81B0" w14:textId="77777777" w:rsidR="00F876AC" w:rsidRPr="00A468AF" w:rsidRDefault="00F876AC" w:rsidP="00933D12">
            <w:pPr>
              <w:jc w:val="center"/>
            </w:pPr>
            <w:r>
              <w:t xml:space="preserve">0.0 </w:t>
            </w:r>
            <w:r w:rsidRPr="00A468AF">
              <w:rPr>
                <w:color w:val="000000"/>
              </w:rPr>
              <w:t>±</w:t>
            </w:r>
            <w:r>
              <w:rPr>
                <w:color w:val="000000"/>
              </w:rPr>
              <w:t xml:space="preserve"> 0.0</w:t>
            </w:r>
          </w:p>
        </w:tc>
      </w:tr>
    </w:tbl>
    <w:p w14:paraId="0E88EBEE" w14:textId="77777777" w:rsidR="00F876AC" w:rsidRDefault="00F876AC">
      <w:pPr>
        <w:rPr>
          <w:rFonts w:ascii="Helvetica" w:hAnsi="Helvetica" w:cs="Helvetica"/>
          <w:noProof/>
        </w:rPr>
      </w:pPr>
    </w:p>
    <w:p w14:paraId="7D872D5B" w14:textId="77777777" w:rsidR="00F876AC" w:rsidRDefault="00F876AC">
      <w:pPr>
        <w:sectPr w:rsidR="00F876AC" w:rsidSect="00F876A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14:paraId="2B4282DB" w14:textId="38D5CF87" w:rsidR="00F876AC" w:rsidRDefault="00F876AC"/>
    <w:p w14:paraId="5CF9407C" w14:textId="5681576A" w:rsidR="009F392E" w:rsidRDefault="009F392E" w:rsidP="009F392E">
      <w:pPr>
        <w:rPr>
          <w:b/>
        </w:rPr>
      </w:pPr>
    </w:p>
    <w:tbl>
      <w:tblPr>
        <w:tblW w:w="7519" w:type="dxa"/>
        <w:jc w:val="center"/>
        <w:tblLook w:val="04A0" w:firstRow="1" w:lastRow="0" w:firstColumn="1" w:lastColumn="0" w:noHBand="0" w:noVBand="1"/>
      </w:tblPr>
      <w:tblGrid>
        <w:gridCol w:w="3483"/>
        <w:gridCol w:w="1555"/>
        <w:gridCol w:w="2481"/>
      </w:tblGrid>
      <w:tr w:rsidR="009F392E" w:rsidRPr="00680566" w14:paraId="687017A1" w14:textId="77777777" w:rsidTr="009125B4">
        <w:trPr>
          <w:trHeight w:val="300"/>
          <w:jc w:val="center"/>
        </w:trPr>
        <w:tc>
          <w:tcPr>
            <w:tcW w:w="7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BCD4E" w14:textId="0CE7BFD3" w:rsidR="009F392E" w:rsidRPr="00EB6163" w:rsidRDefault="00405420" w:rsidP="009125B4">
            <w:pPr>
              <w:rPr>
                <w:color w:val="000000"/>
              </w:rPr>
            </w:pPr>
            <w:r w:rsidRPr="00F876AC">
              <w:rPr>
                <w:b/>
              </w:rPr>
              <w:t>Supplementa</w:t>
            </w:r>
            <w:r>
              <w:rPr>
                <w:b/>
              </w:rPr>
              <w:t xml:space="preserve">ry </w:t>
            </w:r>
            <w:r w:rsidR="009F392E" w:rsidRPr="00680566">
              <w:rPr>
                <w:b/>
                <w:color w:val="000000"/>
              </w:rPr>
              <w:t xml:space="preserve">Table </w:t>
            </w:r>
            <w:r w:rsidR="00DE4371">
              <w:rPr>
                <w:b/>
                <w:color w:val="000000"/>
              </w:rPr>
              <w:t>2</w:t>
            </w:r>
            <w:r w:rsidR="009F392E" w:rsidRPr="00680566">
              <w:rPr>
                <w:b/>
                <w:color w:val="000000"/>
              </w:rPr>
              <w:t xml:space="preserve">: </w:t>
            </w:r>
            <w:r w:rsidR="00B10A4F" w:rsidRPr="00680566">
              <w:rPr>
                <w:color w:val="000000"/>
              </w:rPr>
              <w:t xml:space="preserve">Rank abundance of the </w:t>
            </w:r>
            <w:r w:rsidR="00B10A4F">
              <w:rPr>
                <w:color w:val="000000"/>
              </w:rPr>
              <w:t>8,113</w:t>
            </w:r>
            <w:r w:rsidR="00B10A4F" w:rsidRPr="00680566">
              <w:rPr>
                <w:color w:val="000000"/>
              </w:rPr>
              <w:t xml:space="preserve"> amplicon sequence variants (ASVs)</w:t>
            </w:r>
            <w:r w:rsidR="00B10A4F">
              <w:rPr>
                <w:color w:val="000000"/>
              </w:rPr>
              <w:t>, also commonly referred to as</w:t>
            </w:r>
            <w:r w:rsidR="00B10A4F" w:rsidRPr="00680566">
              <w:rPr>
                <w:color w:val="000000"/>
              </w:rPr>
              <w:t xml:space="preserve"> operation taxonomic units (OTUs)</w:t>
            </w:r>
            <w:r w:rsidR="00B10A4F">
              <w:rPr>
                <w:color w:val="000000"/>
              </w:rPr>
              <w:t>, classified</w:t>
            </w:r>
            <w:r w:rsidR="00B10A4F" w:rsidRPr="00680566">
              <w:rPr>
                <w:color w:val="000000"/>
              </w:rPr>
              <w:t xml:space="preserve"> by phyla. The </w:t>
            </w:r>
            <w:r w:rsidR="00B10A4F">
              <w:rPr>
                <w:color w:val="000000"/>
              </w:rPr>
              <w:t>five</w:t>
            </w:r>
            <w:r w:rsidR="00B10A4F" w:rsidRPr="00680566">
              <w:rPr>
                <w:color w:val="000000"/>
              </w:rPr>
              <w:t xml:space="preserve"> </w:t>
            </w:r>
            <w:r w:rsidR="00B10A4F" w:rsidRPr="00680566">
              <w:rPr>
                <w:i/>
                <w:color w:val="000000"/>
              </w:rPr>
              <w:t>Archaea</w:t>
            </w:r>
            <w:r w:rsidR="00B10A4F" w:rsidRPr="00680566">
              <w:rPr>
                <w:color w:val="000000"/>
              </w:rPr>
              <w:t xml:space="preserve"> phyla are </w:t>
            </w:r>
            <w:r w:rsidR="00B10A4F">
              <w:rPr>
                <w:color w:val="000000"/>
              </w:rPr>
              <w:t>italicized and shaded</w:t>
            </w:r>
            <w:r w:rsidR="00B10A4F" w:rsidRPr="00680566">
              <w:rPr>
                <w:color w:val="000000"/>
              </w:rPr>
              <w:t>.</w:t>
            </w:r>
            <w:r w:rsidR="00B10A4F" w:rsidRPr="00680566">
              <w:rPr>
                <w:b/>
                <w:color w:val="000000"/>
              </w:rPr>
              <w:t xml:space="preserve"> </w:t>
            </w:r>
            <w:r w:rsidR="00B10A4F">
              <w:rPr>
                <w:b/>
                <w:color w:val="000000"/>
              </w:rPr>
              <w:t xml:space="preserve"> </w:t>
            </w:r>
            <w:r w:rsidR="00B10A4F">
              <w:rPr>
                <w:color w:val="000000"/>
              </w:rPr>
              <w:t>The two horizontal lines demark the boundary between dominant (</w:t>
            </w:r>
            <w:r w:rsidR="00B10A4F" w:rsidRPr="00EB6163">
              <w:rPr>
                <w:color w:val="000000"/>
                <w:u w:val="single"/>
              </w:rPr>
              <w:t>&gt;</w:t>
            </w:r>
            <w:r w:rsidR="00B10A4F">
              <w:rPr>
                <w:color w:val="000000"/>
              </w:rPr>
              <w:t>10%), common (</w:t>
            </w:r>
            <w:r w:rsidR="00B10A4F" w:rsidRPr="00EB6163">
              <w:rPr>
                <w:color w:val="000000"/>
                <w:u w:val="single"/>
              </w:rPr>
              <w:t>&gt;</w:t>
            </w:r>
            <w:r w:rsidR="00B10A4F">
              <w:rPr>
                <w:color w:val="000000"/>
              </w:rPr>
              <w:t>1 to &lt;10%) and rare (&lt;1%) phylotypes.</w:t>
            </w:r>
          </w:p>
        </w:tc>
      </w:tr>
      <w:tr w:rsidR="009F392E" w:rsidRPr="00680566" w14:paraId="3AB3AD2C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763B7" w14:textId="77777777" w:rsidR="009F392E" w:rsidRPr="00680566" w:rsidRDefault="009F392E" w:rsidP="009125B4">
            <w:pPr>
              <w:rPr>
                <w:color w:val="000000"/>
              </w:rPr>
            </w:pPr>
            <w:r w:rsidRPr="00680566">
              <w:rPr>
                <w:color w:val="000000"/>
              </w:rPr>
              <w:t>Phylum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9305B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Taxa Count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0FAD6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Relative Percent (%)</w:t>
            </w:r>
          </w:p>
        </w:tc>
      </w:tr>
      <w:tr w:rsidR="009F392E" w:rsidRPr="00680566" w14:paraId="27E0CA89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4B20" w14:textId="77777777" w:rsidR="009F392E" w:rsidRPr="00680566" w:rsidRDefault="009F392E" w:rsidP="009125B4">
            <w:pPr>
              <w:rPr>
                <w:color w:val="000000"/>
              </w:rPr>
            </w:pPr>
            <w:r w:rsidRPr="00680566">
              <w:rPr>
                <w:color w:val="000000"/>
              </w:rPr>
              <w:t>Acidobacteria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D1CF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1305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BB1B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17.55</w:t>
            </w:r>
          </w:p>
        </w:tc>
      </w:tr>
      <w:tr w:rsidR="009F392E" w:rsidRPr="00680566" w14:paraId="1D64E127" w14:textId="77777777" w:rsidTr="009125B4">
        <w:trPr>
          <w:trHeight w:val="300"/>
          <w:jc w:val="center"/>
        </w:trPr>
        <w:tc>
          <w:tcPr>
            <w:tcW w:w="34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A76F" w14:textId="77777777" w:rsidR="009F392E" w:rsidRPr="00680566" w:rsidRDefault="009F392E" w:rsidP="009125B4">
            <w:pPr>
              <w:rPr>
                <w:color w:val="000000"/>
              </w:rPr>
            </w:pPr>
            <w:r w:rsidRPr="00680566">
              <w:rPr>
                <w:color w:val="000000"/>
              </w:rPr>
              <w:t>Chloroflexi</w:t>
            </w: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39F8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1301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C79F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17.49</w:t>
            </w:r>
          </w:p>
        </w:tc>
      </w:tr>
      <w:tr w:rsidR="009F392E" w:rsidRPr="00680566" w14:paraId="7561E7ED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4619" w14:textId="77777777" w:rsidR="009F392E" w:rsidRPr="00680566" w:rsidRDefault="009F392E" w:rsidP="009125B4">
            <w:pPr>
              <w:rPr>
                <w:color w:val="000000"/>
              </w:rPr>
            </w:pPr>
            <w:r w:rsidRPr="00680566">
              <w:rPr>
                <w:color w:val="000000"/>
              </w:rPr>
              <w:t>Proteobacteria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F803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1217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5724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16.36</w:t>
            </w:r>
          </w:p>
        </w:tc>
      </w:tr>
      <w:tr w:rsidR="009F392E" w:rsidRPr="00680566" w14:paraId="54888072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0B65DC" w14:textId="77777777" w:rsidR="009F392E" w:rsidRPr="00680566" w:rsidRDefault="009F392E" w:rsidP="009125B4">
            <w:pPr>
              <w:rPr>
                <w:color w:val="000000"/>
              </w:rPr>
            </w:pPr>
            <w:r w:rsidRPr="00680566">
              <w:rPr>
                <w:color w:val="000000"/>
              </w:rPr>
              <w:t>Planctomycetes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4F7F03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993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C88AFB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13.35</w:t>
            </w:r>
          </w:p>
        </w:tc>
      </w:tr>
      <w:tr w:rsidR="009F392E" w:rsidRPr="00680566" w14:paraId="4F16B591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7746" w14:textId="77777777" w:rsidR="009F392E" w:rsidRPr="00680566" w:rsidRDefault="009F392E" w:rsidP="009125B4">
            <w:pPr>
              <w:rPr>
                <w:color w:val="000000"/>
              </w:rPr>
            </w:pPr>
            <w:proofErr w:type="spellStart"/>
            <w:r w:rsidRPr="00680566">
              <w:rPr>
                <w:color w:val="000000"/>
              </w:rPr>
              <w:t>Verrucomicrobia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7473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576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2635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7.75</w:t>
            </w:r>
          </w:p>
        </w:tc>
      </w:tr>
      <w:tr w:rsidR="009F392E" w:rsidRPr="00680566" w14:paraId="0F1FA383" w14:textId="77777777" w:rsidTr="009125B4">
        <w:trPr>
          <w:trHeight w:val="300"/>
          <w:jc w:val="center"/>
        </w:trPr>
        <w:tc>
          <w:tcPr>
            <w:tcW w:w="34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4E3F" w14:textId="77777777" w:rsidR="009F392E" w:rsidRPr="00680566" w:rsidRDefault="009F392E" w:rsidP="009125B4">
            <w:pPr>
              <w:rPr>
                <w:color w:val="000000"/>
              </w:rPr>
            </w:pPr>
            <w:r w:rsidRPr="00680566">
              <w:rPr>
                <w:color w:val="000000"/>
              </w:rPr>
              <w:t>Actinobacteria</w:t>
            </w: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A72B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341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061F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4.59</w:t>
            </w:r>
          </w:p>
        </w:tc>
      </w:tr>
      <w:tr w:rsidR="009F392E" w:rsidRPr="00680566" w14:paraId="07AA67B2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D0A0AC" w14:textId="2F7428BE" w:rsidR="009F392E" w:rsidRPr="00680566" w:rsidRDefault="009F392E" w:rsidP="009125B4">
            <w:pPr>
              <w:rPr>
                <w:i/>
                <w:color w:val="000000"/>
              </w:rPr>
            </w:pPr>
            <w:r w:rsidRPr="00680566">
              <w:rPr>
                <w:i/>
                <w:color w:val="000000"/>
              </w:rPr>
              <w:t>Thaumarchaeota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B0B649" w14:textId="77777777" w:rsidR="009F392E" w:rsidRPr="00680566" w:rsidRDefault="009F392E" w:rsidP="009125B4">
            <w:pPr>
              <w:jc w:val="center"/>
              <w:rPr>
                <w:i/>
                <w:color w:val="000000"/>
              </w:rPr>
            </w:pPr>
            <w:r w:rsidRPr="00680566">
              <w:rPr>
                <w:i/>
                <w:color w:val="000000"/>
              </w:rPr>
              <w:t>214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4DD328" w14:textId="77777777" w:rsidR="009F392E" w:rsidRPr="00680566" w:rsidRDefault="009F392E" w:rsidP="009125B4">
            <w:pPr>
              <w:jc w:val="center"/>
              <w:rPr>
                <w:i/>
                <w:color w:val="000000"/>
              </w:rPr>
            </w:pPr>
            <w:r w:rsidRPr="00680566">
              <w:rPr>
                <w:i/>
                <w:color w:val="000000"/>
              </w:rPr>
              <w:t>2.88</w:t>
            </w:r>
          </w:p>
        </w:tc>
      </w:tr>
      <w:tr w:rsidR="009F392E" w:rsidRPr="00680566" w14:paraId="509BABA7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DA0D" w14:textId="77777777" w:rsidR="009F392E" w:rsidRPr="00680566" w:rsidRDefault="009F392E" w:rsidP="009125B4">
            <w:pPr>
              <w:rPr>
                <w:color w:val="000000"/>
              </w:rPr>
            </w:pPr>
            <w:proofErr w:type="spellStart"/>
            <w:r w:rsidRPr="00680566">
              <w:rPr>
                <w:color w:val="000000"/>
              </w:rPr>
              <w:t>Patescibacteria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FC03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191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F063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2.57</w:t>
            </w:r>
          </w:p>
        </w:tc>
      </w:tr>
      <w:tr w:rsidR="009F392E" w:rsidRPr="00680566" w14:paraId="521B3EED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0D84" w14:textId="77777777" w:rsidR="009F392E" w:rsidRPr="00680566" w:rsidRDefault="009F392E" w:rsidP="009125B4">
            <w:pPr>
              <w:rPr>
                <w:color w:val="000000"/>
              </w:rPr>
            </w:pPr>
            <w:r w:rsidRPr="00680566">
              <w:rPr>
                <w:color w:val="000000"/>
              </w:rPr>
              <w:t>Cyanobacteria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77B6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183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7D92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2.46</w:t>
            </w:r>
          </w:p>
        </w:tc>
      </w:tr>
      <w:tr w:rsidR="009F392E" w:rsidRPr="00680566" w14:paraId="71619456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F1B8" w14:textId="77777777" w:rsidR="009F392E" w:rsidRPr="00680566" w:rsidRDefault="009F392E" w:rsidP="009125B4">
            <w:pPr>
              <w:rPr>
                <w:color w:val="000000"/>
              </w:rPr>
            </w:pPr>
            <w:proofErr w:type="spellStart"/>
            <w:r w:rsidRPr="00680566">
              <w:rPr>
                <w:color w:val="000000"/>
              </w:rPr>
              <w:t>Chlamydiae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2811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137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D057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1.84</w:t>
            </w:r>
          </w:p>
        </w:tc>
      </w:tr>
      <w:tr w:rsidR="009F392E" w:rsidRPr="00680566" w14:paraId="0FEBEE03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AC51" w14:textId="77777777" w:rsidR="009F392E" w:rsidRPr="00680566" w:rsidRDefault="009F392E" w:rsidP="009125B4">
            <w:pPr>
              <w:rPr>
                <w:color w:val="000000"/>
              </w:rPr>
            </w:pPr>
            <w:r w:rsidRPr="00680566">
              <w:rPr>
                <w:color w:val="000000"/>
              </w:rPr>
              <w:t>Bacteroidetes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69AE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130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1247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1.75</w:t>
            </w:r>
          </w:p>
        </w:tc>
      </w:tr>
      <w:tr w:rsidR="009F392E" w:rsidRPr="00680566" w14:paraId="3178FFC3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8FC0" w14:textId="77777777" w:rsidR="009F392E" w:rsidRPr="00680566" w:rsidRDefault="009F392E" w:rsidP="009125B4">
            <w:pPr>
              <w:rPr>
                <w:color w:val="000000"/>
              </w:rPr>
            </w:pPr>
            <w:r w:rsidRPr="00680566">
              <w:rPr>
                <w:color w:val="000000"/>
              </w:rPr>
              <w:t>WPS-2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AE77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119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CC6C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1.60</w:t>
            </w:r>
          </w:p>
        </w:tc>
      </w:tr>
      <w:tr w:rsidR="009F392E" w:rsidRPr="00680566" w14:paraId="51234273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9BFB" w14:textId="77777777" w:rsidR="009F392E" w:rsidRPr="00680566" w:rsidRDefault="009F392E" w:rsidP="009125B4">
            <w:pPr>
              <w:rPr>
                <w:color w:val="000000"/>
              </w:rPr>
            </w:pPr>
            <w:proofErr w:type="spellStart"/>
            <w:r w:rsidRPr="00680566">
              <w:rPr>
                <w:color w:val="000000"/>
              </w:rPr>
              <w:t>Nitrospirae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B23E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91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C7FE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1.22</w:t>
            </w:r>
          </w:p>
        </w:tc>
      </w:tr>
      <w:tr w:rsidR="009F392E" w:rsidRPr="00680566" w14:paraId="11B36643" w14:textId="77777777" w:rsidTr="009125B4">
        <w:trPr>
          <w:trHeight w:val="300"/>
          <w:jc w:val="center"/>
        </w:trPr>
        <w:tc>
          <w:tcPr>
            <w:tcW w:w="34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1443" w14:textId="77777777" w:rsidR="009F392E" w:rsidRPr="00680566" w:rsidRDefault="009F392E" w:rsidP="009125B4">
            <w:pPr>
              <w:rPr>
                <w:color w:val="000000"/>
              </w:rPr>
            </w:pPr>
            <w:r w:rsidRPr="00680566">
              <w:rPr>
                <w:color w:val="000000"/>
              </w:rPr>
              <w:t>Firmicutes</w:t>
            </w: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2A0D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75</w:t>
            </w:r>
          </w:p>
        </w:tc>
        <w:tc>
          <w:tcPr>
            <w:tcW w:w="24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1B26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1.01</w:t>
            </w:r>
          </w:p>
        </w:tc>
      </w:tr>
      <w:tr w:rsidR="009F392E" w:rsidRPr="00680566" w14:paraId="5FBC1899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66C992" w14:textId="164BC8E2" w:rsidR="009F392E" w:rsidRPr="00680566" w:rsidRDefault="009F392E" w:rsidP="009125B4">
            <w:pPr>
              <w:rPr>
                <w:i/>
                <w:color w:val="000000"/>
              </w:rPr>
            </w:pPr>
            <w:r w:rsidRPr="00680566">
              <w:rPr>
                <w:i/>
                <w:color w:val="000000"/>
              </w:rPr>
              <w:t>Euryarchaeota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4FA67A" w14:textId="77777777" w:rsidR="009F392E" w:rsidRPr="00680566" w:rsidRDefault="009F392E" w:rsidP="009125B4">
            <w:pPr>
              <w:jc w:val="center"/>
              <w:rPr>
                <w:i/>
                <w:color w:val="000000"/>
              </w:rPr>
            </w:pPr>
            <w:r w:rsidRPr="00680566">
              <w:rPr>
                <w:i/>
                <w:color w:val="000000"/>
              </w:rPr>
              <w:t>74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B27841" w14:textId="77777777" w:rsidR="009F392E" w:rsidRPr="00680566" w:rsidRDefault="009F392E" w:rsidP="009125B4">
            <w:pPr>
              <w:jc w:val="center"/>
              <w:rPr>
                <w:i/>
                <w:color w:val="000000"/>
              </w:rPr>
            </w:pPr>
            <w:r w:rsidRPr="00680566">
              <w:rPr>
                <w:i/>
                <w:color w:val="000000"/>
              </w:rPr>
              <w:t>1.00</w:t>
            </w:r>
          </w:p>
        </w:tc>
      </w:tr>
      <w:tr w:rsidR="009F392E" w:rsidRPr="00680566" w14:paraId="22EE20DC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8E42" w14:textId="77777777" w:rsidR="009F392E" w:rsidRPr="00680566" w:rsidRDefault="009F392E" w:rsidP="009125B4">
            <w:pPr>
              <w:rPr>
                <w:color w:val="000000"/>
              </w:rPr>
            </w:pPr>
            <w:proofErr w:type="spellStart"/>
            <w:r w:rsidRPr="00680566">
              <w:rPr>
                <w:color w:val="000000"/>
              </w:rPr>
              <w:t>Elusimicrobia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4A4D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66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3B05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0.89</w:t>
            </w:r>
          </w:p>
        </w:tc>
      </w:tr>
      <w:tr w:rsidR="009F392E" w:rsidRPr="00680566" w14:paraId="7014B409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5CEF" w14:textId="77777777" w:rsidR="009F392E" w:rsidRPr="00680566" w:rsidRDefault="009F392E" w:rsidP="009125B4">
            <w:pPr>
              <w:rPr>
                <w:color w:val="000000"/>
              </w:rPr>
            </w:pPr>
            <w:proofErr w:type="spellStart"/>
            <w:r w:rsidRPr="00680566">
              <w:rPr>
                <w:color w:val="000000"/>
              </w:rPr>
              <w:t>Gemmatimonadetes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FB76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66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D860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0.89</w:t>
            </w:r>
          </w:p>
        </w:tc>
      </w:tr>
      <w:tr w:rsidR="009F392E" w:rsidRPr="00680566" w14:paraId="42F050AC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C350" w14:textId="77777777" w:rsidR="009F392E" w:rsidRPr="00680566" w:rsidRDefault="009F392E" w:rsidP="009125B4">
            <w:pPr>
              <w:rPr>
                <w:color w:val="000000"/>
              </w:rPr>
            </w:pPr>
            <w:proofErr w:type="spellStart"/>
            <w:r w:rsidRPr="00680566">
              <w:rPr>
                <w:color w:val="000000"/>
              </w:rPr>
              <w:t>Armatimonadetes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D29E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62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C939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0.83</w:t>
            </w:r>
          </w:p>
        </w:tc>
      </w:tr>
      <w:tr w:rsidR="009F392E" w:rsidRPr="00680566" w14:paraId="7FFA7F7C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539C78" w14:textId="746640FE" w:rsidR="009F392E" w:rsidRPr="00680566" w:rsidRDefault="009F392E" w:rsidP="009125B4">
            <w:pPr>
              <w:rPr>
                <w:i/>
                <w:color w:val="000000"/>
              </w:rPr>
            </w:pPr>
            <w:r w:rsidRPr="00680566">
              <w:rPr>
                <w:i/>
                <w:color w:val="000000"/>
              </w:rPr>
              <w:t>Crenarchaeota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A67418" w14:textId="77777777" w:rsidR="009F392E" w:rsidRPr="00680566" w:rsidRDefault="009F392E" w:rsidP="009125B4">
            <w:pPr>
              <w:jc w:val="center"/>
              <w:rPr>
                <w:i/>
                <w:color w:val="000000"/>
              </w:rPr>
            </w:pPr>
            <w:r w:rsidRPr="00680566">
              <w:rPr>
                <w:i/>
                <w:color w:val="000000"/>
              </w:rPr>
              <w:t>50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C0A804" w14:textId="77777777" w:rsidR="009F392E" w:rsidRPr="00680566" w:rsidRDefault="009F392E" w:rsidP="009125B4">
            <w:pPr>
              <w:jc w:val="center"/>
              <w:rPr>
                <w:i/>
                <w:color w:val="000000"/>
              </w:rPr>
            </w:pPr>
            <w:r w:rsidRPr="00680566">
              <w:rPr>
                <w:i/>
                <w:color w:val="000000"/>
              </w:rPr>
              <w:t>0.67</w:t>
            </w:r>
          </w:p>
        </w:tc>
      </w:tr>
      <w:tr w:rsidR="009F392E" w:rsidRPr="00680566" w14:paraId="4A0A1460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B6AD" w14:textId="77777777" w:rsidR="009F392E" w:rsidRPr="00680566" w:rsidRDefault="009F392E" w:rsidP="009125B4">
            <w:pPr>
              <w:rPr>
                <w:color w:val="000000"/>
              </w:rPr>
            </w:pPr>
            <w:r w:rsidRPr="00680566">
              <w:rPr>
                <w:color w:val="000000"/>
              </w:rPr>
              <w:t>GAL15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E3C9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46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8729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0.62</w:t>
            </w:r>
          </w:p>
        </w:tc>
      </w:tr>
      <w:tr w:rsidR="009F392E" w:rsidRPr="00680566" w14:paraId="7F2B3B86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709A" w14:textId="77777777" w:rsidR="009F392E" w:rsidRPr="00680566" w:rsidRDefault="009F392E" w:rsidP="009125B4">
            <w:pPr>
              <w:rPr>
                <w:color w:val="000000"/>
              </w:rPr>
            </w:pPr>
            <w:r w:rsidRPr="00680566">
              <w:rPr>
                <w:color w:val="000000"/>
              </w:rPr>
              <w:t>FCPU426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B9F4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44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C924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0.59</w:t>
            </w:r>
          </w:p>
        </w:tc>
      </w:tr>
      <w:tr w:rsidR="009F392E" w:rsidRPr="00680566" w14:paraId="4C08E902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6E87" w14:textId="77777777" w:rsidR="009F392E" w:rsidRPr="00680566" w:rsidRDefault="009F392E" w:rsidP="009125B4">
            <w:pPr>
              <w:rPr>
                <w:i/>
                <w:color w:val="000000"/>
              </w:rPr>
            </w:pPr>
            <w:proofErr w:type="spellStart"/>
            <w:r w:rsidRPr="00680566">
              <w:rPr>
                <w:color w:val="000000"/>
              </w:rPr>
              <w:t>Dependentiae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0BC8" w14:textId="77777777" w:rsidR="009F392E" w:rsidRPr="00680566" w:rsidRDefault="009F392E" w:rsidP="009125B4">
            <w:pPr>
              <w:jc w:val="center"/>
              <w:rPr>
                <w:i/>
                <w:color w:val="000000"/>
              </w:rPr>
            </w:pPr>
            <w:r w:rsidRPr="00680566">
              <w:rPr>
                <w:color w:val="000000"/>
              </w:rPr>
              <w:t>42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D039" w14:textId="77777777" w:rsidR="009F392E" w:rsidRPr="00680566" w:rsidRDefault="009F392E" w:rsidP="009125B4">
            <w:pPr>
              <w:jc w:val="center"/>
              <w:rPr>
                <w:i/>
                <w:color w:val="000000"/>
              </w:rPr>
            </w:pPr>
            <w:r w:rsidRPr="00680566">
              <w:rPr>
                <w:color w:val="000000"/>
              </w:rPr>
              <w:t>0.56</w:t>
            </w:r>
          </w:p>
        </w:tc>
      </w:tr>
      <w:tr w:rsidR="009F392E" w:rsidRPr="00680566" w14:paraId="48C6BA52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DFC473" w14:textId="11D847A3" w:rsidR="009F392E" w:rsidRPr="00680566" w:rsidRDefault="009F392E" w:rsidP="009125B4">
            <w:pPr>
              <w:rPr>
                <w:i/>
                <w:color w:val="000000"/>
              </w:rPr>
            </w:pPr>
            <w:proofErr w:type="spellStart"/>
            <w:r w:rsidRPr="00680566">
              <w:rPr>
                <w:i/>
                <w:color w:val="000000"/>
              </w:rPr>
              <w:t>Nanoarchaeaeota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8037A1" w14:textId="77777777" w:rsidR="009F392E" w:rsidRPr="00680566" w:rsidRDefault="009F392E" w:rsidP="009125B4">
            <w:pPr>
              <w:jc w:val="center"/>
              <w:rPr>
                <w:i/>
                <w:color w:val="000000"/>
              </w:rPr>
            </w:pPr>
            <w:r w:rsidRPr="00680566">
              <w:rPr>
                <w:i/>
                <w:color w:val="000000"/>
              </w:rPr>
              <w:t>30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E3231B" w14:textId="77777777" w:rsidR="009F392E" w:rsidRPr="00680566" w:rsidRDefault="009F392E" w:rsidP="009125B4">
            <w:pPr>
              <w:jc w:val="center"/>
              <w:rPr>
                <w:i/>
                <w:color w:val="000000"/>
              </w:rPr>
            </w:pPr>
            <w:r w:rsidRPr="00680566">
              <w:rPr>
                <w:i/>
                <w:color w:val="000000"/>
              </w:rPr>
              <w:t>0.40</w:t>
            </w:r>
          </w:p>
        </w:tc>
      </w:tr>
      <w:tr w:rsidR="009F392E" w:rsidRPr="00680566" w14:paraId="2F5A728C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AAD8" w14:textId="77777777" w:rsidR="009F392E" w:rsidRPr="00680566" w:rsidRDefault="009F392E" w:rsidP="009125B4">
            <w:pPr>
              <w:rPr>
                <w:color w:val="000000"/>
              </w:rPr>
            </w:pPr>
            <w:proofErr w:type="spellStart"/>
            <w:r w:rsidRPr="00680566">
              <w:rPr>
                <w:color w:val="000000"/>
              </w:rPr>
              <w:t>Rokubacteria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C5C8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24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7507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0.32</w:t>
            </w:r>
          </w:p>
        </w:tc>
      </w:tr>
      <w:tr w:rsidR="009F392E" w:rsidRPr="00680566" w14:paraId="51987DC3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3901" w14:textId="77777777" w:rsidR="009F392E" w:rsidRPr="00680566" w:rsidRDefault="009F392E" w:rsidP="009125B4">
            <w:pPr>
              <w:rPr>
                <w:i/>
                <w:color w:val="000000"/>
              </w:rPr>
            </w:pPr>
            <w:proofErr w:type="spellStart"/>
            <w:r w:rsidRPr="00680566">
              <w:rPr>
                <w:color w:val="000000"/>
              </w:rPr>
              <w:t>Spirochaetes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B486" w14:textId="77777777" w:rsidR="009F392E" w:rsidRPr="00680566" w:rsidRDefault="009F392E" w:rsidP="009125B4">
            <w:pPr>
              <w:jc w:val="center"/>
              <w:rPr>
                <w:i/>
                <w:color w:val="000000"/>
              </w:rPr>
            </w:pPr>
            <w:r w:rsidRPr="00680566">
              <w:rPr>
                <w:color w:val="000000"/>
              </w:rPr>
              <w:t>21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7EBB" w14:textId="77777777" w:rsidR="009F392E" w:rsidRPr="00680566" w:rsidRDefault="009F392E" w:rsidP="009125B4">
            <w:pPr>
              <w:jc w:val="center"/>
              <w:rPr>
                <w:i/>
                <w:color w:val="000000"/>
              </w:rPr>
            </w:pPr>
            <w:r w:rsidRPr="00680566">
              <w:rPr>
                <w:color w:val="000000"/>
              </w:rPr>
              <w:t>0.28</w:t>
            </w:r>
          </w:p>
        </w:tc>
      </w:tr>
      <w:tr w:rsidR="009F392E" w:rsidRPr="00680566" w14:paraId="00E5104F" w14:textId="77777777" w:rsidTr="009125B4">
        <w:trPr>
          <w:trHeight w:val="300"/>
          <w:jc w:val="center"/>
        </w:trPr>
        <w:tc>
          <w:tcPr>
            <w:tcW w:w="3483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1D73A9" w14:textId="3140F954" w:rsidR="009F392E" w:rsidRPr="00680566" w:rsidRDefault="009F392E" w:rsidP="009125B4">
            <w:pPr>
              <w:rPr>
                <w:i/>
                <w:color w:val="000000"/>
              </w:rPr>
            </w:pPr>
            <w:proofErr w:type="spellStart"/>
            <w:r w:rsidRPr="00680566">
              <w:rPr>
                <w:i/>
                <w:color w:val="000000"/>
              </w:rPr>
              <w:t>Diapherotrites</w:t>
            </w:r>
            <w:proofErr w:type="spellEnd"/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EB01B9" w14:textId="77777777" w:rsidR="009F392E" w:rsidRPr="00680566" w:rsidRDefault="009F392E" w:rsidP="009125B4">
            <w:pPr>
              <w:jc w:val="center"/>
              <w:rPr>
                <w:i/>
                <w:color w:val="000000"/>
              </w:rPr>
            </w:pPr>
            <w:r w:rsidRPr="00680566">
              <w:rPr>
                <w:i/>
                <w:color w:val="000000"/>
              </w:rPr>
              <w:t>20</w:t>
            </w:r>
          </w:p>
        </w:tc>
        <w:tc>
          <w:tcPr>
            <w:tcW w:w="2481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ADDC31" w14:textId="77777777" w:rsidR="009F392E" w:rsidRPr="00680566" w:rsidRDefault="009F392E" w:rsidP="009125B4">
            <w:pPr>
              <w:jc w:val="center"/>
              <w:rPr>
                <w:i/>
                <w:color w:val="000000"/>
              </w:rPr>
            </w:pPr>
            <w:r w:rsidRPr="00680566">
              <w:rPr>
                <w:i/>
                <w:color w:val="000000"/>
              </w:rPr>
              <w:t>0.27</w:t>
            </w:r>
          </w:p>
        </w:tc>
      </w:tr>
      <w:tr w:rsidR="009F392E" w:rsidRPr="00680566" w14:paraId="56B649DC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4544" w14:textId="77777777" w:rsidR="009F392E" w:rsidRPr="00680566" w:rsidRDefault="009F392E" w:rsidP="009125B4">
            <w:pPr>
              <w:rPr>
                <w:i/>
                <w:color w:val="000000"/>
              </w:rPr>
            </w:pPr>
            <w:proofErr w:type="spellStart"/>
            <w:r w:rsidRPr="00680566">
              <w:rPr>
                <w:color w:val="000000"/>
              </w:rPr>
              <w:t>Dadabacteria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461A" w14:textId="77777777" w:rsidR="009F392E" w:rsidRPr="00680566" w:rsidRDefault="009F392E" w:rsidP="009125B4">
            <w:pPr>
              <w:jc w:val="center"/>
              <w:rPr>
                <w:i/>
                <w:color w:val="000000"/>
              </w:rPr>
            </w:pPr>
            <w:r w:rsidRPr="00680566">
              <w:rPr>
                <w:color w:val="000000"/>
              </w:rPr>
              <w:t>8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3754" w14:textId="77777777" w:rsidR="009F392E" w:rsidRPr="00680566" w:rsidRDefault="009F392E" w:rsidP="009125B4">
            <w:pPr>
              <w:jc w:val="center"/>
              <w:rPr>
                <w:i/>
                <w:color w:val="000000"/>
              </w:rPr>
            </w:pPr>
            <w:r w:rsidRPr="00680566">
              <w:rPr>
                <w:color w:val="000000"/>
              </w:rPr>
              <w:t>0.11</w:t>
            </w:r>
          </w:p>
        </w:tc>
      </w:tr>
      <w:tr w:rsidR="009F392E" w:rsidRPr="00680566" w14:paraId="5E7B8320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3C6D8A" w14:textId="77777777" w:rsidR="009F392E" w:rsidRPr="00680566" w:rsidRDefault="009F392E" w:rsidP="009125B4">
            <w:pPr>
              <w:rPr>
                <w:color w:val="000000"/>
              </w:rPr>
            </w:pPr>
            <w:proofErr w:type="spellStart"/>
            <w:r w:rsidRPr="00680566">
              <w:rPr>
                <w:color w:val="000000"/>
              </w:rPr>
              <w:t>Omnitrophicaeota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432132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8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5D61BF" w14:textId="77777777" w:rsidR="009F392E" w:rsidRPr="00680566" w:rsidRDefault="009F392E" w:rsidP="009125B4">
            <w:pPr>
              <w:jc w:val="center"/>
              <w:rPr>
                <w:color w:val="000000"/>
              </w:rPr>
            </w:pPr>
            <w:r w:rsidRPr="00680566">
              <w:rPr>
                <w:color w:val="000000"/>
              </w:rPr>
              <w:t>0.11</w:t>
            </w:r>
          </w:p>
        </w:tc>
      </w:tr>
      <w:tr w:rsidR="009F392E" w:rsidRPr="00680566" w14:paraId="3567A865" w14:textId="77777777" w:rsidTr="009125B4">
        <w:trPr>
          <w:trHeight w:val="300"/>
          <w:jc w:val="center"/>
        </w:trPr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36238F1" w14:textId="77777777" w:rsidR="009F392E" w:rsidRPr="00680566" w:rsidRDefault="009F392E" w:rsidP="009125B4">
            <w:pPr>
              <w:rPr>
                <w:i/>
                <w:color w:val="000000"/>
              </w:rPr>
            </w:pPr>
            <w:proofErr w:type="spellStart"/>
            <w:r w:rsidRPr="00680566">
              <w:rPr>
                <w:color w:val="000000"/>
              </w:rPr>
              <w:t>Tenericutes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A2F58FB" w14:textId="77777777" w:rsidR="009F392E" w:rsidRPr="00680566" w:rsidRDefault="009F392E" w:rsidP="009125B4">
            <w:pPr>
              <w:jc w:val="center"/>
              <w:rPr>
                <w:i/>
                <w:color w:val="000000"/>
              </w:rPr>
            </w:pPr>
            <w:r w:rsidRPr="00680566">
              <w:rPr>
                <w:color w:val="000000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5757071" w14:textId="77777777" w:rsidR="009F392E" w:rsidRPr="00680566" w:rsidRDefault="009F392E" w:rsidP="009125B4">
            <w:pPr>
              <w:jc w:val="center"/>
              <w:rPr>
                <w:i/>
                <w:color w:val="000000"/>
              </w:rPr>
            </w:pPr>
            <w:r w:rsidRPr="00680566">
              <w:rPr>
                <w:color w:val="000000"/>
              </w:rPr>
              <w:t>0.04</w:t>
            </w:r>
          </w:p>
        </w:tc>
      </w:tr>
    </w:tbl>
    <w:p w14:paraId="64B40295" w14:textId="77777777" w:rsidR="009F392E" w:rsidRDefault="009F392E" w:rsidP="009F392E">
      <w:pPr>
        <w:rPr>
          <w:rFonts w:ascii="Helvetica" w:hAnsi="Helvetica" w:cs="Helvetica"/>
          <w:noProof/>
        </w:rPr>
      </w:pPr>
    </w:p>
    <w:p w14:paraId="68D3EA70" w14:textId="77777777" w:rsidR="009F392E" w:rsidRDefault="009F392E" w:rsidP="009F392E">
      <w:pPr>
        <w:rPr>
          <w:rFonts w:ascii="Helvetica" w:hAnsi="Helvetica" w:cs="Helvetica"/>
          <w:noProof/>
        </w:rPr>
      </w:pPr>
    </w:p>
    <w:p w14:paraId="35F960F5" w14:textId="77777777" w:rsidR="0067337D" w:rsidRDefault="0067337D" w:rsidP="009F392E">
      <w:pPr>
        <w:rPr>
          <w:rFonts w:ascii="Helvetica" w:hAnsi="Helvetica" w:cs="Helvetica"/>
          <w:noProof/>
        </w:rPr>
        <w:sectPr w:rsidR="0067337D" w:rsidSect="00F876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9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844"/>
        <w:gridCol w:w="1341"/>
        <w:gridCol w:w="1003"/>
        <w:gridCol w:w="1350"/>
        <w:gridCol w:w="1377"/>
        <w:gridCol w:w="1323"/>
        <w:gridCol w:w="1377"/>
        <w:gridCol w:w="1350"/>
        <w:gridCol w:w="1350"/>
      </w:tblGrid>
      <w:tr w:rsidR="0067337D" w:rsidRPr="0067337D" w14:paraId="2F656F75" w14:textId="2CC7CAC8" w:rsidTr="0067337D">
        <w:trPr>
          <w:trHeight w:val="467"/>
          <w:jc w:val="center"/>
        </w:trPr>
        <w:tc>
          <w:tcPr>
            <w:tcW w:w="13950" w:type="dxa"/>
            <w:gridSpan w:val="10"/>
            <w:vAlign w:val="center"/>
          </w:tcPr>
          <w:p w14:paraId="07BB2151" w14:textId="480AB346" w:rsidR="0067337D" w:rsidRPr="0067337D" w:rsidRDefault="00405420" w:rsidP="00933D12">
            <w:r w:rsidRPr="00F876AC">
              <w:rPr>
                <w:b/>
              </w:rPr>
              <w:lastRenderedPageBreak/>
              <w:t>Supplementa</w:t>
            </w:r>
            <w:r>
              <w:rPr>
                <w:b/>
              </w:rPr>
              <w:t xml:space="preserve">ry </w:t>
            </w:r>
            <w:r w:rsidR="0067337D" w:rsidRPr="0067337D">
              <w:rPr>
                <w:b/>
              </w:rPr>
              <w:t xml:space="preserve">Table </w:t>
            </w:r>
            <w:r w:rsidR="00F876AC">
              <w:rPr>
                <w:b/>
              </w:rPr>
              <w:t>3</w:t>
            </w:r>
            <w:r w:rsidR="0067337D" w:rsidRPr="0067337D">
              <w:t xml:space="preserve">: Edaphic and microbial community diversity properties for </w:t>
            </w:r>
            <w:r w:rsidR="0067337D">
              <w:t>five seasonally saturated</w:t>
            </w:r>
            <w:r w:rsidR="0067337D" w:rsidRPr="0067337D">
              <w:t xml:space="preserve"> wetland </w:t>
            </w:r>
            <w:r w:rsidR="0067337D">
              <w:t>sites</w:t>
            </w:r>
            <w:r w:rsidR="0067337D" w:rsidRPr="0067337D">
              <w:t xml:space="preserve">. </w:t>
            </w:r>
            <w:r w:rsidR="0067337D">
              <w:t>Duplicate</w:t>
            </w:r>
            <w:r w:rsidR="0067337D" w:rsidRPr="0067337D">
              <w:t xml:space="preserve"> cores were collected from the upper soil horizons (0-30 cm) of </w:t>
            </w:r>
            <w:r w:rsidR="0067337D">
              <w:t>five</w:t>
            </w:r>
            <w:r w:rsidR="0067337D" w:rsidRPr="0067337D">
              <w:t xml:space="preserve"> hydrologic zone</w:t>
            </w:r>
            <w:r w:rsidR="0067337D">
              <w:t>s across five seasonally saturated wetlands</w:t>
            </w:r>
            <w:r w:rsidR="0067337D" w:rsidRPr="0067337D">
              <w:t xml:space="preserve"> and then homogenized into a single representative sample (n = 24). Summary statistics include the mean (± standard error of the mean) for soil pH</w:t>
            </w:r>
            <w:r w:rsidR="0067337D" w:rsidRPr="0067337D">
              <w:rPr>
                <w:vertAlign w:val="subscript"/>
              </w:rPr>
              <w:t>CaCl2</w:t>
            </w:r>
            <w:r w:rsidR="0067337D" w:rsidRPr="0067337D">
              <w:t>, soil organic matter (SOM) content (g OM g</w:t>
            </w:r>
            <w:r w:rsidR="0067337D" w:rsidRPr="0067337D">
              <w:rPr>
                <w:vertAlign w:val="superscript"/>
              </w:rPr>
              <w:t>-1</w:t>
            </w:r>
            <w:r w:rsidR="0067337D" w:rsidRPr="0067337D">
              <w:t xml:space="preserve"> soil), and microbial community diversity (Richness and Shannon’s Diversity Index). Transformed variables are marked with a hashtag (#). Statistical model results are presented for the one-way ANOVA used to test for mean differences among hydrologic zones (r</w:t>
            </w:r>
            <w:r w:rsidR="0067337D" w:rsidRPr="0067337D">
              <w:rPr>
                <w:vertAlign w:val="superscript"/>
              </w:rPr>
              <w:t>2</w:t>
            </w:r>
            <w:r w:rsidR="0067337D" w:rsidRPr="0067337D">
              <w:t>, F statistic, and p-value); an asterisk denotes a significant model (alpha = 0.05).</w:t>
            </w:r>
          </w:p>
        </w:tc>
      </w:tr>
      <w:tr w:rsidR="0067337D" w:rsidRPr="0067337D" w14:paraId="10633D5D" w14:textId="30F9DEEB" w:rsidTr="0067337D">
        <w:trPr>
          <w:trHeight w:val="4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171A635" w14:textId="77777777" w:rsidR="0067337D" w:rsidRPr="0067337D" w:rsidRDefault="0067337D" w:rsidP="00933D12">
            <w:pPr>
              <w:rPr>
                <w:b/>
              </w:rPr>
            </w:pPr>
            <w:r w:rsidRPr="0067337D">
              <w:rPr>
                <w:b/>
              </w:rPr>
              <w:t>Hydrologic Characteristics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</w:tcBorders>
            <w:vAlign w:val="center"/>
          </w:tcPr>
          <w:p w14:paraId="60021CC3" w14:textId="77777777" w:rsidR="0067337D" w:rsidRPr="0067337D" w:rsidRDefault="0067337D" w:rsidP="00933D12">
            <w:pPr>
              <w:jc w:val="center"/>
            </w:pPr>
            <w:r w:rsidRPr="0067337D">
              <w:rPr>
                <w:b/>
              </w:rPr>
              <w:t>Model Statistics</w:t>
            </w:r>
          </w:p>
        </w:tc>
        <w:tc>
          <w:tcPr>
            <w:tcW w:w="8127" w:type="dxa"/>
            <w:gridSpan w:val="6"/>
            <w:tcBorders>
              <w:top w:val="single" w:sz="4" w:space="0" w:color="000000"/>
            </w:tcBorders>
            <w:vAlign w:val="center"/>
          </w:tcPr>
          <w:p w14:paraId="7CE9A393" w14:textId="69986525" w:rsidR="0067337D" w:rsidRPr="0067337D" w:rsidRDefault="0067337D" w:rsidP="00933D12">
            <w:pPr>
              <w:jc w:val="center"/>
              <w:rPr>
                <w:b/>
              </w:rPr>
            </w:pPr>
            <w:r w:rsidRPr="0067337D">
              <w:rPr>
                <w:b/>
              </w:rPr>
              <w:t>Wetland Site</w:t>
            </w:r>
          </w:p>
        </w:tc>
      </w:tr>
      <w:tr w:rsidR="0067337D" w:rsidRPr="0067337D" w14:paraId="38ABD0DF" w14:textId="2A35462D" w:rsidTr="0067337D">
        <w:trPr>
          <w:trHeight w:val="360"/>
          <w:jc w:val="center"/>
        </w:trPr>
        <w:tc>
          <w:tcPr>
            <w:tcW w:w="0" w:type="auto"/>
            <w:vMerge/>
            <w:vAlign w:val="center"/>
          </w:tcPr>
          <w:p w14:paraId="4A35D301" w14:textId="77777777" w:rsidR="0067337D" w:rsidRPr="0067337D" w:rsidRDefault="0067337D" w:rsidP="0067337D"/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4CD956" w14:textId="469E9F15" w:rsidR="0067337D" w:rsidRPr="0067337D" w:rsidRDefault="0067337D" w:rsidP="0067337D">
            <w:pPr>
              <w:jc w:val="center"/>
            </w:pPr>
            <w:r w:rsidRPr="0067337D">
              <w:t>r</w:t>
            </w:r>
            <w:r w:rsidRPr="0067337D">
              <w:rPr>
                <w:vertAlign w:val="superscript"/>
              </w:rPr>
              <w:t>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613A803F" w14:textId="4E49C6E3" w:rsidR="0067337D" w:rsidRPr="0067337D" w:rsidRDefault="0067337D" w:rsidP="0067337D">
            <w:pPr>
              <w:jc w:val="center"/>
            </w:pPr>
            <w:r w:rsidRPr="0067337D">
              <w:t>F-value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DECAC60" w14:textId="7F5FDFA2" w:rsidR="0067337D" w:rsidRPr="0067337D" w:rsidRDefault="0067337D" w:rsidP="0067337D">
            <w:pPr>
              <w:jc w:val="center"/>
            </w:pPr>
            <w:r w:rsidRPr="0067337D">
              <w:t>p-value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4B9D9EA3" w14:textId="3147CDE4" w:rsidR="0067337D" w:rsidRPr="0067337D" w:rsidRDefault="0067337D" w:rsidP="0067337D">
            <w:pPr>
              <w:jc w:val="center"/>
            </w:pPr>
            <w:r w:rsidRPr="0067337D">
              <w:t>1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vAlign w:val="center"/>
          </w:tcPr>
          <w:p w14:paraId="78DBC328" w14:textId="36BFE80D" w:rsidR="0067337D" w:rsidRPr="0067337D" w:rsidRDefault="0067337D" w:rsidP="0067337D">
            <w:pPr>
              <w:jc w:val="center"/>
            </w:pPr>
            <w:r w:rsidRPr="0067337D">
              <w:t>2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  <w:vAlign w:val="center"/>
          </w:tcPr>
          <w:p w14:paraId="21DABD9C" w14:textId="6102A9A6" w:rsidR="0067337D" w:rsidRPr="0067337D" w:rsidRDefault="0067337D" w:rsidP="0067337D">
            <w:pPr>
              <w:jc w:val="center"/>
            </w:pPr>
            <w:r w:rsidRPr="0067337D">
              <w:t>3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vAlign w:val="center"/>
          </w:tcPr>
          <w:p w14:paraId="5FA8C8AF" w14:textId="57986A59" w:rsidR="0067337D" w:rsidRPr="0067337D" w:rsidRDefault="0067337D" w:rsidP="0067337D">
            <w:pPr>
              <w:jc w:val="center"/>
            </w:pPr>
            <w:r w:rsidRPr="0067337D">
              <w:t>4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6927D88F" w14:textId="7A144A7C" w:rsidR="0067337D" w:rsidRPr="0067337D" w:rsidRDefault="0067337D" w:rsidP="0067337D">
            <w:pPr>
              <w:jc w:val="center"/>
            </w:pPr>
            <w:r w:rsidRPr="0067337D">
              <w:t>5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58D1E4EB" w14:textId="50FB4302" w:rsidR="0067337D" w:rsidRPr="0067337D" w:rsidRDefault="0067337D" w:rsidP="0067337D">
            <w:pPr>
              <w:jc w:val="center"/>
            </w:pPr>
            <w:r w:rsidRPr="0067337D">
              <w:t>Grand Mean</w:t>
            </w:r>
          </w:p>
        </w:tc>
      </w:tr>
      <w:tr w:rsidR="0067337D" w:rsidRPr="0067337D" w14:paraId="5C845DCD" w14:textId="0747EA89" w:rsidTr="0067337D">
        <w:trPr>
          <w:trHeight w:val="359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2CB06B4" w14:textId="77777777" w:rsidR="0067337D" w:rsidRPr="0067337D" w:rsidRDefault="0067337D" w:rsidP="0067337D">
            <w:pPr>
              <w:rPr>
                <w:b/>
                <w:i/>
              </w:rPr>
            </w:pPr>
            <w:r w:rsidRPr="0067337D">
              <w:rPr>
                <w:b/>
                <w:i/>
              </w:rPr>
              <w:t>Sample Size (n)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1CCF816" w14:textId="77777777" w:rsidR="0067337D" w:rsidRPr="0067337D" w:rsidRDefault="0067337D" w:rsidP="0067337D">
            <w:pPr>
              <w:jc w:val="center"/>
            </w:pPr>
            <w:r w:rsidRPr="0067337D">
              <w:t>--</w:t>
            </w:r>
          </w:p>
        </w:tc>
        <w:tc>
          <w:tcPr>
            <w:tcW w:w="1324" w:type="dxa"/>
            <w:tcBorders>
              <w:top w:val="single" w:sz="4" w:space="0" w:color="000000"/>
            </w:tcBorders>
            <w:vAlign w:val="center"/>
          </w:tcPr>
          <w:p w14:paraId="3F5655E2" w14:textId="77777777" w:rsidR="0067337D" w:rsidRPr="0067337D" w:rsidRDefault="0067337D" w:rsidP="0067337D">
            <w:pPr>
              <w:jc w:val="center"/>
            </w:pPr>
            <w:r w:rsidRPr="0067337D">
              <w:t>--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vAlign w:val="center"/>
          </w:tcPr>
          <w:p w14:paraId="6E299C89" w14:textId="77777777" w:rsidR="0067337D" w:rsidRPr="0067337D" w:rsidRDefault="0067337D" w:rsidP="0067337D">
            <w:pPr>
              <w:jc w:val="center"/>
            </w:pPr>
            <w:r w:rsidRPr="0067337D">
              <w:t>--</w:t>
            </w:r>
          </w:p>
        </w:tc>
        <w:tc>
          <w:tcPr>
            <w:tcW w:w="1350" w:type="dxa"/>
            <w:tcBorders>
              <w:top w:val="single" w:sz="4" w:space="0" w:color="000000"/>
            </w:tcBorders>
            <w:vAlign w:val="center"/>
          </w:tcPr>
          <w:p w14:paraId="4D672104" w14:textId="77777777" w:rsidR="0067337D" w:rsidRPr="0067337D" w:rsidRDefault="0067337D" w:rsidP="0067337D">
            <w:pPr>
              <w:jc w:val="center"/>
            </w:pPr>
            <w:r w:rsidRPr="0067337D">
              <w:t>4</w:t>
            </w:r>
          </w:p>
        </w:tc>
        <w:tc>
          <w:tcPr>
            <w:tcW w:w="1377" w:type="dxa"/>
            <w:tcBorders>
              <w:top w:val="single" w:sz="4" w:space="0" w:color="000000"/>
            </w:tcBorders>
            <w:vAlign w:val="center"/>
          </w:tcPr>
          <w:p w14:paraId="086A6A00" w14:textId="77777777" w:rsidR="0067337D" w:rsidRPr="0067337D" w:rsidRDefault="0067337D" w:rsidP="0067337D">
            <w:pPr>
              <w:jc w:val="center"/>
            </w:pPr>
            <w:r w:rsidRPr="0067337D">
              <w:t>5</w:t>
            </w:r>
          </w:p>
        </w:tc>
        <w:tc>
          <w:tcPr>
            <w:tcW w:w="1323" w:type="dxa"/>
            <w:tcBorders>
              <w:top w:val="single" w:sz="4" w:space="0" w:color="000000"/>
            </w:tcBorders>
            <w:vAlign w:val="center"/>
          </w:tcPr>
          <w:p w14:paraId="757149C7" w14:textId="77777777" w:rsidR="0067337D" w:rsidRPr="0067337D" w:rsidRDefault="0067337D" w:rsidP="0067337D">
            <w:pPr>
              <w:jc w:val="center"/>
            </w:pPr>
            <w:r w:rsidRPr="0067337D">
              <w:t>5</w:t>
            </w:r>
          </w:p>
        </w:tc>
        <w:tc>
          <w:tcPr>
            <w:tcW w:w="1377" w:type="dxa"/>
            <w:tcBorders>
              <w:top w:val="single" w:sz="4" w:space="0" w:color="000000"/>
            </w:tcBorders>
            <w:vAlign w:val="center"/>
          </w:tcPr>
          <w:p w14:paraId="162857F3" w14:textId="77777777" w:rsidR="0067337D" w:rsidRPr="0067337D" w:rsidRDefault="0067337D" w:rsidP="0067337D">
            <w:pPr>
              <w:jc w:val="center"/>
            </w:pPr>
            <w:r w:rsidRPr="0067337D">
              <w:t>5</w:t>
            </w:r>
          </w:p>
        </w:tc>
        <w:tc>
          <w:tcPr>
            <w:tcW w:w="1350" w:type="dxa"/>
            <w:tcBorders>
              <w:top w:val="single" w:sz="4" w:space="0" w:color="000000"/>
            </w:tcBorders>
            <w:vAlign w:val="center"/>
          </w:tcPr>
          <w:p w14:paraId="24C2B41C" w14:textId="77777777" w:rsidR="0067337D" w:rsidRPr="0067337D" w:rsidRDefault="0067337D" w:rsidP="0067337D">
            <w:pPr>
              <w:jc w:val="center"/>
            </w:pPr>
            <w:r w:rsidRPr="0067337D">
              <w:t>5</w:t>
            </w: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6CFD311B" w14:textId="78AD2E6B" w:rsidR="0067337D" w:rsidRPr="0067337D" w:rsidRDefault="0067337D" w:rsidP="0067337D">
            <w:pPr>
              <w:jc w:val="center"/>
            </w:pPr>
            <w:r w:rsidRPr="0067337D">
              <w:t>24</w:t>
            </w:r>
          </w:p>
        </w:tc>
      </w:tr>
      <w:tr w:rsidR="0067337D" w:rsidRPr="0067337D" w14:paraId="34E932CD" w14:textId="4851C082" w:rsidTr="0067337D">
        <w:trPr>
          <w:trHeight w:val="369"/>
          <w:jc w:val="center"/>
        </w:trPr>
        <w:tc>
          <w:tcPr>
            <w:tcW w:w="13950" w:type="dxa"/>
            <w:gridSpan w:val="10"/>
            <w:vAlign w:val="center"/>
          </w:tcPr>
          <w:p w14:paraId="0353240E" w14:textId="010EAA4F" w:rsidR="0067337D" w:rsidRPr="0067337D" w:rsidRDefault="0067337D" w:rsidP="0067337D">
            <w:pPr>
              <w:rPr>
                <w:b/>
                <w:i/>
              </w:rPr>
            </w:pPr>
            <w:r w:rsidRPr="0067337D">
              <w:rPr>
                <w:b/>
                <w:i/>
              </w:rPr>
              <w:t>Edaphic Properties</w:t>
            </w:r>
          </w:p>
        </w:tc>
      </w:tr>
      <w:tr w:rsidR="0067337D" w:rsidRPr="0067337D" w14:paraId="1F7ED834" w14:textId="279AE4FC" w:rsidTr="00B95C45">
        <w:trPr>
          <w:trHeight w:val="423"/>
          <w:jc w:val="center"/>
        </w:trPr>
        <w:tc>
          <w:tcPr>
            <w:tcW w:w="0" w:type="auto"/>
            <w:vAlign w:val="center"/>
          </w:tcPr>
          <w:p w14:paraId="714EA262" w14:textId="77777777" w:rsidR="0067337D" w:rsidRPr="0067337D" w:rsidRDefault="0067337D" w:rsidP="0067337D">
            <w:pPr>
              <w:ind w:left="164"/>
            </w:pPr>
            <w:r w:rsidRPr="0067337D">
              <w:t>Soil pH-(CaCl</w:t>
            </w:r>
            <w:r w:rsidRPr="0067337D">
              <w:rPr>
                <w:vertAlign w:val="subscript"/>
              </w:rPr>
              <w:t>2</w:t>
            </w:r>
            <w:r w:rsidRPr="0067337D">
              <w:t>)</w:t>
            </w:r>
          </w:p>
        </w:tc>
        <w:tc>
          <w:tcPr>
            <w:tcW w:w="0" w:type="auto"/>
            <w:vAlign w:val="center"/>
          </w:tcPr>
          <w:p w14:paraId="70B8877A" w14:textId="7CDDDCD7" w:rsidR="0067337D" w:rsidRPr="00B95C45" w:rsidRDefault="0067337D" w:rsidP="00B95C45">
            <w:pPr>
              <w:jc w:val="center"/>
            </w:pPr>
            <w:r w:rsidRPr="00B95C45">
              <w:t>47.0%</w:t>
            </w:r>
          </w:p>
        </w:tc>
        <w:tc>
          <w:tcPr>
            <w:tcW w:w="1324" w:type="dxa"/>
            <w:vAlign w:val="center"/>
          </w:tcPr>
          <w:p w14:paraId="72325984" w14:textId="1BAB17FB" w:rsidR="0067337D" w:rsidRPr="00B95C45" w:rsidRDefault="0067337D" w:rsidP="00B95C45">
            <w:pPr>
              <w:jc w:val="center"/>
            </w:pPr>
            <w:r w:rsidRPr="00B95C45">
              <w:t>F</w:t>
            </w:r>
            <w:r w:rsidRPr="00B95C45">
              <w:rPr>
                <w:vertAlign w:val="subscript"/>
              </w:rPr>
              <w:t>4,19</w:t>
            </w:r>
            <w:r w:rsidRPr="00B95C45">
              <w:t xml:space="preserve"> = 4.22</w:t>
            </w:r>
          </w:p>
        </w:tc>
        <w:tc>
          <w:tcPr>
            <w:tcW w:w="990" w:type="dxa"/>
            <w:vAlign w:val="center"/>
          </w:tcPr>
          <w:p w14:paraId="10A10315" w14:textId="741F2E9B" w:rsidR="0067337D" w:rsidRPr="00B95C45" w:rsidRDefault="0067337D" w:rsidP="00B95C45">
            <w:pPr>
              <w:jc w:val="center"/>
            </w:pPr>
            <w:r w:rsidRPr="00B95C45">
              <w:t>&lt; 0.05*</w:t>
            </w:r>
          </w:p>
        </w:tc>
        <w:tc>
          <w:tcPr>
            <w:tcW w:w="1350" w:type="dxa"/>
            <w:vAlign w:val="center"/>
          </w:tcPr>
          <w:p w14:paraId="0C000649" w14:textId="5B48440F" w:rsidR="0067337D" w:rsidRPr="0067337D" w:rsidRDefault="0067337D" w:rsidP="00B95C45">
            <w:pPr>
              <w:jc w:val="center"/>
            </w:pPr>
            <w:r w:rsidRPr="0067337D">
              <w:t>3.6 ± 0.1</w:t>
            </w:r>
            <w:r w:rsidRPr="0067337D">
              <w:rPr>
                <w:vertAlign w:val="superscript"/>
              </w:rPr>
              <w:t>AB</w:t>
            </w:r>
          </w:p>
        </w:tc>
        <w:tc>
          <w:tcPr>
            <w:tcW w:w="1377" w:type="dxa"/>
            <w:vAlign w:val="center"/>
          </w:tcPr>
          <w:p w14:paraId="77FDE732" w14:textId="0F03C20D" w:rsidR="0067337D" w:rsidRPr="0067337D" w:rsidRDefault="0067337D" w:rsidP="00B95C45">
            <w:pPr>
              <w:jc w:val="center"/>
            </w:pPr>
            <w:r w:rsidRPr="0067337D">
              <w:t>3.6 ± 0.1</w:t>
            </w:r>
            <w:r w:rsidRPr="0067337D">
              <w:rPr>
                <w:vertAlign w:val="superscript"/>
              </w:rPr>
              <w:t>A</w:t>
            </w:r>
          </w:p>
        </w:tc>
        <w:tc>
          <w:tcPr>
            <w:tcW w:w="1323" w:type="dxa"/>
            <w:vAlign w:val="center"/>
          </w:tcPr>
          <w:p w14:paraId="629B70B5" w14:textId="4F891FD6" w:rsidR="0067337D" w:rsidRPr="0067337D" w:rsidRDefault="0067337D" w:rsidP="00B95C45">
            <w:pPr>
              <w:jc w:val="center"/>
            </w:pPr>
            <w:r w:rsidRPr="0067337D">
              <w:t>3.3 ± 0.1</w:t>
            </w:r>
            <w:r w:rsidRPr="0067337D">
              <w:rPr>
                <w:vertAlign w:val="superscript"/>
              </w:rPr>
              <w:t>AB</w:t>
            </w:r>
          </w:p>
        </w:tc>
        <w:tc>
          <w:tcPr>
            <w:tcW w:w="1377" w:type="dxa"/>
            <w:vAlign w:val="center"/>
          </w:tcPr>
          <w:p w14:paraId="003FC03A" w14:textId="2180E5D0" w:rsidR="0067337D" w:rsidRPr="0067337D" w:rsidRDefault="0067337D" w:rsidP="00B95C45">
            <w:pPr>
              <w:jc w:val="center"/>
            </w:pPr>
            <w:r w:rsidRPr="0067337D">
              <w:t>3.6 ± 0.1</w:t>
            </w:r>
            <w:r w:rsidRPr="0067337D">
              <w:rPr>
                <w:vertAlign w:val="superscript"/>
              </w:rPr>
              <w:t>A</w:t>
            </w:r>
          </w:p>
        </w:tc>
        <w:tc>
          <w:tcPr>
            <w:tcW w:w="1350" w:type="dxa"/>
            <w:vAlign w:val="center"/>
          </w:tcPr>
          <w:p w14:paraId="28BE16D6" w14:textId="5A972BF5" w:rsidR="0067337D" w:rsidRPr="0067337D" w:rsidRDefault="0067337D" w:rsidP="00B95C45">
            <w:pPr>
              <w:jc w:val="center"/>
            </w:pPr>
            <w:r w:rsidRPr="0067337D">
              <w:t>3.2 ± 0.1</w:t>
            </w:r>
            <w:r w:rsidRPr="0067337D">
              <w:rPr>
                <w:vertAlign w:val="superscript"/>
              </w:rPr>
              <w:t>B</w:t>
            </w:r>
          </w:p>
        </w:tc>
        <w:tc>
          <w:tcPr>
            <w:tcW w:w="1350" w:type="dxa"/>
            <w:vAlign w:val="center"/>
          </w:tcPr>
          <w:p w14:paraId="7C4F5E5A" w14:textId="0E3610D2" w:rsidR="0067337D" w:rsidRPr="0067337D" w:rsidRDefault="0067337D" w:rsidP="00B95C45">
            <w:pPr>
              <w:jc w:val="center"/>
            </w:pPr>
            <w:r w:rsidRPr="0067337D">
              <w:t>3.4 ± 0.0</w:t>
            </w:r>
          </w:p>
        </w:tc>
      </w:tr>
      <w:tr w:rsidR="0067337D" w:rsidRPr="0067337D" w14:paraId="513239CE" w14:textId="0BE3AC7E" w:rsidTr="00B95C45">
        <w:trPr>
          <w:trHeight w:val="552"/>
          <w:jc w:val="center"/>
        </w:trPr>
        <w:tc>
          <w:tcPr>
            <w:tcW w:w="0" w:type="auto"/>
            <w:vAlign w:val="center"/>
          </w:tcPr>
          <w:p w14:paraId="6038F730" w14:textId="6393AD7F" w:rsidR="0067337D" w:rsidRPr="0067337D" w:rsidRDefault="00B95C45" w:rsidP="00B95C45">
            <w:r>
              <w:rPr>
                <w:vertAlign w:val="superscript"/>
              </w:rPr>
              <w:t xml:space="preserve">  </w:t>
            </w:r>
            <w:r w:rsidR="0067337D" w:rsidRPr="0067337D">
              <w:rPr>
                <w:vertAlign w:val="superscript"/>
              </w:rPr>
              <w:t>#</w:t>
            </w:r>
            <w:r w:rsidR="0067337D" w:rsidRPr="0067337D">
              <w:t>Soil Organic Matter</w:t>
            </w:r>
          </w:p>
        </w:tc>
        <w:tc>
          <w:tcPr>
            <w:tcW w:w="0" w:type="auto"/>
            <w:vAlign w:val="center"/>
          </w:tcPr>
          <w:p w14:paraId="046FE467" w14:textId="365F2F01" w:rsidR="0067337D" w:rsidRPr="0067337D" w:rsidRDefault="0067337D" w:rsidP="00B95C45">
            <w:pPr>
              <w:jc w:val="center"/>
            </w:pPr>
            <w:r w:rsidRPr="0067337D">
              <w:t>21.2%</w:t>
            </w:r>
          </w:p>
        </w:tc>
        <w:tc>
          <w:tcPr>
            <w:tcW w:w="1324" w:type="dxa"/>
            <w:vAlign w:val="center"/>
          </w:tcPr>
          <w:p w14:paraId="5399EF7A" w14:textId="39B8BCE6" w:rsidR="0067337D" w:rsidRPr="0067337D" w:rsidRDefault="0067337D" w:rsidP="00B95C45">
            <w:pPr>
              <w:jc w:val="center"/>
            </w:pPr>
            <w:r w:rsidRPr="0067337D">
              <w:t>F</w:t>
            </w:r>
            <w:r w:rsidRPr="0067337D">
              <w:rPr>
                <w:vertAlign w:val="subscript"/>
              </w:rPr>
              <w:t>4,19</w:t>
            </w:r>
            <w:r w:rsidRPr="0067337D">
              <w:t xml:space="preserve"> = 1.28</w:t>
            </w:r>
          </w:p>
        </w:tc>
        <w:tc>
          <w:tcPr>
            <w:tcW w:w="990" w:type="dxa"/>
            <w:vAlign w:val="center"/>
          </w:tcPr>
          <w:p w14:paraId="5384EDAA" w14:textId="77777777" w:rsidR="0067337D" w:rsidRPr="0067337D" w:rsidRDefault="0067337D" w:rsidP="00B95C45">
            <w:pPr>
              <w:jc w:val="center"/>
            </w:pPr>
            <w:r w:rsidRPr="0067337D">
              <w:t>&gt; 0.05</w:t>
            </w:r>
          </w:p>
        </w:tc>
        <w:tc>
          <w:tcPr>
            <w:tcW w:w="1350" w:type="dxa"/>
            <w:vAlign w:val="center"/>
          </w:tcPr>
          <w:p w14:paraId="2D9E8480" w14:textId="254D515D" w:rsidR="0067337D" w:rsidRPr="0067337D" w:rsidRDefault="0067337D" w:rsidP="00B95C45">
            <w:pPr>
              <w:jc w:val="center"/>
            </w:pPr>
            <w:r w:rsidRPr="0067337D">
              <w:t>12.0 ± 3.3</w:t>
            </w:r>
          </w:p>
        </w:tc>
        <w:tc>
          <w:tcPr>
            <w:tcW w:w="1377" w:type="dxa"/>
            <w:vAlign w:val="center"/>
          </w:tcPr>
          <w:p w14:paraId="354DF200" w14:textId="7C776F3C" w:rsidR="0067337D" w:rsidRPr="0067337D" w:rsidRDefault="0067337D" w:rsidP="00B95C45">
            <w:pPr>
              <w:jc w:val="center"/>
            </w:pPr>
            <w:r w:rsidRPr="0067337D">
              <w:t>7.3 ± 0.9</w:t>
            </w:r>
          </w:p>
        </w:tc>
        <w:tc>
          <w:tcPr>
            <w:tcW w:w="1323" w:type="dxa"/>
            <w:vAlign w:val="center"/>
          </w:tcPr>
          <w:p w14:paraId="0A49B921" w14:textId="22AA57E9" w:rsidR="0067337D" w:rsidRPr="0067337D" w:rsidRDefault="0067337D" w:rsidP="00B95C45">
            <w:pPr>
              <w:jc w:val="center"/>
            </w:pPr>
            <w:r w:rsidRPr="0067337D">
              <w:t>7.5 ± 1.4</w:t>
            </w:r>
          </w:p>
        </w:tc>
        <w:tc>
          <w:tcPr>
            <w:tcW w:w="1377" w:type="dxa"/>
            <w:vAlign w:val="center"/>
          </w:tcPr>
          <w:p w14:paraId="494FD345" w14:textId="7A7D1551" w:rsidR="0067337D" w:rsidRPr="0067337D" w:rsidRDefault="0067337D" w:rsidP="00B95C45">
            <w:pPr>
              <w:jc w:val="center"/>
            </w:pPr>
            <w:r w:rsidRPr="0067337D">
              <w:t>6.6 ± 1.2</w:t>
            </w:r>
          </w:p>
        </w:tc>
        <w:tc>
          <w:tcPr>
            <w:tcW w:w="1350" w:type="dxa"/>
            <w:vAlign w:val="center"/>
          </w:tcPr>
          <w:p w14:paraId="1668E552" w14:textId="7F92697B" w:rsidR="0067337D" w:rsidRPr="0067337D" w:rsidRDefault="0067337D" w:rsidP="00B95C45">
            <w:pPr>
              <w:jc w:val="center"/>
            </w:pPr>
            <w:r w:rsidRPr="0067337D">
              <w:t>5.7 ± 0.7</w:t>
            </w:r>
          </w:p>
        </w:tc>
        <w:tc>
          <w:tcPr>
            <w:tcW w:w="1350" w:type="dxa"/>
            <w:vAlign w:val="center"/>
          </w:tcPr>
          <w:p w14:paraId="385D12C0" w14:textId="6A6FCC44" w:rsidR="0067337D" w:rsidRPr="0067337D" w:rsidRDefault="0067337D" w:rsidP="00B95C45">
            <w:pPr>
              <w:jc w:val="center"/>
            </w:pPr>
            <w:r w:rsidRPr="0067337D">
              <w:t>7.7 ± 0.8</w:t>
            </w:r>
          </w:p>
        </w:tc>
      </w:tr>
      <w:tr w:rsidR="0067337D" w:rsidRPr="0067337D" w14:paraId="517AC76D" w14:textId="65A51355" w:rsidTr="00B95C45">
        <w:trPr>
          <w:trHeight w:val="369"/>
          <w:jc w:val="center"/>
        </w:trPr>
        <w:tc>
          <w:tcPr>
            <w:tcW w:w="13950" w:type="dxa"/>
            <w:gridSpan w:val="10"/>
            <w:vAlign w:val="center"/>
          </w:tcPr>
          <w:p w14:paraId="08E39DF1" w14:textId="4C6BD29E" w:rsidR="0067337D" w:rsidRPr="0067337D" w:rsidRDefault="0067337D" w:rsidP="00B95C45">
            <w:pPr>
              <w:rPr>
                <w:b/>
                <w:i/>
              </w:rPr>
            </w:pPr>
            <w:r w:rsidRPr="0067337D">
              <w:rPr>
                <w:b/>
                <w:i/>
              </w:rPr>
              <w:t>Microbial Diversity</w:t>
            </w:r>
          </w:p>
        </w:tc>
      </w:tr>
      <w:tr w:rsidR="0067337D" w:rsidRPr="0067337D" w14:paraId="24188F41" w14:textId="1F2ED5E8" w:rsidTr="00B95C45">
        <w:trPr>
          <w:trHeight w:val="351"/>
          <w:jc w:val="center"/>
        </w:trPr>
        <w:tc>
          <w:tcPr>
            <w:tcW w:w="0" w:type="auto"/>
            <w:vAlign w:val="center"/>
          </w:tcPr>
          <w:p w14:paraId="6E418227" w14:textId="77777777" w:rsidR="0067337D" w:rsidRPr="0067337D" w:rsidRDefault="0067337D" w:rsidP="0067337D">
            <w:pPr>
              <w:ind w:left="164"/>
            </w:pPr>
            <w:r w:rsidRPr="0067337D">
              <w:t>Richness</w:t>
            </w:r>
          </w:p>
        </w:tc>
        <w:tc>
          <w:tcPr>
            <w:tcW w:w="0" w:type="auto"/>
            <w:vAlign w:val="center"/>
          </w:tcPr>
          <w:p w14:paraId="622AFF09" w14:textId="7A5A861A" w:rsidR="0067337D" w:rsidRPr="0067337D" w:rsidRDefault="0067337D" w:rsidP="00B95C45">
            <w:pPr>
              <w:jc w:val="center"/>
            </w:pPr>
            <w:r w:rsidRPr="0067337D">
              <w:t>23.6%</w:t>
            </w:r>
          </w:p>
        </w:tc>
        <w:tc>
          <w:tcPr>
            <w:tcW w:w="1324" w:type="dxa"/>
            <w:vAlign w:val="center"/>
          </w:tcPr>
          <w:p w14:paraId="2686F9A0" w14:textId="28186596" w:rsidR="0067337D" w:rsidRPr="0067337D" w:rsidRDefault="0067337D" w:rsidP="00B95C45">
            <w:pPr>
              <w:jc w:val="center"/>
            </w:pPr>
            <w:r w:rsidRPr="0067337D">
              <w:t>F</w:t>
            </w:r>
            <w:r w:rsidRPr="0067337D">
              <w:rPr>
                <w:vertAlign w:val="subscript"/>
              </w:rPr>
              <w:t>4,19</w:t>
            </w:r>
            <w:r w:rsidRPr="0067337D">
              <w:t xml:space="preserve"> = 1.47</w:t>
            </w:r>
          </w:p>
        </w:tc>
        <w:tc>
          <w:tcPr>
            <w:tcW w:w="990" w:type="dxa"/>
            <w:vAlign w:val="center"/>
          </w:tcPr>
          <w:p w14:paraId="2323448C" w14:textId="77777777" w:rsidR="0067337D" w:rsidRPr="0067337D" w:rsidRDefault="0067337D" w:rsidP="00B95C45">
            <w:pPr>
              <w:jc w:val="center"/>
            </w:pPr>
            <w:r w:rsidRPr="0067337D">
              <w:t>&gt; 0.05</w:t>
            </w:r>
          </w:p>
        </w:tc>
        <w:tc>
          <w:tcPr>
            <w:tcW w:w="1350" w:type="dxa"/>
            <w:vAlign w:val="center"/>
          </w:tcPr>
          <w:p w14:paraId="1B096509" w14:textId="3EF2E191" w:rsidR="0067337D" w:rsidRPr="0067337D" w:rsidRDefault="0067337D" w:rsidP="00B95C45">
            <w:pPr>
              <w:jc w:val="center"/>
            </w:pPr>
            <w:r w:rsidRPr="0067337D">
              <w:t>715 ± 116</w:t>
            </w:r>
          </w:p>
        </w:tc>
        <w:tc>
          <w:tcPr>
            <w:tcW w:w="1377" w:type="dxa"/>
            <w:vAlign w:val="center"/>
          </w:tcPr>
          <w:p w14:paraId="5275CA42" w14:textId="72516381" w:rsidR="0067337D" w:rsidRPr="0067337D" w:rsidRDefault="0067337D" w:rsidP="00B95C45">
            <w:pPr>
              <w:jc w:val="center"/>
            </w:pPr>
            <w:r w:rsidRPr="0067337D">
              <w:t>876 ± 25</w:t>
            </w:r>
          </w:p>
        </w:tc>
        <w:tc>
          <w:tcPr>
            <w:tcW w:w="1323" w:type="dxa"/>
            <w:vAlign w:val="center"/>
          </w:tcPr>
          <w:p w14:paraId="0BDD2477" w14:textId="5E6C3CE3" w:rsidR="0067337D" w:rsidRPr="0067337D" w:rsidRDefault="0067337D" w:rsidP="00B95C45">
            <w:pPr>
              <w:jc w:val="center"/>
            </w:pPr>
            <w:r w:rsidRPr="0067337D">
              <w:t>896 ± 72</w:t>
            </w:r>
          </w:p>
        </w:tc>
        <w:tc>
          <w:tcPr>
            <w:tcW w:w="1377" w:type="dxa"/>
            <w:vAlign w:val="center"/>
          </w:tcPr>
          <w:p w14:paraId="3DCC9E94" w14:textId="4C606458" w:rsidR="0067337D" w:rsidRPr="0067337D" w:rsidRDefault="0067337D" w:rsidP="00B95C45">
            <w:pPr>
              <w:jc w:val="center"/>
            </w:pPr>
            <w:r w:rsidRPr="0067337D">
              <w:t>939 ± 112</w:t>
            </w:r>
          </w:p>
        </w:tc>
        <w:tc>
          <w:tcPr>
            <w:tcW w:w="1350" w:type="dxa"/>
            <w:vAlign w:val="center"/>
          </w:tcPr>
          <w:p w14:paraId="6DEC7A31" w14:textId="18AF6FCB" w:rsidR="0067337D" w:rsidRPr="0067337D" w:rsidRDefault="0067337D" w:rsidP="00B95C45">
            <w:pPr>
              <w:jc w:val="center"/>
            </w:pPr>
            <w:r w:rsidRPr="0067337D">
              <w:t>970 ± 23</w:t>
            </w:r>
          </w:p>
        </w:tc>
        <w:tc>
          <w:tcPr>
            <w:tcW w:w="1350" w:type="dxa"/>
            <w:vAlign w:val="center"/>
          </w:tcPr>
          <w:p w14:paraId="62D0F753" w14:textId="4FAEDC61" w:rsidR="0067337D" w:rsidRPr="0067337D" w:rsidRDefault="0067337D" w:rsidP="00B95C45">
            <w:pPr>
              <w:jc w:val="center"/>
            </w:pPr>
            <w:r w:rsidRPr="0067337D">
              <w:t>886 ± 36</w:t>
            </w:r>
          </w:p>
        </w:tc>
      </w:tr>
      <w:tr w:rsidR="0067337D" w:rsidRPr="0067337D" w14:paraId="53E93229" w14:textId="05AD2763" w:rsidTr="00B95C45">
        <w:trPr>
          <w:trHeight w:val="342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3C885A" w14:textId="77777777" w:rsidR="0067337D" w:rsidRPr="0067337D" w:rsidRDefault="0067337D" w:rsidP="0067337D">
            <w:pPr>
              <w:ind w:left="164"/>
            </w:pPr>
            <w:r w:rsidRPr="0067337D">
              <w:t>Shannon (H’)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47D96E" w14:textId="456D724C" w:rsidR="0067337D" w:rsidRPr="0067337D" w:rsidRDefault="0067337D" w:rsidP="00B95C45">
            <w:pPr>
              <w:jc w:val="center"/>
            </w:pPr>
            <w:r w:rsidRPr="0067337D">
              <w:t>32.5%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3D6D5104" w14:textId="7A7B73BC" w:rsidR="0067337D" w:rsidRPr="0067337D" w:rsidRDefault="0067337D" w:rsidP="00B95C45">
            <w:pPr>
              <w:jc w:val="center"/>
            </w:pPr>
            <w:r w:rsidRPr="0067337D">
              <w:t>F</w:t>
            </w:r>
            <w:r w:rsidRPr="0067337D">
              <w:rPr>
                <w:vertAlign w:val="subscript"/>
              </w:rPr>
              <w:t>4,19</w:t>
            </w:r>
            <w:r w:rsidRPr="0067337D">
              <w:t xml:space="preserve"> = 2.29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5C9CA44" w14:textId="77777777" w:rsidR="0067337D" w:rsidRPr="0067337D" w:rsidRDefault="0067337D" w:rsidP="00B95C45">
            <w:pPr>
              <w:jc w:val="center"/>
            </w:pPr>
            <w:r w:rsidRPr="0067337D">
              <w:t>&gt; 0.05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96154F1" w14:textId="7A2EC07F" w:rsidR="0067337D" w:rsidRPr="0067337D" w:rsidRDefault="0067337D" w:rsidP="00B95C45">
            <w:pPr>
              <w:jc w:val="center"/>
            </w:pPr>
            <w:r w:rsidRPr="0067337D">
              <w:t>5.53 ± 0.32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36046AE8" w14:textId="6E37F91B" w:rsidR="0067337D" w:rsidRPr="0067337D" w:rsidRDefault="0067337D" w:rsidP="00B95C45">
            <w:pPr>
              <w:jc w:val="center"/>
            </w:pPr>
            <w:r w:rsidRPr="0067337D">
              <w:t>6.06 ± 0.07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62861973" w14:textId="7549157B" w:rsidR="0067337D" w:rsidRPr="0067337D" w:rsidRDefault="0067337D" w:rsidP="00B95C45">
            <w:pPr>
              <w:jc w:val="center"/>
            </w:pPr>
            <w:r w:rsidRPr="0067337D">
              <w:t>6.08 ± 0.12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4D8B4271" w14:textId="3A646F63" w:rsidR="0067337D" w:rsidRPr="0067337D" w:rsidRDefault="0067337D" w:rsidP="00B95C45">
            <w:pPr>
              <w:jc w:val="center"/>
            </w:pPr>
            <w:r w:rsidRPr="0067337D">
              <w:t>6.15 ± 0.21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280D7F1" w14:textId="04CE2C9E" w:rsidR="0067337D" w:rsidRPr="0067337D" w:rsidRDefault="0067337D" w:rsidP="00B95C45">
            <w:pPr>
              <w:jc w:val="center"/>
            </w:pPr>
            <w:r w:rsidRPr="0067337D">
              <w:t>6.22 ± 0.07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ECCBA95" w14:textId="37F5EBCA" w:rsidR="0067337D" w:rsidRPr="0067337D" w:rsidRDefault="0067337D" w:rsidP="00B95C45">
            <w:pPr>
              <w:jc w:val="center"/>
            </w:pPr>
            <w:r w:rsidRPr="0067337D">
              <w:t>6.08 ± 0.08</w:t>
            </w:r>
          </w:p>
        </w:tc>
      </w:tr>
    </w:tbl>
    <w:p w14:paraId="48E68D1D" w14:textId="09D11AAF" w:rsidR="009D529E" w:rsidRDefault="009D529E" w:rsidP="009F392E">
      <w:pPr>
        <w:rPr>
          <w:rFonts w:ascii="Helvetica" w:hAnsi="Helvetica" w:cs="Helvetica"/>
          <w:noProof/>
        </w:rPr>
        <w:sectPr w:rsidR="009D529E" w:rsidSect="0067337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35F5084" w14:textId="2553CBDB" w:rsidR="009F392E" w:rsidRDefault="00324BCD" w:rsidP="009F392E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AC0636F" wp14:editId="098BF8A9">
            <wp:extent cx="5943600" cy="36677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000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C4503" w14:textId="6DC42654" w:rsidR="00795EF8" w:rsidRDefault="00405420" w:rsidP="00837F08">
      <w:r w:rsidRPr="00F876AC">
        <w:rPr>
          <w:b/>
        </w:rPr>
        <w:t>Supplementa</w:t>
      </w:r>
      <w:r>
        <w:rPr>
          <w:b/>
        </w:rPr>
        <w:t xml:space="preserve">ry </w:t>
      </w:r>
      <w:r w:rsidR="00837F08">
        <w:rPr>
          <w:b/>
        </w:rPr>
        <w:t>Figure</w:t>
      </w:r>
      <w:r w:rsidR="00837F08" w:rsidRPr="00D85878">
        <w:rPr>
          <w:b/>
        </w:rPr>
        <w:t xml:space="preserve"> </w:t>
      </w:r>
      <w:r w:rsidR="00837F08">
        <w:rPr>
          <w:b/>
        </w:rPr>
        <w:t xml:space="preserve">1: </w:t>
      </w:r>
      <w:r w:rsidR="00837F08" w:rsidRPr="00EC0CD8">
        <w:t xml:space="preserve">Rarefaction curves showing OTU richness as a function of sequencing depth. Rarefaction analysis </w:t>
      </w:r>
      <w:r w:rsidR="00837F08">
        <w:t>shows</w:t>
      </w:r>
      <w:r w:rsidR="00837F08" w:rsidRPr="00EC0CD8">
        <w:t xml:space="preserve"> that sequencing depth </w:t>
      </w:r>
      <w:r w:rsidR="00837F08">
        <w:t xml:space="preserve">sufficiently </w:t>
      </w:r>
      <w:r w:rsidR="00837F08" w:rsidRPr="00EC0CD8">
        <w:t>capture</w:t>
      </w:r>
      <w:r w:rsidR="00837F08">
        <w:t>d</w:t>
      </w:r>
      <w:r w:rsidR="00837F08" w:rsidRPr="00EC0CD8">
        <w:t xml:space="preserve"> OTU richness.</w:t>
      </w:r>
      <w:r w:rsidR="00837F08">
        <w:t xml:space="preserve"> </w:t>
      </w:r>
      <w:r w:rsidR="00837F08" w:rsidRPr="008F1E0F">
        <w:t>Paired-end read</w:t>
      </w:r>
      <w:r w:rsidR="00324BCD">
        <w:t xml:space="preserve">s </w:t>
      </w:r>
      <w:r w:rsidR="00837F08" w:rsidRPr="008F1E0F">
        <w:t>were rarified</w:t>
      </w:r>
      <w:r w:rsidR="00837F08" w:rsidRPr="00EC0CD8">
        <w:t xml:space="preserve"> to </w:t>
      </w:r>
      <w:r w:rsidR="00837F08">
        <w:t>the minimum sequence depth (20,135 reads).</w:t>
      </w:r>
    </w:p>
    <w:p w14:paraId="5729CD4F" w14:textId="77777777" w:rsidR="00795EF8" w:rsidRDefault="00795EF8">
      <w:r>
        <w:br w:type="page"/>
      </w:r>
    </w:p>
    <w:p w14:paraId="516909C0" w14:textId="77777777" w:rsidR="00837F08" w:rsidRDefault="00837F08" w:rsidP="00837F08"/>
    <w:p w14:paraId="64CBE3B4" w14:textId="7CEB4CB3" w:rsidR="00324BCD" w:rsidRDefault="00324BCD" w:rsidP="00837F08">
      <w:pPr>
        <w:rPr>
          <w:b/>
        </w:rPr>
      </w:pPr>
    </w:p>
    <w:p w14:paraId="69EA66D6" w14:textId="77777777" w:rsidR="00324BCD" w:rsidRPr="00612CE8" w:rsidRDefault="00324BCD" w:rsidP="00837F08">
      <w:pPr>
        <w:rPr>
          <w:b/>
        </w:rPr>
      </w:pPr>
    </w:p>
    <w:p w14:paraId="029DDECF" w14:textId="77777777" w:rsidR="00795EF8" w:rsidRDefault="00795EF8"/>
    <w:p w14:paraId="3693491B" w14:textId="77777777" w:rsidR="00795EF8" w:rsidRDefault="00795EF8"/>
    <w:p w14:paraId="7EC20021" w14:textId="77777777" w:rsidR="00795EF8" w:rsidRDefault="00795EF8"/>
    <w:p w14:paraId="5B558DDB" w14:textId="77777777" w:rsidR="00795EF8" w:rsidRDefault="00795EF8"/>
    <w:p w14:paraId="56E9513D" w14:textId="77777777" w:rsidR="00795EF8" w:rsidRDefault="00795EF8"/>
    <w:p w14:paraId="259B8F91" w14:textId="77777777" w:rsidR="00795EF8" w:rsidRDefault="00795EF8"/>
    <w:p w14:paraId="266D8683" w14:textId="77777777" w:rsidR="00795EF8" w:rsidRDefault="00795EF8"/>
    <w:p w14:paraId="451BEC0E" w14:textId="77777777" w:rsidR="00795EF8" w:rsidRDefault="00795EF8"/>
    <w:p w14:paraId="19E0E0B9" w14:textId="77777777" w:rsidR="00795EF8" w:rsidRDefault="00795EF8"/>
    <w:p w14:paraId="720D0D61" w14:textId="77777777" w:rsidR="00795EF8" w:rsidRDefault="00795EF8"/>
    <w:p w14:paraId="69729BA5" w14:textId="77777777" w:rsidR="00795EF8" w:rsidRDefault="00795EF8"/>
    <w:p w14:paraId="1AAE8612" w14:textId="77777777" w:rsidR="00795EF8" w:rsidRDefault="00795EF8"/>
    <w:p w14:paraId="7DE438F3" w14:textId="77777777" w:rsidR="00795EF8" w:rsidRDefault="00795EF8"/>
    <w:p w14:paraId="7036F057" w14:textId="77777777" w:rsidR="00795EF8" w:rsidRDefault="00795EF8"/>
    <w:p w14:paraId="0A15F9B6" w14:textId="77777777" w:rsidR="00795EF8" w:rsidRDefault="00795EF8"/>
    <w:p w14:paraId="557A8EF2" w14:textId="77777777" w:rsidR="00795EF8" w:rsidRDefault="00795EF8"/>
    <w:p w14:paraId="52FC86A7" w14:textId="77777777" w:rsidR="00795EF8" w:rsidRDefault="00795EF8"/>
    <w:p w14:paraId="76E90521" w14:textId="0084D9D7" w:rsidR="00CD496C" w:rsidRPr="00CD496C" w:rsidRDefault="00CD496C" w:rsidP="00CD496C"/>
    <w:p w14:paraId="2E07A475" w14:textId="40BF688B" w:rsidR="00AB3B61" w:rsidRDefault="000670C1">
      <w:r>
        <w:rPr>
          <w:noProof/>
        </w:rPr>
        <w:drawing>
          <wp:anchor distT="0" distB="0" distL="114300" distR="114300" simplePos="0" relativeHeight="251703296" behindDoc="0" locked="0" layoutInCell="1" allowOverlap="1" wp14:anchorId="0A1A64F5" wp14:editId="5D9921B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96063" cy="4596063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_show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063" cy="4596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AAE1D2" w14:textId="18D05848" w:rsidR="00F876AC" w:rsidRDefault="00405420">
      <w:r w:rsidRPr="00F876AC">
        <w:rPr>
          <w:b/>
        </w:rPr>
        <w:t>Supplementa</w:t>
      </w:r>
      <w:r>
        <w:rPr>
          <w:b/>
        </w:rPr>
        <w:t xml:space="preserve">ry </w:t>
      </w:r>
      <w:r w:rsidR="00CD496C">
        <w:rPr>
          <w:b/>
        </w:rPr>
        <w:t xml:space="preserve">Figure </w:t>
      </w:r>
      <w:r w:rsidR="00F876AC">
        <w:rPr>
          <w:b/>
        </w:rPr>
        <w:t>2</w:t>
      </w:r>
      <w:r w:rsidR="00CD496C">
        <w:rPr>
          <w:b/>
        </w:rPr>
        <w:t>:</w:t>
      </w:r>
      <w:r w:rsidR="00CD496C" w:rsidRPr="00837F08">
        <w:t>.</w:t>
      </w:r>
      <w:r w:rsidR="000670C1">
        <w:t xml:space="preserve"> </w:t>
      </w:r>
      <w:r w:rsidR="00310E24">
        <w:t>Non-metric multidimensional scaling plot showing separation of the soil microbiome based on Bray-Curtis dissimilarities across the five selected wetland sites. Microbial community composition did not statistically differ by site (PERMANOVA = F</w:t>
      </w:r>
      <w:r w:rsidR="00310E24" w:rsidRPr="000670C1">
        <w:rPr>
          <w:vertAlign w:val="subscript"/>
        </w:rPr>
        <w:t>4,19</w:t>
      </w:r>
      <w:r w:rsidR="00310E24">
        <w:t xml:space="preserve"> = 1.198, p &gt; 0.05).</w:t>
      </w:r>
      <w:r w:rsidR="00F876AC">
        <w:br w:type="page"/>
      </w:r>
    </w:p>
    <w:p w14:paraId="526319DB" w14:textId="77777777" w:rsidR="00F876AC" w:rsidRDefault="00F876AC" w:rsidP="00F876AC"/>
    <w:p w14:paraId="3EE3C87E" w14:textId="77777777" w:rsidR="00F876AC" w:rsidRDefault="00F876AC" w:rsidP="00F876AC"/>
    <w:p w14:paraId="438F4CC2" w14:textId="77777777" w:rsidR="00F876AC" w:rsidRDefault="00F876AC" w:rsidP="00F876AC"/>
    <w:p w14:paraId="6B809726" w14:textId="77777777" w:rsidR="00F876AC" w:rsidRDefault="00F876AC" w:rsidP="00F876AC"/>
    <w:p w14:paraId="3F33837E" w14:textId="77777777" w:rsidR="00F876AC" w:rsidRDefault="00F876AC" w:rsidP="00F876AC"/>
    <w:p w14:paraId="364847D3" w14:textId="77777777" w:rsidR="00F876AC" w:rsidRDefault="00F876AC" w:rsidP="00F876AC"/>
    <w:p w14:paraId="0DF83555" w14:textId="77777777" w:rsidR="00F876AC" w:rsidRDefault="00F876AC" w:rsidP="00F876AC"/>
    <w:p w14:paraId="0622C2E4" w14:textId="77777777" w:rsidR="00F876AC" w:rsidRDefault="00F876AC" w:rsidP="00F876AC"/>
    <w:p w14:paraId="7E9B6377" w14:textId="17D6B76F" w:rsidR="00F876AC" w:rsidRDefault="00F876AC" w:rsidP="00F876AC">
      <w:r w:rsidRPr="00795EF8">
        <w:rPr>
          <w:b/>
          <w:noProof/>
        </w:rPr>
        <w:drawing>
          <wp:anchor distT="0" distB="0" distL="114300" distR="114300" simplePos="0" relativeHeight="251705344" behindDoc="0" locked="0" layoutInCell="1" allowOverlap="1" wp14:anchorId="052C19E7" wp14:editId="07EA733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35902" cy="4735902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inant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902" cy="4735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420" w:rsidRPr="00405420">
        <w:rPr>
          <w:b/>
        </w:rPr>
        <w:t xml:space="preserve"> </w:t>
      </w:r>
      <w:r w:rsidR="00405420" w:rsidRPr="00F876AC">
        <w:rPr>
          <w:b/>
        </w:rPr>
        <w:t>Supplementa</w:t>
      </w:r>
      <w:r w:rsidR="00405420">
        <w:rPr>
          <w:b/>
        </w:rPr>
        <w:t xml:space="preserve">ry </w:t>
      </w:r>
      <w:bookmarkStart w:id="0" w:name="_GoBack"/>
      <w:bookmarkEnd w:id="0"/>
      <w:r w:rsidRPr="00795EF8">
        <w:rPr>
          <w:b/>
        </w:rPr>
        <w:t xml:space="preserve">Figure </w:t>
      </w:r>
      <w:r>
        <w:rPr>
          <w:b/>
        </w:rPr>
        <w:t>3</w:t>
      </w:r>
      <w:r>
        <w:t>: Mean relative abundance of dominant bacterial phyla across each of the five hydrologic zones.</w:t>
      </w:r>
    </w:p>
    <w:p w14:paraId="48DFF266" w14:textId="77777777" w:rsidR="000670C1" w:rsidRDefault="000670C1" w:rsidP="00CD496C"/>
    <w:p w14:paraId="1E46B353" w14:textId="195A301A" w:rsidR="0067337D" w:rsidRDefault="0067337D" w:rsidP="00CD496C">
      <w:pPr>
        <w:rPr>
          <w:b/>
        </w:rPr>
      </w:pPr>
    </w:p>
    <w:p w14:paraId="33F40AB8" w14:textId="77777777" w:rsidR="0067337D" w:rsidRDefault="0067337D" w:rsidP="00CD496C">
      <w:pPr>
        <w:rPr>
          <w:b/>
        </w:rPr>
      </w:pPr>
    </w:p>
    <w:p w14:paraId="566900EA" w14:textId="77777777" w:rsidR="00CD496C" w:rsidRDefault="00CD496C"/>
    <w:sectPr w:rsidR="00CD496C" w:rsidSect="00324BCD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8642A" w14:textId="77777777" w:rsidR="00D41C8F" w:rsidRDefault="00D41C8F">
      <w:r>
        <w:separator/>
      </w:r>
    </w:p>
  </w:endnote>
  <w:endnote w:type="continuationSeparator" w:id="0">
    <w:p w14:paraId="164F923B" w14:textId="77777777" w:rsidR="00D41C8F" w:rsidRDefault="00D4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6FD7" w14:textId="77777777" w:rsidR="00B83C52" w:rsidRDefault="00B83C52" w:rsidP="009125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64687" w14:textId="77777777" w:rsidR="00B83C52" w:rsidRDefault="00B83C52" w:rsidP="009125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28947" w14:textId="77777777" w:rsidR="00B83C52" w:rsidRDefault="00B83C52" w:rsidP="009125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492902" w14:textId="77777777" w:rsidR="00B83C52" w:rsidRDefault="00B83C52" w:rsidP="009125B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8AB5F" w14:textId="77777777" w:rsidR="00B83C52" w:rsidRDefault="00B83C52" w:rsidP="009125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6350DA" w14:textId="77777777" w:rsidR="00B83C52" w:rsidRDefault="00B83C52" w:rsidP="009125B4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A7027" w14:textId="77777777" w:rsidR="00B83C52" w:rsidRDefault="00B83C52" w:rsidP="009125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ED64B4" w14:textId="77777777" w:rsidR="00B83C52" w:rsidRDefault="00B83C52" w:rsidP="009125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1F00F" w14:textId="77777777" w:rsidR="00D41C8F" w:rsidRDefault="00D41C8F">
      <w:r>
        <w:separator/>
      </w:r>
    </w:p>
  </w:footnote>
  <w:footnote w:type="continuationSeparator" w:id="0">
    <w:p w14:paraId="602C114E" w14:textId="77777777" w:rsidR="00D41C8F" w:rsidRDefault="00D41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C1C8" w14:textId="77777777" w:rsidR="00E94A49" w:rsidRDefault="00E94A49" w:rsidP="00E94A49">
    <w:pPr>
      <w:pStyle w:val="SupplementaryMaterial"/>
    </w:pPr>
    <w:r w:rsidRPr="001549D3">
      <w:t>Supplementary Material</w:t>
    </w:r>
  </w:p>
  <w:p w14:paraId="1CFDA7AD" w14:textId="77777777" w:rsidR="00E94A49" w:rsidRDefault="00E94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CC5"/>
    <w:multiLevelType w:val="hybridMultilevel"/>
    <w:tmpl w:val="3EC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13EC"/>
    <w:multiLevelType w:val="hybridMultilevel"/>
    <w:tmpl w:val="1490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09BE"/>
    <w:multiLevelType w:val="hybridMultilevel"/>
    <w:tmpl w:val="008EB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B57740"/>
    <w:multiLevelType w:val="hybridMultilevel"/>
    <w:tmpl w:val="3D5C3B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E521F15"/>
    <w:multiLevelType w:val="hybridMultilevel"/>
    <w:tmpl w:val="517A1E20"/>
    <w:lvl w:ilvl="0" w:tplc="606099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322B"/>
    <w:multiLevelType w:val="hybridMultilevel"/>
    <w:tmpl w:val="C3B4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00761"/>
    <w:multiLevelType w:val="hybridMultilevel"/>
    <w:tmpl w:val="1CC2C1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091A25"/>
    <w:multiLevelType w:val="hybridMultilevel"/>
    <w:tmpl w:val="845C5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63C58"/>
    <w:multiLevelType w:val="hybridMultilevel"/>
    <w:tmpl w:val="E8CC9420"/>
    <w:lvl w:ilvl="0" w:tplc="6CB03028">
      <w:start w:val="9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6569C"/>
    <w:multiLevelType w:val="hybridMultilevel"/>
    <w:tmpl w:val="D140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B4C5C"/>
    <w:multiLevelType w:val="hybridMultilevel"/>
    <w:tmpl w:val="4E72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C25A4"/>
    <w:multiLevelType w:val="hybridMultilevel"/>
    <w:tmpl w:val="5DF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15E46"/>
    <w:multiLevelType w:val="hybridMultilevel"/>
    <w:tmpl w:val="D29A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F424C"/>
    <w:multiLevelType w:val="hybridMultilevel"/>
    <w:tmpl w:val="DB446D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637CE7"/>
    <w:multiLevelType w:val="hybridMultilevel"/>
    <w:tmpl w:val="DC8ECB9C"/>
    <w:lvl w:ilvl="0" w:tplc="606099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0061F"/>
    <w:multiLevelType w:val="hybridMultilevel"/>
    <w:tmpl w:val="06D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01194"/>
    <w:multiLevelType w:val="hybridMultilevel"/>
    <w:tmpl w:val="331E7C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C91E33"/>
    <w:multiLevelType w:val="hybridMultilevel"/>
    <w:tmpl w:val="72F2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8555D"/>
    <w:multiLevelType w:val="hybridMultilevel"/>
    <w:tmpl w:val="3F5C3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316402"/>
    <w:multiLevelType w:val="hybridMultilevel"/>
    <w:tmpl w:val="0D0E1D7E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175E83"/>
    <w:multiLevelType w:val="hybridMultilevel"/>
    <w:tmpl w:val="706E8680"/>
    <w:lvl w:ilvl="0" w:tplc="417CB112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C528A"/>
    <w:multiLevelType w:val="hybridMultilevel"/>
    <w:tmpl w:val="6676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65441"/>
    <w:multiLevelType w:val="hybridMultilevel"/>
    <w:tmpl w:val="16BE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4529D"/>
    <w:multiLevelType w:val="hybridMultilevel"/>
    <w:tmpl w:val="4F56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9705E"/>
    <w:multiLevelType w:val="hybridMultilevel"/>
    <w:tmpl w:val="439E7122"/>
    <w:lvl w:ilvl="0" w:tplc="4D88D6F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64BA0"/>
    <w:multiLevelType w:val="hybridMultilevel"/>
    <w:tmpl w:val="85FC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B09D3"/>
    <w:multiLevelType w:val="hybridMultilevel"/>
    <w:tmpl w:val="3F283F9E"/>
    <w:lvl w:ilvl="0" w:tplc="FEBAB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57AEC"/>
    <w:multiLevelType w:val="hybridMultilevel"/>
    <w:tmpl w:val="D3AE7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600BD"/>
    <w:multiLevelType w:val="hybridMultilevel"/>
    <w:tmpl w:val="F842B45C"/>
    <w:lvl w:ilvl="0" w:tplc="4D88D6F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1597B"/>
    <w:multiLevelType w:val="hybridMultilevel"/>
    <w:tmpl w:val="047E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C0059"/>
    <w:multiLevelType w:val="hybridMultilevel"/>
    <w:tmpl w:val="CF2C53D4"/>
    <w:lvl w:ilvl="0" w:tplc="82F21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66DA0"/>
    <w:multiLevelType w:val="hybridMultilevel"/>
    <w:tmpl w:val="B528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A2ED2"/>
    <w:multiLevelType w:val="hybridMultilevel"/>
    <w:tmpl w:val="68A02210"/>
    <w:lvl w:ilvl="0" w:tplc="9F80684E">
      <w:start w:val="4"/>
      <w:numFmt w:val="bullet"/>
      <w:lvlText w:val="-"/>
      <w:lvlJc w:val="left"/>
      <w:pPr>
        <w:ind w:left="1580" w:hanging="8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591DD1"/>
    <w:multiLevelType w:val="hybridMultilevel"/>
    <w:tmpl w:val="B072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C3410"/>
    <w:multiLevelType w:val="hybridMultilevel"/>
    <w:tmpl w:val="845C5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01988"/>
    <w:multiLevelType w:val="hybridMultilevel"/>
    <w:tmpl w:val="732E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47688"/>
    <w:multiLevelType w:val="hybridMultilevel"/>
    <w:tmpl w:val="D60E5546"/>
    <w:lvl w:ilvl="0" w:tplc="4AF4C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151EA"/>
    <w:multiLevelType w:val="hybridMultilevel"/>
    <w:tmpl w:val="9FC6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42CE6"/>
    <w:multiLevelType w:val="hybridMultilevel"/>
    <w:tmpl w:val="67CC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37282"/>
    <w:multiLevelType w:val="hybridMultilevel"/>
    <w:tmpl w:val="69DC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6"/>
  </w:num>
  <w:num w:numId="4">
    <w:abstractNumId w:val="34"/>
  </w:num>
  <w:num w:numId="5">
    <w:abstractNumId w:val="18"/>
  </w:num>
  <w:num w:numId="6">
    <w:abstractNumId w:val="22"/>
  </w:num>
  <w:num w:numId="7">
    <w:abstractNumId w:val="17"/>
  </w:num>
  <w:num w:numId="8">
    <w:abstractNumId w:val="3"/>
  </w:num>
  <w:num w:numId="9">
    <w:abstractNumId w:val="1"/>
  </w:num>
  <w:num w:numId="10">
    <w:abstractNumId w:val="29"/>
  </w:num>
  <w:num w:numId="11">
    <w:abstractNumId w:val="31"/>
  </w:num>
  <w:num w:numId="12">
    <w:abstractNumId w:val="25"/>
  </w:num>
  <w:num w:numId="13">
    <w:abstractNumId w:val="32"/>
  </w:num>
  <w:num w:numId="14">
    <w:abstractNumId w:val="0"/>
  </w:num>
  <w:num w:numId="15">
    <w:abstractNumId w:val="24"/>
  </w:num>
  <w:num w:numId="16">
    <w:abstractNumId w:val="28"/>
  </w:num>
  <w:num w:numId="17">
    <w:abstractNumId w:val="6"/>
  </w:num>
  <w:num w:numId="18">
    <w:abstractNumId w:val="35"/>
  </w:num>
  <w:num w:numId="19">
    <w:abstractNumId w:val="12"/>
  </w:num>
  <w:num w:numId="20">
    <w:abstractNumId w:val="9"/>
  </w:num>
  <w:num w:numId="21">
    <w:abstractNumId w:val="10"/>
  </w:num>
  <w:num w:numId="22">
    <w:abstractNumId w:val="14"/>
  </w:num>
  <w:num w:numId="23">
    <w:abstractNumId w:val="4"/>
  </w:num>
  <w:num w:numId="24">
    <w:abstractNumId w:val="5"/>
  </w:num>
  <w:num w:numId="25">
    <w:abstractNumId w:val="8"/>
  </w:num>
  <w:num w:numId="26">
    <w:abstractNumId w:val="20"/>
  </w:num>
  <w:num w:numId="27">
    <w:abstractNumId w:val="23"/>
  </w:num>
  <w:num w:numId="28">
    <w:abstractNumId w:val="38"/>
  </w:num>
  <w:num w:numId="29">
    <w:abstractNumId w:val="21"/>
  </w:num>
  <w:num w:numId="30">
    <w:abstractNumId w:val="39"/>
  </w:num>
  <w:num w:numId="31">
    <w:abstractNumId w:val="15"/>
  </w:num>
  <w:num w:numId="32">
    <w:abstractNumId w:val="37"/>
  </w:num>
  <w:num w:numId="33">
    <w:abstractNumId w:val="16"/>
  </w:num>
  <w:num w:numId="34">
    <w:abstractNumId w:val="2"/>
  </w:num>
  <w:num w:numId="35">
    <w:abstractNumId w:val="33"/>
  </w:num>
  <w:num w:numId="36">
    <w:abstractNumId w:val="13"/>
  </w:num>
  <w:num w:numId="37">
    <w:abstractNumId w:val="19"/>
  </w:num>
  <w:num w:numId="38">
    <w:abstractNumId w:val="36"/>
  </w:num>
  <w:num w:numId="39">
    <w:abstractNumId w:val="3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2E"/>
    <w:rsid w:val="00000588"/>
    <w:rsid w:val="00003007"/>
    <w:rsid w:val="00005AEA"/>
    <w:rsid w:val="0004243A"/>
    <w:rsid w:val="000670C1"/>
    <w:rsid w:val="00095265"/>
    <w:rsid w:val="000A1288"/>
    <w:rsid w:val="000A3F85"/>
    <w:rsid w:val="000C099D"/>
    <w:rsid w:val="000C3698"/>
    <w:rsid w:val="000F1ACB"/>
    <w:rsid w:val="000F76D7"/>
    <w:rsid w:val="0010347F"/>
    <w:rsid w:val="001215CE"/>
    <w:rsid w:val="001274A5"/>
    <w:rsid w:val="00131403"/>
    <w:rsid w:val="00181509"/>
    <w:rsid w:val="00184120"/>
    <w:rsid w:val="00186CE9"/>
    <w:rsid w:val="00191995"/>
    <w:rsid w:val="00193729"/>
    <w:rsid w:val="00195F0B"/>
    <w:rsid w:val="001C1F08"/>
    <w:rsid w:val="001C4132"/>
    <w:rsid w:val="001C42BE"/>
    <w:rsid w:val="001C5470"/>
    <w:rsid w:val="001F2C13"/>
    <w:rsid w:val="0020184A"/>
    <w:rsid w:val="0021200D"/>
    <w:rsid w:val="00213080"/>
    <w:rsid w:val="002166D9"/>
    <w:rsid w:val="00217D5C"/>
    <w:rsid w:val="00236B5D"/>
    <w:rsid w:val="002547C3"/>
    <w:rsid w:val="002649CA"/>
    <w:rsid w:val="00264BAA"/>
    <w:rsid w:val="00282CD9"/>
    <w:rsid w:val="00293C87"/>
    <w:rsid w:val="002A29AF"/>
    <w:rsid w:val="002A4212"/>
    <w:rsid w:val="002B09A8"/>
    <w:rsid w:val="002B181F"/>
    <w:rsid w:val="002B4DD1"/>
    <w:rsid w:val="002D3488"/>
    <w:rsid w:val="002F6CA7"/>
    <w:rsid w:val="003046B2"/>
    <w:rsid w:val="00310E24"/>
    <w:rsid w:val="00314D56"/>
    <w:rsid w:val="00314EAF"/>
    <w:rsid w:val="00324BCD"/>
    <w:rsid w:val="003262B8"/>
    <w:rsid w:val="00332886"/>
    <w:rsid w:val="00334898"/>
    <w:rsid w:val="00336821"/>
    <w:rsid w:val="00345226"/>
    <w:rsid w:val="003471D0"/>
    <w:rsid w:val="00365F96"/>
    <w:rsid w:val="00382E5D"/>
    <w:rsid w:val="00386891"/>
    <w:rsid w:val="00391B30"/>
    <w:rsid w:val="003A3407"/>
    <w:rsid w:val="003B3D82"/>
    <w:rsid w:val="003B4A26"/>
    <w:rsid w:val="003C3978"/>
    <w:rsid w:val="003F006D"/>
    <w:rsid w:val="00405420"/>
    <w:rsid w:val="0041041A"/>
    <w:rsid w:val="004178AD"/>
    <w:rsid w:val="004267B4"/>
    <w:rsid w:val="0044416D"/>
    <w:rsid w:val="00451A9A"/>
    <w:rsid w:val="0046552C"/>
    <w:rsid w:val="004661DA"/>
    <w:rsid w:val="004705E9"/>
    <w:rsid w:val="00481F69"/>
    <w:rsid w:val="00496B77"/>
    <w:rsid w:val="004A1C04"/>
    <w:rsid w:val="004A62DD"/>
    <w:rsid w:val="004B0D51"/>
    <w:rsid w:val="004B1660"/>
    <w:rsid w:val="004D785E"/>
    <w:rsid w:val="004F4E95"/>
    <w:rsid w:val="00512CBD"/>
    <w:rsid w:val="00516B94"/>
    <w:rsid w:val="00522C57"/>
    <w:rsid w:val="00524045"/>
    <w:rsid w:val="005304C5"/>
    <w:rsid w:val="00531388"/>
    <w:rsid w:val="00543158"/>
    <w:rsid w:val="00545EC2"/>
    <w:rsid w:val="00565077"/>
    <w:rsid w:val="00565BD8"/>
    <w:rsid w:val="0059756C"/>
    <w:rsid w:val="005A455B"/>
    <w:rsid w:val="005B75F5"/>
    <w:rsid w:val="005D2DAF"/>
    <w:rsid w:val="005E5428"/>
    <w:rsid w:val="005F6557"/>
    <w:rsid w:val="00604983"/>
    <w:rsid w:val="0062358A"/>
    <w:rsid w:val="00627F1D"/>
    <w:rsid w:val="00632F32"/>
    <w:rsid w:val="00633636"/>
    <w:rsid w:val="00634EE1"/>
    <w:rsid w:val="00640623"/>
    <w:rsid w:val="00643DA3"/>
    <w:rsid w:val="00670F8B"/>
    <w:rsid w:val="00671188"/>
    <w:rsid w:val="0067337D"/>
    <w:rsid w:val="00680FE9"/>
    <w:rsid w:val="00697BFE"/>
    <w:rsid w:val="006B3DA3"/>
    <w:rsid w:val="006C1D64"/>
    <w:rsid w:val="006C7B12"/>
    <w:rsid w:val="006D1DE1"/>
    <w:rsid w:val="006E152C"/>
    <w:rsid w:val="006E3600"/>
    <w:rsid w:val="006F7D1B"/>
    <w:rsid w:val="00700971"/>
    <w:rsid w:val="00701241"/>
    <w:rsid w:val="00706C8D"/>
    <w:rsid w:val="007138AD"/>
    <w:rsid w:val="007212F1"/>
    <w:rsid w:val="0072136F"/>
    <w:rsid w:val="00726A04"/>
    <w:rsid w:val="00772A66"/>
    <w:rsid w:val="00773608"/>
    <w:rsid w:val="00795EF8"/>
    <w:rsid w:val="007B045D"/>
    <w:rsid w:val="0080060E"/>
    <w:rsid w:val="008079BA"/>
    <w:rsid w:val="00827265"/>
    <w:rsid w:val="00837F08"/>
    <w:rsid w:val="00847E14"/>
    <w:rsid w:val="008562E0"/>
    <w:rsid w:val="00860475"/>
    <w:rsid w:val="00872E83"/>
    <w:rsid w:val="008A1EF4"/>
    <w:rsid w:val="008C1795"/>
    <w:rsid w:val="00911C30"/>
    <w:rsid w:val="009125B4"/>
    <w:rsid w:val="00920C7E"/>
    <w:rsid w:val="00923E35"/>
    <w:rsid w:val="00927224"/>
    <w:rsid w:val="009273FA"/>
    <w:rsid w:val="009314CE"/>
    <w:rsid w:val="00990BE4"/>
    <w:rsid w:val="00994143"/>
    <w:rsid w:val="009A4BE7"/>
    <w:rsid w:val="009A51E5"/>
    <w:rsid w:val="009B1DBF"/>
    <w:rsid w:val="009B6517"/>
    <w:rsid w:val="009D529E"/>
    <w:rsid w:val="009F392E"/>
    <w:rsid w:val="00A0200E"/>
    <w:rsid w:val="00A13FB8"/>
    <w:rsid w:val="00A24836"/>
    <w:rsid w:val="00A24DB5"/>
    <w:rsid w:val="00A25D5D"/>
    <w:rsid w:val="00A56F06"/>
    <w:rsid w:val="00A64CF8"/>
    <w:rsid w:val="00A7354D"/>
    <w:rsid w:val="00A92732"/>
    <w:rsid w:val="00A94874"/>
    <w:rsid w:val="00AA613F"/>
    <w:rsid w:val="00AB0757"/>
    <w:rsid w:val="00AB3B61"/>
    <w:rsid w:val="00AB4882"/>
    <w:rsid w:val="00AB6B4E"/>
    <w:rsid w:val="00AD554F"/>
    <w:rsid w:val="00B10A4F"/>
    <w:rsid w:val="00B43BDA"/>
    <w:rsid w:val="00B570BC"/>
    <w:rsid w:val="00B60489"/>
    <w:rsid w:val="00B668AC"/>
    <w:rsid w:val="00B706B4"/>
    <w:rsid w:val="00B750E6"/>
    <w:rsid w:val="00B83C52"/>
    <w:rsid w:val="00B95C45"/>
    <w:rsid w:val="00BA14CC"/>
    <w:rsid w:val="00BD279F"/>
    <w:rsid w:val="00BE2C9E"/>
    <w:rsid w:val="00BE5F8D"/>
    <w:rsid w:val="00BF1F16"/>
    <w:rsid w:val="00BF218A"/>
    <w:rsid w:val="00C035C1"/>
    <w:rsid w:val="00C26021"/>
    <w:rsid w:val="00C35769"/>
    <w:rsid w:val="00C4483C"/>
    <w:rsid w:val="00C66A17"/>
    <w:rsid w:val="00C7680D"/>
    <w:rsid w:val="00CA3A37"/>
    <w:rsid w:val="00CB5E22"/>
    <w:rsid w:val="00CD496C"/>
    <w:rsid w:val="00D0659B"/>
    <w:rsid w:val="00D173AB"/>
    <w:rsid w:val="00D1773A"/>
    <w:rsid w:val="00D32644"/>
    <w:rsid w:val="00D36575"/>
    <w:rsid w:val="00D41C8F"/>
    <w:rsid w:val="00D50A43"/>
    <w:rsid w:val="00D825A7"/>
    <w:rsid w:val="00D83B6C"/>
    <w:rsid w:val="00D83B84"/>
    <w:rsid w:val="00D84EFA"/>
    <w:rsid w:val="00D86618"/>
    <w:rsid w:val="00D93B81"/>
    <w:rsid w:val="00D96185"/>
    <w:rsid w:val="00DC6174"/>
    <w:rsid w:val="00DC668C"/>
    <w:rsid w:val="00DD4E9F"/>
    <w:rsid w:val="00DD4FE1"/>
    <w:rsid w:val="00DD52E8"/>
    <w:rsid w:val="00DE4371"/>
    <w:rsid w:val="00DE746D"/>
    <w:rsid w:val="00DE76F1"/>
    <w:rsid w:val="00DF19D5"/>
    <w:rsid w:val="00E32315"/>
    <w:rsid w:val="00E36C64"/>
    <w:rsid w:val="00E4797A"/>
    <w:rsid w:val="00E639B7"/>
    <w:rsid w:val="00E67AAB"/>
    <w:rsid w:val="00E83760"/>
    <w:rsid w:val="00E94A49"/>
    <w:rsid w:val="00EA1ADF"/>
    <w:rsid w:val="00EB29E0"/>
    <w:rsid w:val="00ED484F"/>
    <w:rsid w:val="00EE51B9"/>
    <w:rsid w:val="00EF0499"/>
    <w:rsid w:val="00F159A8"/>
    <w:rsid w:val="00F24CAA"/>
    <w:rsid w:val="00F25486"/>
    <w:rsid w:val="00F301D5"/>
    <w:rsid w:val="00F45FD5"/>
    <w:rsid w:val="00F62130"/>
    <w:rsid w:val="00F644D7"/>
    <w:rsid w:val="00F81D52"/>
    <w:rsid w:val="00F83344"/>
    <w:rsid w:val="00F876AC"/>
    <w:rsid w:val="00FC58E3"/>
    <w:rsid w:val="00FD4691"/>
    <w:rsid w:val="00FE196C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4A35"/>
  <w15:chartTrackingRefBased/>
  <w15:docId w15:val="{CE1A3C1E-0D43-4845-A49E-0B0B389B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92E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92E"/>
    <w:pPr>
      <w:keepNext/>
      <w:keepLines/>
      <w:spacing w:before="200" w:line="480" w:lineRule="auto"/>
      <w:outlineLvl w:val="2"/>
    </w:pPr>
    <w:rPr>
      <w:rFonts w:eastAsiaTheme="majorEastAsia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392E"/>
    <w:rPr>
      <w:rFonts w:ascii="Times New Roman" w:eastAsiaTheme="majorEastAsia" w:hAnsi="Times New Roman" w:cs="Times New Roman"/>
      <w:bCs/>
      <w:i/>
    </w:rPr>
  </w:style>
  <w:style w:type="paragraph" w:styleId="Bibliography">
    <w:name w:val="Bibliography"/>
    <w:basedOn w:val="Normal"/>
    <w:next w:val="Normal"/>
    <w:uiPriority w:val="37"/>
    <w:unhideWhenUsed/>
    <w:rsid w:val="009F392E"/>
    <w:pPr>
      <w:tabs>
        <w:tab w:val="left" w:pos="380"/>
      </w:tabs>
      <w:ind w:left="720" w:hanging="720"/>
    </w:pPr>
  </w:style>
  <w:style w:type="table" w:styleId="TableGrid">
    <w:name w:val="Table Grid"/>
    <w:basedOn w:val="TableNormal"/>
    <w:uiPriority w:val="59"/>
    <w:rsid w:val="009F392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39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392E"/>
  </w:style>
  <w:style w:type="character" w:customStyle="1" w:styleId="CommentTextChar">
    <w:name w:val="Comment Text Char"/>
    <w:basedOn w:val="DefaultParagraphFont"/>
    <w:link w:val="CommentText"/>
    <w:uiPriority w:val="99"/>
    <w:rsid w:val="009F392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2E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9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3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92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F392E"/>
  </w:style>
  <w:style w:type="paragraph" w:styleId="NoSpacing">
    <w:name w:val="No Spacing"/>
    <w:uiPriority w:val="1"/>
    <w:qFormat/>
    <w:rsid w:val="009F392E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9F392E"/>
    <w:rPr>
      <w:i/>
      <w:iCs/>
    </w:rPr>
  </w:style>
  <w:style w:type="character" w:customStyle="1" w:styleId="apple-converted-space">
    <w:name w:val="apple-converted-space"/>
    <w:basedOn w:val="DefaultParagraphFont"/>
    <w:rsid w:val="009F392E"/>
  </w:style>
  <w:style w:type="character" w:styleId="Hyperlink">
    <w:name w:val="Hyperlink"/>
    <w:basedOn w:val="DefaultParagraphFont"/>
    <w:uiPriority w:val="99"/>
    <w:unhideWhenUsed/>
    <w:rsid w:val="009F39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92E"/>
    <w:pPr>
      <w:spacing w:before="100" w:beforeAutospacing="1" w:after="100" w:afterAutospacing="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92E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92E"/>
    <w:rPr>
      <w:rFonts w:ascii="Courier" w:eastAsia="Times New Roman" w:hAnsi="Courier" w:cs="Courier"/>
      <w:sz w:val="20"/>
      <w:szCs w:val="20"/>
    </w:rPr>
  </w:style>
  <w:style w:type="paragraph" w:styleId="Revision">
    <w:name w:val="Revision"/>
    <w:hidden/>
    <w:uiPriority w:val="99"/>
    <w:semiHidden/>
    <w:rsid w:val="009F392E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7138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5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D5D"/>
    <w:rPr>
      <w:rFonts w:ascii="Times New Roman" w:eastAsia="Times New Roman" w:hAnsi="Times New Roman" w:cs="Times New Roman"/>
    </w:rPr>
  </w:style>
  <w:style w:type="paragraph" w:customStyle="1" w:styleId="SupplementaryMaterial">
    <w:name w:val="Supplementary Material"/>
    <w:basedOn w:val="Title"/>
    <w:next w:val="Title"/>
    <w:qFormat/>
    <w:rsid w:val="00E94A49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94A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A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cprasse@umd.edu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Maietta</dc:creator>
  <cp:keywords/>
  <dc:description/>
  <cp:lastModifiedBy>Christine Maietta</cp:lastModifiedBy>
  <cp:revision>17</cp:revision>
  <dcterms:created xsi:type="dcterms:W3CDTF">2020-08-07T17:39:00Z</dcterms:created>
  <dcterms:modified xsi:type="dcterms:W3CDTF">2020-10-22T19:04:00Z</dcterms:modified>
</cp:coreProperties>
</file>