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4F90" w14:textId="77777777" w:rsidR="002047D3" w:rsidRPr="002047D3" w:rsidRDefault="002047D3" w:rsidP="002047D3">
      <w:pPr>
        <w:spacing w:beforeLines="50" w:before="156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OLE_LINK7"/>
      <w:r w:rsidRPr="002047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Nitrate is crucial for the proliferation of gut </w:t>
      </w:r>
      <w:bookmarkStart w:id="1" w:name="OLE_LINK2"/>
      <w:bookmarkStart w:id="2" w:name="OLE_LINK3"/>
      <w:r w:rsidRPr="002047D3">
        <w:rPr>
          <w:rFonts w:ascii="Times New Roman" w:hAnsi="Times New Roman" w:cs="Times New Roman"/>
          <w:sz w:val="24"/>
          <w:szCs w:val="24"/>
        </w:rPr>
        <w:fldChar w:fldCharType="begin"/>
      </w:r>
      <w:r w:rsidRPr="002047D3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Pr="002047D3">
        <w:rPr>
          <w:rFonts w:ascii="Times New Roman" w:hAnsi="Times New Roman" w:cs="Times New Roman"/>
          <w:sz w:val="24"/>
          <w:szCs w:val="24"/>
        </w:rPr>
        <w:fldChar w:fldCharType="separate"/>
      </w:r>
      <w:r w:rsidRPr="002047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Escherichia</w:t>
      </w:r>
      <w:r w:rsidRPr="002047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"/>
      <w:bookmarkEnd w:id="2"/>
      <w:r w:rsidRPr="002047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8" w:history="1">
        <w:r w:rsidRPr="002047D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coli</w:t>
        </w:r>
      </w:hyperlink>
      <w:r w:rsidRPr="002047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caused by H9N2 AIV infection and effective regulation by Chinese herbal medicine ageratum-liquid</w:t>
      </w:r>
    </w:p>
    <w:p w14:paraId="75CC0DC2" w14:textId="61A20D23" w:rsidR="001600D6" w:rsidRPr="007A5956" w:rsidRDefault="002047D3" w:rsidP="007A59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bookmarkStart w:id="3" w:name="_Hlk33524938"/>
      <w:bookmarkEnd w:id="0"/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Xinheng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1,2,3,4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Qiqi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Zhao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1,3,4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Wu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1,4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Zi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Xie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1,3,4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Xiaotong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1,4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Hongxin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1,3,4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Wencheng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1,2,3,4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Huanmin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5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Qingmei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>Xie</w:t>
      </w:r>
      <w:proofErr w:type="spellEnd"/>
      <w:r w:rsidRPr="0020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1,2,3,4*</w:t>
      </w:r>
      <w:r w:rsidRPr="002047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bookmarkEnd w:id="3"/>
    </w:p>
    <w:p w14:paraId="4BB9B0CD" w14:textId="644EE00C" w:rsidR="007A5956" w:rsidRDefault="007A5956" w:rsidP="001600D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556072" w14:textId="553E0CC0" w:rsidR="007A5956" w:rsidRPr="00D72D7C" w:rsidRDefault="007A5956" w:rsidP="007A59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B341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Supplementary </w:t>
      </w:r>
      <w:r w:rsidR="00A27450" w:rsidRPr="00C40B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Figure</w:t>
      </w:r>
      <w:r w:rsidR="00A27450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GB"/>
        </w:rPr>
        <w:t>s</w:t>
      </w:r>
      <w:r w:rsidR="00A274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and Tables</w:t>
      </w:r>
    </w:p>
    <w:p w14:paraId="3261C0A5" w14:textId="2EDF88D6" w:rsidR="007A5956" w:rsidRDefault="007A5956" w:rsidP="007A59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40B45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GB"/>
        </w:rPr>
        <w:t>S</w:t>
      </w:r>
      <w:r w:rsidRPr="00C40B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upplementary Figure</w:t>
      </w:r>
      <w:r w:rsidR="00054D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 </w:t>
      </w:r>
    </w:p>
    <w:p w14:paraId="7086225E" w14:textId="77777777" w:rsidR="007A5956" w:rsidRPr="002047D3" w:rsidRDefault="007A5956" w:rsidP="001600D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F2115FE" w14:textId="023B0FCE" w:rsidR="001600D6" w:rsidRDefault="001600D6" w:rsidP="001600D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448CC5CF" wp14:editId="74BB42A9">
            <wp:extent cx="5274310" cy="2541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CFB6" w14:textId="04CF474F" w:rsidR="001600D6" w:rsidRPr="007A401E" w:rsidRDefault="00054DD1" w:rsidP="001600D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0B45">
        <w:rPr>
          <w:rFonts w:ascii="Times New Roman" w:hAnsi="Times New Roman" w:cs="Times New Roman" w:hint="eastAsia"/>
          <w:b/>
          <w:color w:val="000000" w:themeColor="text1"/>
        </w:rPr>
        <w:t>S</w:t>
      </w:r>
      <w:r w:rsidRPr="00C40B45">
        <w:rPr>
          <w:rFonts w:ascii="Times New Roman" w:hAnsi="Times New Roman" w:cs="Times New Roman"/>
          <w:b/>
          <w:color w:val="000000" w:themeColor="text1"/>
        </w:rPr>
        <w:t>upplementary Figure</w:t>
      </w:r>
      <w:r w:rsidR="00EA24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A78D7">
        <w:rPr>
          <w:rFonts w:ascii="Times New Roman" w:hAnsi="Times New Roman" w:cs="Times New Roman"/>
          <w:b/>
          <w:color w:val="000000" w:themeColor="text1"/>
        </w:rPr>
        <w:t>S</w:t>
      </w:r>
      <w:r w:rsidR="001600D6" w:rsidRPr="007A401E">
        <w:rPr>
          <w:rFonts w:ascii="Times New Roman" w:hAnsi="Times New Roman" w:cs="Times New Roman"/>
          <w:b/>
          <w:color w:val="000000" w:themeColor="text1"/>
        </w:rPr>
        <w:t>1.</w:t>
      </w:r>
      <w:r w:rsidR="001600D6" w:rsidRPr="007A40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600D6" w:rsidRPr="007A401E">
        <w:rPr>
          <w:rFonts w:ascii="Times New Roman" w:hAnsi="Times New Roman" w:cs="Times New Roman"/>
          <w:color w:val="000000" w:themeColor="text1"/>
        </w:rPr>
        <w:t>Detection of HA gene of H9N2 AIV in cloacal by RT-qPCR. Cloacal swabs were collected on day 3 after infection by RT-qPCR to detect the HA gene of H9N2 AIV in H9N2 AIV infection group and H9N2 AIV infection with feeding AL group. M represents the 2000 DNA marker, + the positive control of H9N2 AIV, - the negative control, and 1-16 the cloacal swab sample, 1-8 represents the cloacal swab sample in H9N2 AIV infection group, 9-16 represents the cloacal swab sample in H9N2 AIV infection with feeding AL group. Eight repetitions for samples in each group. HA, hemagglutinin.</w:t>
      </w:r>
    </w:p>
    <w:p w14:paraId="65194E7C" w14:textId="7774F79E" w:rsidR="0018085D" w:rsidRDefault="0018085D"/>
    <w:p w14:paraId="5D4C69A6" w14:textId="2EBB537D" w:rsidR="00C0462E" w:rsidRDefault="00C0462E">
      <w:pPr>
        <w:rPr>
          <w:rFonts w:ascii="Times New Roman" w:hAnsi="Times New Roman" w:cs="Times New Roman"/>
          <w:sz w:val="24"/>
          <w:szCs w:val="24"/>
        </w:rPr>
      </w:pPr>
    </w:p>
    <w:p w14:paraId="637EB32E" w14:textId="0EACE493" w:rsidR="00C0462E" w:rsidRDefault="00C0462E">
      <w:pPr>
        <w:rPr>
          <w:rFonts w:ascii="Times New Roman" w:hAnsi="Times New Roman" w:cs="Times New Roman"/>
          <w:sz w:val="24"/>
          <w:szCs w:val="24"/>
        </w:rPr>
      </w:pPr>
    </w:p>
    <w:p w14:paraId="19C98E5B" w14:textId="745AA195" w:rsidR="00C0462E" w:rsidRDefault="00BE7668" w:rsidP="00BE7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F5CA36" wp14:editId="175B67D7">
            <wp:extent cx="3769438" cy="6056244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03" cy="60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A7F4" w14:textId="48CFFA27" w:rsidR="00BE7668" w:rsidRDefault="00BE7668" w:rsidP="00BE7668">
      <w:pPr>
        <w:spacing w:beforeLines="50" w:before="156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66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BE7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upplementary Figure </w:t>
      </w:r>
      <w:r w:rsidR="00CA7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BE7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E76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Diversity index statistics and β diversity analysis of gut microbiota 5 days after H9N2 AIV infection and AL treatment in SPF chickens. Statistical results of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(A)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Ace,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(B)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Chao,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(C)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Shannon and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(D)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Simpson of 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diversity indexes in different treatment groups.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(E) 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Dilution and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(F)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 abundance curves based on OTU analysis in different treatment groups.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(G)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PCA analysis map,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(H)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>PCoA</w:t>
      </w:r>
      <w:proofErr w:type="spellEnd"/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map of Bray-Curtis algorithm,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(I)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NMDS analysis map of the Bray-Curtis algorithm and </w:t>
      </w:r>
      <w:r w:rsidRPr="00BE76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(J)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 UPGMA clustering tree the Bray-Curtis algorithm of β diversity analysis based on OTU in different treatment groups. Data are presented as 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mean ± standard deviation (n=3). The differences between groups were analyzed using ANOVA. *</w:t>
      </w:r>
      <w:r w:rsidRPr="00BE76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>&lt;0.05 and **</w:t>
      </w:r>
      <w:r w:rsidRPr="00BE76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&lt;0.01. </w:t>
      </w:r>
      <w:proofErr w:type="spellStart"/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>n.s</w:t>
      </w:r>
      <w:proofErr w:type="spellEnd"/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not significant. </w:t>
      </w:r>
      <w:r w:rsidRPr="00BE766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AL, </w:t>
      </w:r>
      <w:r w:rsidRPr="00BE76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ageratum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>-liquid</w:t>
      </w:r>
      <w:r w:rsidRPr="00BE766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; 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PCA, </w:t>
      </w:r>
      <w:r w:rsidRPr="00BE766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principal component analysis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>PCoA</w:t>
      </w:r>
      <w:proofErr w:type="spellEnd"/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E766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principal coordinates analysis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>; NMDS, n</w:t>
      </w:r>
      <w:r w:rsidRPr="00BE766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on-metric multidimensional scaling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UPGMA, </w:t>
      </w:r>
      <w:r w:rsidRPr="00BE766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unweighted pair group method with arithmetic mean</w:t>
      </w:r>
      <w:r w:rsidRPr="00BE7668">
        <w:rPr>
          <w:rFonts w:ascii="Times New Roman" w:hAnsi="Times New Roman" w:cs="Times New Roman"/>
          <w:color w:val="000000" w:themeColor="text1"/>
          <w:sz w:val="24"/>
          <w:szCs w:val="24"/>
        </w:rPr>
        <w:t>; OTU, operational taxonomic unit (OTU).</w:t>
      </w:r>
    </w:p>
    <w:p w14:paraId="14068547" w14:textId="6D544F3F" w:rsidR="00A632A2" w:rsidRDefault="00A632A2" w:rsidP="00BE7668">
      <w:pPr>
        <w:spacing w:beforeLines="50" w:before="156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10B96" w14:textId="2E0627E8" w:rsidR="00A632A2" w:rsidRPr="00BE7668" w:rsidRDefault="00A262BF" w:rsidP="00BE7668">
      <w:pPr>
        <w:spacing w:beforeLines="50" w:before="156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BED8363" wp14:editId="14CFD49D">
            <wp:extent cx="5274310" cy="45345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3F34C" w14:textId="6AD83629" w:rsidR="00C0462E" w:rsidRPr="00201C48" w:rsidRDefault="00592ED4" w:rsidP="0015057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01C48">
        <w:rPr>
          <w:rFonts w:ascii="Times New Roman" w:hAnsi="Times New Roman" w:cs="Times New Roman" w:hint="eastAsia"/>
          <w:b/>
          <w:color w:val="FF0000"/>
          <w:sz w:val="24"/>
          <w:szCs w:val="24"/>
        </w:rPr>
        <w:t>S</w:t>
      </w:r>
      <w:r w:rsidRPr="002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upplementary Figure </w:t>
      </w:r>
      <w:r w:rsidR="00CA78D7" w:rsidRPr="00201C48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2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7237AD" w:rsidRPr="002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Quantity of </w:t>
      </w:r>
      <w:r w:rsidR="007237AD" w:rsidRPr="00201C48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E. coli</w:t>
      </w:r>
      <w:r w:rsidR="007237AD" w:rsidRPr="002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enteric contents, mesentery, lung and liver by RT-qPCR. </w:t>
      </w:r>
      <w:r w:rsidR="002505E1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(A)</w:t>
      </w:r>
      <w:r w:rsidR="00E3162B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Quantity of </w:t>
      </w:r>
      <w:r w:rsidR="00E3162B" w:rsidRPr="00201C4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E. coli</w:t>
      </w:r>
      <w:r w:rsidR="00E3162B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in enteric contents from chickens in </w:t>
      </w:r>
      <w:proofErr w:type="spellStart"/>
      <w:r w:rsidR="00E3162B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Neon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E3162B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</w:t>
      </w:r>
      <w:proofErr w:type="spellEnd"/>
      <w:r w:rsidR="00E3162B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, H9N2-Neo</w:t>
      </w:r>
      <w:r w:rsidR="00F75CD6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F75CD6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reen, and H9N2-AL-Neo</w:t>
      </w:r>
      <w:r w:rsidR="00432D07">
        <w:rPr>
          <w:rFonts w:ascii="Times New Roman" w:hAnsi="Times New Roman" w:cs="Times New Roman"/>
          <w:bCs/>
          <w:color w:val="FF0000"/>
          <w:sz w:val="24"/>
          <w:szCs w:val="24"/>
        </w:rPr>
        <w:t>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F75CD6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 groups at 12</w:t>
      </w:r>
      <w:r w:rsidR="00D71D7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75CD6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h, 24 h, 36 h and 48 h. (B) 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Quantity of </w:t>
      </w:r>
      <w:r w:rsidR="00212243" w:rsidRPr="00201C4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E. coli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in mesentery from chickens in </w:t>
      </w:r>
      <w:proofErr w:type="spellStart"/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Neon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</w:t>
      </w:r>
      <w:proofErr w:type="spellEnd"/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, H9N2-Neon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reen, and H9N2-AL-Neo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nG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 groups at 12</w:t>
      </w:r>
      <w:r w:rsidR="00231B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h, 24 h, 36 h and 48 h. (C) Quantity of </w:t>
      </w:r>
      <w:r w:rsidR="00212243" w:rsidRPr="00201C4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E. coli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in lung from chickens in </w:t>
      </w:r>
      <w:proofErr w:type="spellStart"/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Neon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</w:t>
      </w:r>
      <w:proofErr w:type="spellEnd"/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, H9N2-Neon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reen, and H9N2-AL-Neo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nG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 groups at 12</w:t>
      </w:r>
      <w:r w:rsidR="00DC7AC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h, 24 h, 36 h and 48 h. (D) Quantity of </w:t>
      </w:r>
      <w:r w:rsidR="00212243" w:rsidRPr="00201C4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E. coli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in liver from 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chickens in </w:t>
      </w:r>
      <w:proofErr w:type="spellStart"/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Neon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</w:t>
      </w:r>
      <w:proofErr w:type="spellEnd"/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, H9N2-Neon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reen, and H9N2-AL-Neo</w:t>
      </w:r>
      <w:r w:rsidR="008A7948">
        <w:rPr>
          <w:rFonts w:ascii="Times New Roman" w:hAnsi="Times New Roman" w:cs="Times New Roman"/>
          <w:bCs/>
          <w:color w:val="FF0000"/>
          <w:sz w:val="24"/>
          <w:szCs w:val="24"/>
        </w:rPr>
        <w:t>nG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reen groups at 12</w:t>
      </w:r>
      <w:r w:rsidR="00F661EE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12243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h, 24 h, 36 h and 48 h.</w:t>
      </w:r>
      <w:r w:rsidR="00150572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50572" w:rsidRPr="00201C48">
        <w:rPr>
          <w:rFonts w:ascii="Times New Roman" w:hAnsi="Times New Roman" w:cs="Times New Roman"/>
          <w:color w:val="FF0000"/>
          <w:sz w:val="24"/>
          <w:szCs w:val="24"/>
        </w:rPr>
        <w:t>Data are presented as the mean ± standard deviation (n=3). The differences between groups were analyzed using ANOVA. *</w:t>
      </w:r>
      <w:r w:rsidR="00150572" w:rsidRPr="00201C48">
        <w:rPr>
          <w:rFonts w:ascii="Times New Roman" w:hAnsi="Times New Roman" w:cs="Times New Roman"/>
          <w:iCs/>
          <w:color w:val="FF0000"/>
          <w:sz w:val="24"/>
          <w:szCs w:val="24"/>
        </w:rPr>
        <w:t>P</w:t>
      </w:r>
      <w:r w:rsidR="00150572" w:rsidRPr="00201C48">
        <w:rPr>
          <w:rFonts w:ascii="Times New Roman" w:hAnsi="Times New Roman" w:cs="Times New Roman"/>
          <w:color w:val="FF0000"/>
          <w:sz w:val="24"/>
          <w:szCs w:val="24"/>
        </w:rPr>
        <w:t>&lt;0.05 and **</w:t>
      </w:r>
      <w:r w:rsidR="00150572" w:rsidRPr="00201C48">
        <w:rPr>
          <w:rFonts w:ascii="Times New Roman" w:hAnsi="Times New Roman" w:cs="Times New Roman"/>
          <w:iCs/>
          <w:color w:val="FF0000"/>
          <w:sz w:val="24"/>
          <w:szCs w:val="24"/>
        </w:rPr>
        <w:t>P</w:t>
      </w:r>
      <w:r w:rsidR="00150572" w:rsidRPr="00201C48">
        <w:rPr>
          <w:rFonts w:ascii="Times New Roman" w:hAnsi="Times New Roman" w:cs="Times New Roman"/>
          <w:color w:val="FF0000"/>
          <w:sz w:val="24"/>
          <w:szCs w:val="24"/>
        </w:rPr>
        <w:t xml:space="preserve">&lt;0.01. AL, </w:t>
      </w:r>
      <w:r w:rsidR="00150572" w:rsidRPr="00201C48">
        <w:rPr>
          <w:rFonts w:ascii="Times New Roman" w:hAnsi="Times New Roman" w:cs="Times New Roman"/>
          <w:bCs/>
          <w:color w:val="FF0000"/>
          <w:sz w:val="24"/>
          <w:szCs w:val="24"/>
        </w:rPr>
        <w:t>ageratum</w:t>
      </w:r>
      <w:r w:rsidR="00150572" w:rsidRPr="00201C48">
        <w:rPr>
          <w:rFonts w:ascii="Times New Roman" w:hAnsi="Times New Roman" w:cs="Times New Roman"/>
          <w:color w:val="FF0000"/>
          <w:sz w:val="24"/>
          <w:szCs w:val="24"/>
        </w:rPr>
        <w:t>-liquid.</w:t>
      </w:r>
    </w:p>
    <w:p w14:paraId="6FF22BCA" w14:textId="77777777" w:rsidR="00637949" w:rsidRPr="00150572" w:rsidRDefault="00637949" w:rsidP="0015057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D38468" w14:textId="16EBDBF3" w:rsidR="00BE7668" w:rsidRDefault="00BE7668" w:rsidP="00BE7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61C720" wp14:editId="70C89C33">
            <wp:extent cx="5274310" cy="49688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2A5B" w14:textId="2E804419" w:rsidR="00BE7668" w:rsidRPr="00BE7668" w:rsidRDefault="00635A45" w:rsidP="00BE7668">
      <w:pPr>
        <w:pStyle w:val="NormalWeb"/>
        <w:spacing w:beforeLines="50" w:before="156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7668">
        <w:rPr>
          <w:rFonts w:ascii="Times New Roman" w:hAnsi="Times New Roman" w:cs="Times New Roman" w:hint="eastAsia"/>
          <w:b/>
          <w:color w:val="000000" w:themeColor="text1"/>
        </w:rPr>
        <w:t>S</w:t>
      </w:r>
      <w:r w:rsidRPr="00BE7668">
        <w:rPr>
          <w:rFonts w:ascii="Times New Roman" w:hAnsi="Times New Roman" w:cs="Times New Roman"/>
          <w:b/>
          <w:color w:val="000000" w:themeColor="text1"/>
        </w:rPr>
        <w:t xml:space="preserve">upplementary Figure </w:t>
      </w:r>
      <w:r w:rsidR="00CA78D7">
        <w:rPr>
          <w:rFonts w:ascii="Times New Roman" w:hAnsi="Times New Roman" w:cs="Times New Roman"/>
          <w:b/>
          <w:color w:val="000000" w:themeColor="text1"/>
        </w:rPr>
        <w:t>S</w:t>
      </w:r>
      <w:r w:rsidR="00D443BE">
        <w:rPr>
          <w:rFonts w:ascii="Times New Roman" w:hAnsi="Times New Roman" w:cs="Times New Roman"/>
          <w:b/>
          <w:color w:val="000000" w:themeColor="text1"/>
        </w:rPr>
        <w:t>4</w:t>
      </w:r>
      <w:r w:rsidRPr="00BE7668">
        <w:rPr>
          <w:rFonts w:ascii="Times New Roman" w:hAnsi="Times New Roman" w:cs="Times New Roman"/>
          <w:b/>
          <w:color w:val="000000" w:themeColor="text1"/>
        </w:rPr>
        <w:t>.</w:t>
      </w:r>
      <w:r w:rsidR="00BE7668" w:rsidRPr="00BE766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E7668" w:rsidRPr="00BE7668">
        <w:rPr>
          <w:rFonts w:ascii="Times New Roman" w:hAnsi="Times New Roman" w:cs="Times New Roman"/>
          <w:color w:val="000000" w:themeColor="text1"/>
        </w:rPr>
        <w:t>Effect of H9N2 AIV infection and AL treatment on intestinal metabolism of SPF chickens 5 days post-infection.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 xml:space="preserve"> (A)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 Data multivariate control chart of ileum content samples from different treatment groups. Each dot represents the summary of global metabolite profiles of </w:t>
      </w:r>
      <w:proofErr w:type="gramStart"/>
      <w:r w:rsidR="00BE7668" w:rsidRPr="00BE7668">
        <w:rPr>
          <w:rFonts w:ascii="Times New Roman" w:hAnsi="Times New Roman" w:cs="Times New Roman"/>
          <w:color w:val="000000" w:themeColor="text1"/>
        </w:rPr>
        <w:t>each individual</w:t>
      </w:r>
      <w:proofErr w:type="gramEnd"/>
      <w:r w:rsidR="00BE7668" w:rsidRPr="00BE7668">
        <w:rPr>
          <w:rFonts w:ascii="Times New Roman" w:hAnsi="Times New Roman" w:cs="Times New Roman"/>
          <w:color w:val="000000" w:themeColor="text1"/>
        </w:rPr>
        <w:t xml:space="preserve">. Green dots denote the pooled QC samples and black dots the actual samples. Scores that exceed ±3S.D. were generally considered as the risk of outliers. 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>(B)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 Metabolite statistics detected in the samples of different treatment groups.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 xml:space="preserve"> (C) 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Metabolite classes and </w:t>
      </w:r>
      <w:r w:rsidR="00BE7668" w:rsidRPr="00BE7668">
        <w:rPr>
          <w:rFonts w:ascii="Times New Roman" w:hAnsi="Times New Roman" w:cs="Times New Roman"/>
          <w:color w:val="000000" w:themeColor="text1"/>
        </w:rPr>
        <w:lastRenderedPageBreak/>
        <w:t xml:space="preserve">compositions detected in the samples of different treatment groups. 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>(D)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 Overview of metabolic profiles of all samples, as revealed by 3D-PCA Score Plot.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 xml:space="preserve"> (E)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 3D-PLS-DA Score Plot</w:t>
      </w:r>
      <w:r w:rsidR="00BE7668" w:rsidRPr="00BE7668" w:rsidDel="00CE7BBF">
        <w:rPr>
          <w:rFonts w:ascii="Times New Roman" w:hAnsi="Times New Roman" w:cs="Times New Roman"/>
          <w:color w:val="000000" w:themeColor="text1"/>
        </w:rPr>
        <w:t xml:space="preserve"> 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revealing classifications of the samples in different treatment groups. 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>(F)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 Visualization of overall metabolite profile difference between mock (A group) and H9N2 infection (B group) groups, as shown by the OPLS-DA predictive/discriminate score plot. 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>(G)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 Visualization of differential metabolite profiles using </w:t>
      </w:r>
      <w:proofErr w:type="spellStart"/>
      <w:r w:rsidR="00BE7668" w:rsidRPr="00BE7668">
        <w:rPr>
          <w:rFonts w:ascii="Times New Roman" w:hAnsi="Times New Roman" w:cs="Times New Roman"/>
          <w:color w:val="000000" w:themeColor="text1"/>
        </w:rPr>
        <w:t>Vplot</w:t>
      </w:r>
      <w:proofErr w:type="spellEnd"/>
      <w:r w:rsidR="00BE7668" w:rsidRPr="00BE7668">
        <w:rPr>
          <w:rFonts w:ascii="Times New Roman" w:hAnsi="Times New Roman" w:cs="Times New Roman"/>
          <w:color w:val="000000" w:themeColor="text1"/>
        </w:rPr>
        <w:t xml:space="preserve"> between the mock (A group) and H9N2 infection (B group) groups. 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>(H)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 Visualization of overall metabolite profile difference between the H9N2 infection (B group) and after H9N2 infection with feeding AL (D group) groups, as showed by the OPLS-DA predictive/discriminate score plot. </w:t>
      </w:r>
      <w:r w:rsidR="00BE7668" w:rsidRPr="00BE7668">
        <w:rPr>
          <w:rFonts w:ascii="Times New Roman" w:hAnsi="Times New Roman" w:cs="Times New Roman"/>
          <w:b/>
          <w:bCs/>
          <w:color w:val="000000" w:themeColor="text1"/>
        </w:rPr>
        <w:t xml:space="preserve">(I) </w:t>
      </w:r>
      <w:r w:rsidR="00BE7668" w:rsidRPr="00BE7668">
        <w:rPr>
          <w:rFonts w:ascii="Times New Roman" w:hAnsi="Times New Roman" w:cs="Times New Roman"/>
          <w:color w:val="000000" w:themeColor="text1"/>
        </w:rPr>
        <w:t xml:space="preserve">Visualization of differential metabolite profiles using </w:t>
      </w:r>
      <w:proofErr w:type="spellStart"/>
      <w:r w:rsidR="00BE7668" w:rsidRPr="00BE7668">
        <w:rPr>
          <w:rFonts w:ascii="Times New Roman" w:hAnsi="Times New Roman" w:cs="Times New Roman"/>
          <w:color w:val="000000" w:themeColor="text1"/>
        </w:rPr>
        <w:t>vplot</w:t>
      </w:r>
      <w:proofErr w:type="spellEnd"/>
      <w:r w:rsidR="00BE7668" w:rsidRPr="00BE7668">
        <w:rPr>
          <w:rFonts w:ascii="Times New Roman" w:hAnsi="Times New Roman" w:cs="Times New Roman"/>
          <w:color w:val="000000" w:themeColor="text1"/>
        </w:rPr>
        <w:t xml:space="preserve"> between the H9N2 infection (B group) and after H9N2 infection group with feeding AL (D group) groups. A, mock group; B, H9N2 AIV infection group; C, AL feeding group; D, after H9N2 infection group with feeding AL group. The number of sequencing samples in each group was</w:t>
      </w:r>
      <w:r w:rsidR="00BE7668" w:rsidRPr="00BE7668">
        <w:rPr>
          <w:rFonts w:ascii="Times New Roman" w:hAnsi="Times New Roman" w:cs="Times New Roman" w:hint="eastAsia"/>
          <w:color w:val="000000" w:themeColor="text1"/>
        </w:rPr>
        <w:t> </w:t>
      </w:r>
      <w:r w:rsidR="00BE7668" w:rsidRPr="00BE7668">
        <w:rPr>
          <w:rFonts w:ascii="Times New Roman" w:hAnsi="Times New Roman" w:cs="Times New Roman" w:hint="eastAsia"/>
          <w:color w:val="000000" w:themeColor="text1"/>
        </w:rPr>
        <w:t>≥</w:t>
      </w:r>
      <w:r w:rsidR="00BE7668" w:rsidRPr="00BE7668">
        <w:rPr>
          <w:rFonts w:ascii="Times New Roman" w:hAnsi="Times New Roman" w:cs="Times New Roman"/>
          <w:color w:val="000000" w:themeColor="text1"/>
        </w:rPr>
        <w:t>5. AL, A</w:t>
      </w:r>
      <w:r w:rsidR="00BE7668" w:rsidRPr="00BE7668">
        <w:rPr>
          <w:rFonts w:ascii="Times New Roman" w:hAnsi="Times New Roman" w:cs="Times New Roman"/>
          <w:bCs/>
          <w:color w:val="000000" w:themeColor="text1"/>
        </w:rPr>
        <w:t>geratum</w:t>
      </w:r>
      <w:r w:rsidR="00BE7668" w:rsidRPr="00BE7668">
        <w:rPr>
          <w:rFonts w:ascii="Times New Roman" w:hAnsi="Times New Roman" w:cs="Times New Roman"/>
          <w:color w:val="000000" w:themeColor="text1"/>
        </w:rPr>
        <w:t>-liquid; SPF, specific pathogen free; PCA,</w:t>
      </w:r>
      <w:r w:rsidR="00BE7668" w:rsidRPr="00BE7668">
        <w:rPr>
          <w:rFonts w:ascii="Times New Roman" w:hAnsi="Times New Roman" w:cs="Times New Roman"/>
          <w:bCs/>
          <w:color w:val="000000" w:themeColor="text1"/>
        </w:rPr>
        <w:t xml:space="preserve"> principal component analysis</w:t>
      </w:r>
      <w:r w:rsidR="00BE7668" w:rsidRPr="00BE7668">
        <w:rPr>
          <w:rFonts w:ascii="Times New Roman" w:hAnsi="Times New Roman" w:cs="Times New Roman"/>
          <w:color w:val="000000" w:themeColor="text1"/>
        </w:rPr>
        <w:t>; OPLS-DA, Orthogonal Projections to Latent Structures Discriminant Analysis.</w:t>
      </w:r>
    </w:p>
    <w:p w14:paraId="12309893" w14:textId="6BDC9501" w:rsidR="00BE7668" w:rsidRPr="00BE7668" w:rsidRDefault="00BE76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9897CE" w14:textId="0504A2F7" w:rsidR="00C0462E" w:rsidRDefault="00C0462E">
      <w:pPr>
        <w:rPr>
          <w:rFonts w:ascii="Times New Roman" w:hAnsi="Times New Roman" w:cs="Times New Roman"/>
          <w:sz w:val="24"/>
          <w:szCs w:val="24"/>
        </w:rPr>
      </w:pPr>
    </w:p>
    <w:p w14:paraId="1DEC8B37" w14:textId="2882AC91" w:rsidR="00C0462E" w:rsidRDefault="00054DD1">
      <w:pPr>
        <w:rPr>
          <w:rFonts w:ascii="Times New Roman" w:hAnsi="Times New Roman" w:cs="Times New Roman"/>
          <w:sz w:val="24"/>
          <w:szCs w:val="24"/>
        </w:rPr>
      </w:pPr>
      <w:r w:rsidRPr="00C40B45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GB"/>
        </w:rPr>
        <w:t>S</w:t>
      </w:r>
      <w:r w:rsidRPr="00C40B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upplementary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Tables</w:t>
      </w:r>
    </w:p>
    <w:p w14:paraId="7B8D12C7" w14:textId="77777777" w:rsidR="00C0462E" w:rsidRPr="00C0462E" w:rsidRDefault="00C0462E">
      <w:pPr>
        <w:rPr>
          <w:rFonts w:ascii="Times New Roman" w:hAnsi="Times New Roman" w:cs="Times New Roman"/>
          <w:sz w:val="24"/>
          <w:szCs w:val="24"/>
        </w:rPr>
      </w:pPr>
    </w:p>
    <w:p w14:paraId="65C46356" w14:textId="52E1BB88" w:rsidR="00C0462E" w:rsidRPr="00C0462E" w:rsidRDefault="00EA242E" w:rsidP="00C0462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B45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GB"/>
        </w:rPr>
        <w:t>S</w:t>
      </w:r>
      <w:r w:rsidRPr="00C40B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upplementary</w:t>
      </w:r>
      <w:r w:rsidRPr="00C04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0462E" w:rsidRPr="00C04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able</w:t>
      </w:r>
      <w:r w:rsidR="00C0462E" w:rsidRPr="00C04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70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04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0462E" w:rsidRPr="00C04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0462E" w:rsidRPr="00C0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Isolation of </w:t>
      </w:r>
      <w:proofErr w:type="spellStart"/>
      <w:r w:rsidR="00C0462E" w:rsidRPr="00C0462E">
        <w:rPr>
          <w:rFonts w:ascii="Times New Roman" w:hAnsi="Times New Roman" w:cs="Times New Roman"/>
          <w:color w:val="000000" w:themeColor="text1"/>
          <w:sz w:val="24"/>
          <w:szCs w:val="24"/>
        </w:rPr>
        <w:t>Neon</w:t>
      </w:r>
      <w:r w:rsidR="009631D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0462E" w:rsidRPr="00C0462E">
        <w:rPr>
          <w:rFonts w:ascii="Times New Roman" w:hAnsi="Times New Roman" w:cs="Times New Roman"/>
          <w:color w:val="000000" w:themeColor="text1"/>
          <w:sz w:val="24"/>
          <w:szCs w:val="24"/>
        </w:rPr>
        <w:t>reen</w:t>
      </w:r>
      <w:proofErr w:type="spellEnd"/>
      <w:r w:rsidR="00C0462E" w:rsidRPr="00C0462E">
        <w:rPr>
          <w:rFonts w:ascii="Times New Roman" w:hAnsi="Times New Roman" w:cs="Times New Roman"/>
          <w:color w:val="000000" w:themeColor="text1"/>
          <w:sz w:val="24"/>
          <w:szCs w:val="24"/>
        </w:rPr>
        <w:t>-tagged bacteria in various tissues and organs of different treatment groups.</w:t>
      </w:r>
    </w:p>
    <w:p w14:paraId="3A23C1CB" w14:textId="77777777" w:rsidR="00C0462E" w:rsidRPr="00C0462E" w:rsidRDefault="00C0462E" w:rsidP="00C0462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5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709"/>
        <w:gridCol w:w="708"/>
        <w:gridCol w:w="709"/>
        <w:gridCol w:w="709"/>
        <w:gridCol w:w="666"/>
        <w:gridCol w:w="762"/>
        <w:gridCol w:w="708"/>
        <w:gridCol w:w="817"/>
        <w:gridCol w:w="762"/>
        <w:gridCol w:w="762"/>
        <w:gridCol w:w="763"/>
        <w:gridCol w:w="6"/>
      </w:tblGrid>
      <w:tr w:rsidR="00C0462E" w:rsidRPr="00C0462E" w14:paraId="650BCC32" w14:textId="77777777" w:rsidTr="00F650C8">
        <w:trPr>
          <w:trHeight w:val="342"/>
          <w:jc w:val="center"/>
        </w:trPr>
        <w:tc>
          <w:tcPr>
            <w:tcW w:w="1266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8CE63A3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0D1245A" w14:textId="3352FC66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Neon</w:t>
            </w:r>
            <w:r w:rsidR="0096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reen</w:t>
            </w:r>
            <w:proofErr w:type="spellEnd"/>
          </w:p>
        </w:tc>
        <w:tc>
          <w:tcPr>
            <w:tcW w:w="284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6C7D1E" w14:textId="6D888190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H9N2 + </w:t>
            </w:r>
            <w:proofErr w:type="spellStart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Neon</w:t>
            </w:r>
            <w:r w:rsidR="0096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reen</w:t>
            </w:r>
            <w:proofErr w:type="spellEnd"/>
          </w:p>
        </w:tc>
        <w:tc>
          <w:tcPr>
            <w:tcW w:w="311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708BB72" w14:textId="0437F11B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H9N2-AL + </w:t>
            </w:r>
            <w:proofErr w:type="spellStart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Neon</w:t>
            </w:r>
            <w:r w:rsidR="0096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reen</w:t>
            </w:r>
            <w:proofErr w:type="spellEnd"/>
          </w:p>
        </w:tc>
      </w:tr>
      <w:tr w:rsidR="00C0462E" w:rsidRPr="00C0462E" w14:paraId="2142C866" w14:textId="77777777" w:rsidTr="00F650C8">
        <w:trPr>
          <w:gridAfter w:val="1"/>
          <w:wAfter w:w="6" w:type="dxa"/>
          <w:trHeight w:val="264"/>
          <w:jc w:val="center"/>
        </w:trPr>
        <w:tc>
          <w:tcPr>
            <w:tcW w:w="126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0A5747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715B43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h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C6DA01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h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8A628D7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h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97976BB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h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3CCA75F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h</w:t>
            </w:r>
          </w:p>
        </w:tc>
        <w:tc>
          <w:tcPr>
            <w:tcW w:w="666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D3DAD4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h</w:t>
            </w:r>
          </w:p>
        </w:tc>
        <w:tc>
          <w:tcPr>
            <w:tcW w:w="762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2D0E07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h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57FF3D8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h</w:t>
            </w:r>
          </w:p>
        </w:tc>
        <w:tc>
          <w:tcPr>
            <w:tcW w:w="817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8BA5C0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h</w:t>
            </w:r>
          </w:p>
        </w:tc>
        <w:tc>
          <w:tcPr>
            <w:tcW w:w="762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68E849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h</w:t>
            </w:r>
          </w:p>
        </w:tc>
        <w:tc>
          <w:tcPr>
            <w:tcW w:w="762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3A40267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h</w:t>
            </w:r>
          </w:p>
        </w:tc>
        <w:tc>
          <w:tcPr>
            <w:tcW w:w="763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5FCE0A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h</w:t>
            </w:r>
          </w:p>
        </w:tc>
      </w:tr>
      <w:tr w:rsidR="00C0462E" w:rsidRPr="00C0462E" w14:paraId="4B035AE1" w14:textId="77777777" w:rsidTr="00F650C8">
        <w:trPr>
          <w:gridAfter w:val="1"/>
          <w:wAfter w:w="6" w:type="dxa"/>
          <w:trHeight w:val="611"/>
          <w:jc w:val="center"/>
        </w:trPr>
        <w:tc>
          <w:tcPr>
            <w:tcW w:w="1266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A0EBC36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4659670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Intestinal cavity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2571E36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232ED91B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74BB254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0E053256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868BD58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6534CA5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431857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6A0985F0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A643B35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42400CC3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666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366AA2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78A5A1DD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53F9366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73066A1F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221EB2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3000812F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817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E68BED8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336E24FC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8D9A16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0A5CFCDC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5D469C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116A9B7A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DB51C4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15DC99C2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(3/3)</w:t>
            </w:r>
          </w:p>
        </w:tc>
      </w:tr>
      <w:tr w:rsidR="00C0462E" w:rsidRPr="00C0462E" w14:paraId="0D4F468B" w14:textId="77777777" w:rsidTr="00F650C8">
        <w:trPr>
          <w:gridAfter w:val="1"/>
          <w:wAfter w:w="6" w:type="dxa"/>
          <w:trHeight w:val="646"/>
          <w:jc w:val="center"/>
        </w:trPr>
        <w:tc>
          <w:tcPr>
            <w:tcW w:w="12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C23471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Mesentery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762B08F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01C522A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988E488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43B415FD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EBC69EB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D38427F" w14:textId="17CE7356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25BF229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1C65B137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4C45CE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7D1EAA80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6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C7FF952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8C8C56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+ </w:t>
            </w:r>
          </w:p>
          <w:p w14:paraId="4EF0BF5E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EA6A5E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(3/3)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FFF5D3C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2A88C67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71F41CE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152C5561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D42009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4DDE32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5FCF2C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699B7E7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</w:tr>
      <w:tr w:rsidR="00C0462E" w:rsidRPr="00C0462E" w14:paraId="45CF023F" w14:textId="77777777" w:rsidTr="00F650C8">
        <w:trPr>
          <w:gridAfter w:val="1"/>
          <w:wAfter w:w="6" w:type="dxa"/>
          <w:trHeight w:val="687"/>
          <w:jc w:val="center"/>
        </w:trPr>
        <w:tc>
          <w:tcPr>
            <w:tcW w:w="12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51F586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Lung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444E3E8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01E8070A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D62B03F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</w:p>
          <w:p w14:paraId="0E1041C6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0B80E17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00154EE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E2420BA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</w:p>
          <w:p w14:paraId="2B08597C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6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5DC2AF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+ </w:t>
            </w: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02AF34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+ </w:t>
            </w:r>
          </w:p>
          <w:p w14:paraId="54085301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E65239B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+ </w:t>
            </w: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913CDC5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14:paraId="37C9DDF3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65495E2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14:paraId="0606DA71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F6E4A3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5" w:name="OLE_LINK40"/>
            <w:bookmarkStart w:id="6" w:name="OLE_LINK41"/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+</w:t>
            </w:r>
          </w:p>
          <w:p w14:paraId="4DAE14E9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(1/3)</w:t>
            </w:r>
            <w:bookmarkEnd w:id="5"/>
            <w:bookmarkEnd w:id="6"/>
          </w:p>
        </w:tc>
        <w:tc>
          <w:tcPr>
            <w:tcW w:w="76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A65045D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14:paraId="006535D6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(3/3)</w:t>
            </w:r>
          </w:p>
        </w:tc>
      </w:tr>
      <w:tr w:rsidR="00C0462E" w:rsidRPr="00C0462E" w14:paraId="1E4C5C0D" w14:textId="77777777" w:rsidTr="00F650C8">
        <w:trPr>
          <w:gridAfter w:val="1"/>
          <w:wAfter w:w="6" w:type="dxa"/>
          <w:trHeight w:val="587"/>
          <w:jc w:val="center"/>
        </w:trPr>
        <w:tc>
          <w:tcPr>
            <w:tcW w:w="12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1960ADF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Liver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42BE906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0397671F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25BBEDE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4B623BC" w14:textId="6494F1D9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A85E261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4D4A591C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8497804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58DFA0E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2BEEBA9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163A6E8" w14:textId="410F09F1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66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706FD6D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235350F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+ </w:t>
            </w:r>
          </w:p>
          <w:p w14:paraId="2E416108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(1/3)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344EEB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 (2/3)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C44D22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7D0014B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1CE8278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A7028D5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BDB5B27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944D6F6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0F77582" w14:textId="77777777" w:rsidR="00C0462E" w:rsidRPr="00C0462E" w:rsidRDefault="00C0462E" w:rsidP="00F650C8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063C368" w14:textId="77777777" w:rsidR="00C0462E" w:rsidRPr="00C0462E" w:rsidRDefault="00C0462E" w:rsidP="00F65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</w:tc>
      </w:tr>
      <w:bookmarkEnd w:id="4"/>
    </w:tbl>
    <w:p w14:paraId="53486AA8" w14:textId="77777777" w:rsidR="007A5956" w:rsidRPr="00C0462E" w:rsidRDefault="007A5956" w:rsidP="00C0462E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Times New Roman" w:hAnsi="Times New Roman" w:cs="Times New Roman"/>
          <w:color w:val="000000" w:themeColor="text1"/>
        </w:rPr>
      </w:pPr>
    </w:p>
    <w:p w14:paraId="3B270B70" w14:textId="1CD30765" w:rsidR="00955BB3" w:rsidRPr="00955BB3" w:rsidRDefault="00EA242E" w:rsidP="00955B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B45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GB"/>
        </w:rPr>
        <w:t>S</w:t>
      </w:r>
      <w:r w:rsidRPr="00C40B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upplementary</w:t>
      </w:r>
      <w:r w:rsidR="00955BB3" w:rsidRPr="00955B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3A70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955BB3" w:rsidRPr="00955B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955BB3" w:rsidRPr="00955BB3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The </w:t>
      </w:r>
      <w:r w:rsidR="00955BB3" w:rsidRPr="0095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differential metabolites were screened out in the H9N2 AIV infection with feeding AL group, as compared with the H9N2 AIV infection group (log2FC &gt; 1.5, </w:t>
      </w:r>
      <w:r w:rsidR="00955BB3" w:rsidRPr="00955B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955BB3" w:rsidRPr="00955BB3">
        <w:rPr>
          <w:rFonts w:ascii="Times New Roman" w:hAnsi="Times New Roman" w:cs="Times New Roman"/>
          <w:color w:val="000000" w:themeColor="text1"/>
          <w:sz w:val="24"/>
          <w:szCs w:val="24"/>
        </w:rPr>
        <w:t>Value &lt; 0.05, VIP &gt; 1).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97"/>
      </w:tblGrid>
      <w:tr w:rsidR="00955BB3" w:rsidRPr="00955BB3" w14:paraId="5327FBB1" w14:textId="77777777" w:rsidTr="00955BB3">
        <w:tc>
          <w:tcPr>
            <w:tcW w:w="8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EE971C" w14:textId="77777777" w:rsidR="00955BB3" w:rsidRPr="00955BB3" w:rsidRDefault="00955B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BB3" w:rsidRPr="00955BB3" w14:paraId="7C3D28F5" w14:textId="77777777" w:rsidTr="00955BB3">
        <w:tc>
          <w:tcPr>
            <w:tcW w:w="3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EF8C11" w14:textId="77777777" w:rsidR="00955BB3" w:rsidRPr="00955BB3" w:rsidRDefault="00955B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D4F0D" w14:textId="77777777" w:rsidR="00955BB3" w:rsidRPr="00955BB3" w:rsidRDefault="00955B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2E8E9F" w14:textId="77777777" w:rsidR="00955BB3" w:rsidRPr="00955BB3" w:rsidRDefault="00955B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224EFD" w14:textId="77777777" w:rsidR="00955BB3" w:rsidRPr="00955BB3" w:rsidRDefault="00955B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55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955BB3" w:rsidRPr="00955BB3" w14:paraId="6DB929F6" w14:textId="77777777" w:rsidTr="00955BB3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59322B" w14:textId="77777777" w:rsidR="00955BB3" w:rsidRPr="00955BB3" w:rsidRDefault="00955BB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L-Alanine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E67C80" w14:textId="77777777" w:rsidR="00955BB3" w:rsidRPr="00955BB3" w:rsidRDefault="00955BB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2.1441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433562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-0.6556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63C63E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0.0429 </w:t>
            </w:r>
          </w:p>
        </w:tc>
      </w:tr>
      <w:tr w:rsidR="00955BB3" w:rsidRPr="00955BB3" w14:paraId="080CFD9E" w14:textId="77777777" w:rsidTr="00955BB3">
        <w:tc>
          <w:tcPr>
            <w:tcW w:w="3681" w:type="dxa"/>
            <w:vAlign w:val="center"/>
            <w:hideMark/>
          </w:tcPr>
          <w:p w14:paraId="738BC2DE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Urea</w:t>
            </w:r>
          </w:p>
        </w:tc>
        <w:tc>
          <w:tcPr>
            <w:tcW w:w="1559" w:type="dxa"/>
            <w:vAlign w:val="center"/>
            <w:hideMark/>
          </w:tcPr>
          <w:p w14:paraId="53BFAC45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2.6190 </w:t>
            </w:r>
          </w:p>
        </w:tc>
        <w:tc>
          <w:tcPr>
            <w:tcW w:w="1559" w:type="dxa"/>
            <w:vAlign w:val="center"/>
            <w:hideMark/>
          </w:tcPr>
          <w:p w14:paraId="7B40A303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-0.7984 </w:t>
            </w:r>
          </w:p>
        </w:tc>
        <w:tc>
          <w:tcPr>
            <w:tcW w:w="1497" w:type="dxa"/>
            <w:vAlign w:val="center"/>
            <w:hideMark/>
          </w:tcPr>
          <w:p w14:paraId="79BAA305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0.0067 </w:t>
            </w:r>
          </w:p>
        </w:tc>
      </w:tr>
      <w:tr w:rsidR="00955BB3" w:rsidRPr="00955BB3" w14:paraId="477EFB8D" w14:textId="77777777" w:rsidTr="00955BB3">
        <w:tc>
          <w:tcPr>
            <w:tcW w:w="3681" w:type="dxa"/>
            <w:vAlign w:val="center"/>
            <w:hideMark/>
          </w:tcPr>
          <w:p w14:paraId="756A412E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Guanine</w:t>
            </w:r>
          </w:p>
        </w:tc>
        <w:tc>
          <w:tcPr>
            <w:tcW w:w="1559" w:type="dxa"/>
            <w:vAlign w:val="center"/>
            <w:hideMark/>
          </w:tcPr>
          <w:p w14:paraId="0853770D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2.4746 </w:t>
            </w:r>
          </w:p>
        </w:tc>
        <w:tc>
          <w:tcPr>
            <w:tcW w:w="1559" w:type="dxa"/>
            <w:vAlign w:val="center"/>
            <w:hideMark/>
          </w:tcPr>
          <w:p w14:paraId="050AF296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0.7359 </w:t>
            </w:r>
          </w:p>
        </w:tc>
        <w:tc>
          <w:tcPr>
            <w:tcW w:w="1497" w:type="dxa"/>
            <w:vAlign w:val="center"/>
            <w:hideMark/>
          </w:tcPr>
          <w:p w14:paraId="10091533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0.0172 </w:t>
            </w:r>
          </w:p>
        </w:tc>
      </w:tr>
      <w:tr w:rsidR="00955BB3" w:rsidRPr="00955BB3" w14:paraId="584E83A4" w14:textId="77777777" w:rsidTr="00955BB3">
        <w:tc>
          <w:tcPr>
            <w:tcW w:w="3681" w:type="dxa"/>
            <w:vAlign w:val="center"/>
            <w:hideMark/>
          </w:tcPr>
          <w:p w14:paraId="6D8528A3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Ratio of Uric acid/Xanthine</w:t>
            </w:r>
          </w:p>
        </w:tc>
        <w:tc>
          <w:tcPr>
            <w:tcW w:w="1559" w:type="dxa"/>
            <w:vAlign w:val="center"/>
            <w:hideMark/>
          </w:tcPr>
          <w:p w14:paraId="2874DBF1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2.7098 </w:t>
            </w:r>
          </w:p>
        </w:tc>
        <w:tc>
          <w:tcPr>
            <w:tcW w:w="1559" w:type="dxa"/>
            <w:vAlign w:val="center"/>
            <w:hideMark/>
          </w:tcPr>
          <w:p w14:paraId="26268797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-0.7971 </w:t>
            </w:r>
          </w:p>
        </w:tc>
        <w:tc>
          <w:tcPr>
            <w:tcW w:w="1497" w:type="dxa"/>
            <w:vAlign w:val="center"/>
            <w:hideMark/>
          </w:tcPr>
          <w:p w14:paraId="2F2C79EF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0.0068 </w:t>
            </w:r>
          </w:p>
        </w:tc>
      </w:tr>
      <w:tr w:rsidR="00955BB3" w:rsidRPr="00955BB3" w14:paraId="458CDE61" w14:textId="77777777" w:rsidTr="00955BB3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CFECC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Niacinamide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7B83F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2.1566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3FE16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0.7381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076A7B" w14:textId="77777777" w:rsidR="00955BB3" w:rsidRPr="00955BB3" w:rsidRDefault="00955BB3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955BB3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0.0167 </w:t>
            </w:r>
          </w:p>
        </w:tc>
      </w:tr>
    </w:tbl>
    <w:p w14:paraId="483C0614" w14:textId="77777777" w:rsidR="00955BB3" w:rsidRPr="00955BB3" w:rsidRDefault="00955BB3" w:rsidP="00955BB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14:paraId="41C21B1C" w14:textId="77777777" w:rsidR="00955BB3" w:rsidRPr="00955BB3" w:rsidRDefault="00955BB3" w:rsidP="00955BB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96E5F3" w14:textId="77777777" w:rsidR="00955BB3" w:rsidRDefault="00955BB3" w:rsidP="00955BB3">
      <w:pPr>
        <w:rPr>
          <w:rFonts w:ascii="Times New Roman" w:hAnsi="Times New Roman" w:cs="Times New Roman"/>
        </w:rPr>
      </w:pPr>
    </w:p>
    <w:p w14:paraId="14CF0A21" w14:textId="77777777" w:rsidR="00C0462E" w:rsidRPr="00C0462E" w:rsidRDefault="00C0462E">
      <w:pPr>
        <w:rPr>
          <w:rFonts w:ascii="Times New Roman" w:hAnsi="Times New Roman" w:cs="Times New Roman"/>
          <w:sz w:val="24"/>
          <w:szCs w:val="24"/>
        </w:rPr>
      </w:pPr>
    </w:p>
    <w:sectPr w:rsidR="00C0462E" w:rsidRPr="00C0462E" w:rsidSect="003554E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6E1D" w14:textId="77777777" w:rsidR="00F0783F" w:rsidRDefault="00F0783F" w:rsidP="002047D3">
      <w:r>
        <w:separator/>
      </w:r>
    </w:p>
  </w:endnote>
  <w:endnote w:type="continuationSeparator" w:id="0">
    <w:p w14:paraId="50D58E10" w14:textId="77777777" w:rsidR="00F0783F" w:rsidRDefault="00F0783F" w:rsidP="002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6110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978FE" w14:textId="51A02910" w:rsidR="002047D3" w:rsidRDefault="00204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2B2528" w14:textId="77777777" w:rsidR="002047D3" w:rsidRDefault="0020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C9536" w14:textId="77777777" w:rsidR="00F0783F" w:rsidRDefault="00F0783F" w:rsidP="002047D3">
      <w:r>
        <w:separator/>
      </w:r>
    </w:p>
  </w:footnote>
  <w:footnote w:type="continuationSeparator" w:id="0">
    <w:p w14:paraId="47D146B0" w14:textId="77777777" w:rsidR="00F0783F" w:rsidRDefault="00F0783F" w:rsidP="0020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4F"/>
    <w:rsid w:val="00020A0F"/>
    <w:rsid w:val="00054DD1"/>
    <w:rsid w:val="000846DA"/>
    <w:rsid w:val="001377C4"/>
    <w:rsid w:val="00150572"/>
    <w:rsid w:val="001600D6"/>
    <w:rsid w:val="0018085D"/>
    <w:rsid w:val="001C52CA"/>
    <w:rsid w:val="001D21B1"/>
    <w:rsid w:val="001F5420"/>
    <w:rsid w:val="00201C48"/>
    <w:rsid w:val="002047D3"/>
    <w:rsid w:val="00212243"/>
    <w:rsid w:val="00231BFD"/>
    <w:rsid w:val="00245E88"/>
    <w:rsid w:val="002505E1"/>
    <w:rsid w:val="00253312"/>
    <w:rsid w:val="002577AC"/>
    <w:rsid w:val="002C6E43"/>
    <w:rsid w:val="00326234"/>
    <w:rsid w:val="003554EA"/>
    <w:rsid w:val="00397C59"/>
    <w:rsid w:val="003A702C"/>
    <w:rsid w:val="00432D07"/>
    <w:rsid w:val="00465C65"/>
    <w:rsid w:val="00482FA2"/>
    <w:rsid w:val="00483377"/>
    <w:rsid w:val="004C5F1B"/>
    <w:rsid w:val="0058766B"/>
    <w:rsid w:val="005917D2"/>
    <w:rsid w:val="00592ED4"/>
    <w:rsid w:val="00635A45"/>
    <w:rsid w:val="00637949"/>
    <w:rsid w:val="006B61F7"/>
    <w:rsid w:val="006D6E81"/>
    <w:rsid w:val="006D6F1C"/>
    <w:rsid w:val="00705442"/>
    <w:rsid w:val="007237AD"/>
    <w:rsid w:val="00725A8D"/>
    <w:rsid w:val="00731CD6"/>
    <w:rsid w:val="00754DCB"/>
    <w:rsid w:val="00790CF9"/>
    <w:rsid w:val="007A5956"/>
    <w:rsid w:val="007B1CF8"/>
    <w:rsid w:val="00824951"/>
    <w:rsid w:val="008746ED"/>
    <w:rsid w:val="00885F70"/>
    <w:rsid w:val="008A7948"/>
    <w:rsid w:val="0091776A"/>
    <w:rsid w:val="00955BB3"/>
    <w:rsid w:val="009631D4"/>
    <w:rsid w:val="009C7605"/>
    <w:rsid w:val="00A262BF"/>
    <w:rsid w:val="00A27450"/>
    <w:rsid w:val="00A632A2"/>
    <w:rsid w:val="00A7704F"/>
    <w:rsid w:val="00AE5887"/>
    <w:rsid w:val="00AF1582"/>
    <w:rsid w:val="00AF4206"/>
    <w:rsid w:val="00B66044"/>
    <w:rsid w:val="00BC2276"/>
    <w:rsid w:val="00BE7668"/>
    <w:rsid w:val="00C0462E"/>
    <w:rsid w:val="00C81FAB"/>
    <w:rsid w:val="00CA78D7"/>
    <w:rsid w:val="00D443BE"/>
    <w:rsid w:val="00D71D77"/>
    <w:rsid w:val="00DC7AC9"/>
    <w:rsid w:val="00E3162B"/>
    <w:rsid w:val="00E4654F"/>
    <w:rsid w:val="00E91167"/>
    <w:rsid w:val="00EA242E"/>
    <w:rsid w:val="00EA3BB4"/>
    <w:rsid w:val="00ED3A28"/>
    <w:rsid w:val="00EF64AA"/>
    <w:rsid w:val="00F0783F"/>
    <w:rsid w:val="00F661EE"/>
    <w:rsid w:val="00F75CD6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0806"/>
  <w15:chartTrackingRefBased/>
  <w15:docId w15:val="{B0BEC71D-4D83-4046-B255-17922C93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ListParagraph"/>
    <w:next w:val="Normal"/>
    <w:link w:val="Heading1Char"/>
    <w:uiPriority w:val="2"/>
    <w:qFormat/>
    <w:rsid w:val="00A27450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27450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27450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27450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27450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0D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55BB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047D3"/>
  </w:style>
  <w:style w:type="paragraph" w:styleId="Header">
    <w:name w:val="header"/>
    <w:basedOn w:val="Normal"/>
    <w:link w:val="HeaderChar"/>
    <w:uiPriority w:val="99"/>
    <w:unhideWhenUsed/>
    <w:rsid w:val="0020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47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47D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"/>
    <w:rsid w:val="00A2745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2745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27450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2745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2745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A2745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74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193C-0A85-449F-93AF-4B27B566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Xinheng Zhang</dc:creator>
  <cp:keywords/>
  <dc:description/>
  <cp:lastModifiedBy>Giorgia Aprile</cp:lastModifiedBy>
  <cp:revision>92</cp:revision>
  <dcterms:created xsi:type="dcterms:W3CDTF">2020-04-26T02:56:00Z</dcterms:created>
  <dcterms:modified xsi:type="dcterms:W3CDTF">2020-10-27T10:34:00Z</dcterms:modified>
</cp:coreProperties>
</file>