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1. The information of candidates used for the subcutaneous fat isolation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Weight(kg)</w:t>
            </w:r>
          </w:p>
        </w:tc>
        <w:tc>
          <w:tcPr>
            <w:tcW w:w="16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Height(cm)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65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0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6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27.67986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8"/>
    <w:rsid w:val="006E7397"/>
    <w:rsid w:val="009C6838"/>
    <w:rsid w:val="00A03DBA"/>
    <w:rsid w:val="00D079FD"/>
    <w:rsid w:val="062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14</TotalTime>
  <ScaleCrop>false</ScaleCrop>
  <LinksUpToDate>false</LinksUpToDate>
  <CharactersWithSpaces>246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2020-08-12T04:54:00Z</dcterms:created>
  <dc:creator>wy</dc:creator>
  <cp:lastModifiedBy>B</cp:lastModifiedBy>
  <dcterms:modified xsi:type="dcterms:W3CDTF">2020-09-22T07:55:59Z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