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13B9" w14:textId="69587588" w:rsidR="004F57B0" w:rsidRDefault="00156045" w:rsidP="00550FBB">
      <w:pPr>
        <w:spacing w:line="480" w:lineRule="auto"/>
        <w:jc w:val="center"/>
        <w:rPr>
          <w:rFonts w:ascii="Arial" w:hAnsi="Arial" w:cs="Arial"/>
          <w:b/>
          <w:lang w:val="en-GB"/>
        </w:rPr>
      </w:pPr>
      <w:r>
        <w:rPr>
          <w:rFonts w:ascii="Arial" w:hAnsi="Arial" w:cs="Arial"/>
          <w:b/>
          <w:lang w:val="en-GB"/>
        </w:rPr>
        <w:t>SUPPLEMENTARY MATERIAL</w:t>
      </w:r>
      <w:r w:rsidR="00BC0C3C">
        <w:rPr>
          <w:rFonts w:ascii="Arial" w:hAnsi="Arial" w:cs="Arial"/>
          <w:b/>
          <w:lang w:val="en-GB"/>
        </w:rPr>
        <w:t>S</w:t>
      </w:r>
    </w:p>
    <w:p w14:paraId="01A1D041" w14:textId="77777777" w:rsidR="00BC0C3C" w:rsidRDefault="00BC0C3C" w:rsidP="00550FBB">
      <w:pPr>
        <w:spacing w:line="480" w:lineRule="auto"/>
        <w:jc w:val="center"/>
        <w:rPr>
          <w:rFonts w:ascii="Arial" w:hAnsi="Arial" w:cs="Arial"/>
          <w:b/>
          <w:lang w:val="en-GB"/>
        </w:rPr>
      </w:pPr>
    </w:p>
    <w:p w14:paraId="5050B980" w14:textId="77777777" w:rsidR="00BC0C3C" w:rsidRDefault="00BC0C3C" w:rsidP="00BC0C3C">
      <w:pPr>
        <w:pStyle w:val="CommentText"/>
        <w:jc w:val="both"/>
        <w:rPr>
          <w:rFonts w:ascii="Arial" w:eastAsiaTheme="minorHAnsi" w:hAnsi="Arial" w:cs="Arial"/>
          <w:b/>
          <w:sz w:val="24"/>
          <w:szCs w:val="24"/>
          <w:lang w:val="en-GB"/>
        </w:rPr>
      </w:pPr>
      <w:r>
        <w:rPr>
          <w:rFonts w:ascii="Arial" w:hAnsi="Arial" w:cs="Arial"/>
          <w:b/>
          <w:sz w:val="24"/>
          <w:szCs w:val="24"/>
          <w:lang w:val="en-GB"/>
        </w:rPr>
        <w:t xml:space="preserve">Potential of miR-21 to predict incomplete response to chemoradiotherapy in </w:t>
      </w:r>
      <w:r>
        <w:rPr>
          <w:rFonts w:ascii="Arial" w:hAnsi="Arial" w:cs="Arial"/>
          <w:b/>
          <w:sz w:val="24"/>
          <w:szCs w:val="24"/>
          <w:lang w:val="en-GB" w:eastAsia="pt-PT"/>
        </w:rPr>
        <w:t>rectal adenocarcinoma</w:t>
      </w:r>
    </w:p>
    <w:p w14:paraId="43E93D30" w14:textId="77777777" w:rsidR="00BC0C3C" w:rsidRDefault="00BC0C3C" w:rsidP="00BC0C3C">
      <w:pPr>
        <w:widowControl w:val="0"/>
        <w:autoSpaceDE w:val="0"/>
        <w:autoSpaceDN w:val="0"/>
        <w:adjustRightInd w:val="0"/>
        <w:jc w:val="both"/>
        <w:rPr>
          <w:rFonts w:ascii="Arial" w:hAnsi="Arial" w:cs="Arial"/>
          <w:lang w:val="en-US"/>
        </w:rPr>
      </w:pPr>
    </w:p>
    <w:p w14:paraId="65DD4489" w14:textId="77777777" w:rsidR="00BC0C3C" w:rsidRDefault="00BC0C3C" w:rsidP="00BC0C3C">
      <w:pPr>
        <w:widowControl w:val="0"/>
        <w:autoSpaceDE w:val="0"/>
        <w:autoSpaceDN w:val="0"/>
        <w:adjustRightInd w:val="0"/>
        <w:jc w:val="both"/>
        <w:rPr>
          <w:rFonts w:ascii="Arial" w:hAnsi="Arial" w:cs="Arial"/>
        </w:rPr>
      </w:pPr>
      <w:r>
        <w:rPr>
          <w:rFonts w:ascii="Arial" w:hAnsi="Arial" w:cs="Arial"/>
        </w:rPr>
        <w:t>Susana Ourô</w:t>
      </w:r>
      <w:r>
        <w:rPr>
          <w:rFonts w:ascii="Geneva" w:hAnsi="Geneva" w:cs="Geneva"/>
          <w:lang w:val="en-GB"/>
        </w:rPr>
        <w:t>ꝉ</w:t>
      </w:r>
      <w:r>
        <w:rPr>
          <w:rFonts w:ascii="Arial" w:hAnsi="Arial" w:cs="Arial"/>
          <w:vertAlign w:val="superscript"/>
        </w:rPr>
        <w:t xml:space="preserve"> 1,2,</w:t>
      </w:r>
      <w:r>
        <w:rPr>
          <w:rFonts w:ascii="Arial" w:hAnsi="Arial" w:cs="Arial"/>
        </w:rPr>
        <w:t>*; Cláudia Mourato</w:t>
      </w:r>
      <w:r>
        <w:rPr>
          <w:rFonts w:ascii="Geneva" w:hAnsi="Geneva" w:cs="Geneva"/>
          <w:lang w:val="en-GB"/>
        </w:rPr>
        <w:t>ꝉ</w:t>
      </w:r>
      <w:r>
        <w:rPr>
          <w:rFonts w:ascii="Arial" w:hAnsi="Arial" w:cs="Arial"/>
          <w:vertAlign w:val="superscript"/>
        </w:rPr>
        <w:t>3</w:t>
      </w:r>
      <w:r>
        <w:rPr>
          <w:rFonts w:ascii="Arial" w:hAnsi="Arial" w:cs="Arial"/>
        </w:rPr>
        <w:t>, Sónia Velho</w:t>
      </w:r>
      <w:r>
        <w:rPr>
          <w:rFonts w:ascii="Arial" w:hAnsi="Arial" w:cs="Arial"/>
          <w:vertAlign w:val="superscript"/>
        </w:rPr>
        <w:t>1</w:t>
      </w:r>
      <w:r>
        <w:rPr>
          <w:rFonts w:ascii="Arial" w:hAnsi="Arial" w:cs="Arial"/>
        </w:rPr>
        <w:t>, André Cardador</w:t>
      </w:r>
      <w:r>
        <w:rPr>
          <w:rFonts w:ascii="Arial" w:hAnsi="Arial" w:cs="Arial"/>
          <w:vertAlign w:val="superscript"/>
        </w:rPr>
        <w:t>3</w:t>
      </w:r>
      <w:r>
        <w:rPr>
          <w:rFonts w:ascii="Arial" w:hAnsi="Arial" w:cs="Arial"/>
        </w:rPr>
        <w:t>, Marisa P. Ferreira</w:t>
      </w:r>
      <w:r>
        <w:rPr>
          <w:rFonts w:ascii="Arial" w:hAnsi="Arial" w:cs="Arial"/>
          <w:vertAlign w:val="superscript"/>
        </w:rPr>
        <w:t>1</w:t>
      </w:r>
      <w:r>
        <w:rPr>
          <w:rFonts w:ascii="Arial" w:hAnsi="Arial" w:cs="Arial"/>
        </w:rPr>
        <w:t>, Diogo Albergaria</w:t>
      </w:r>
      <w:r>
        <w:rPr>
          <w:rFonts w:ascii="Arial" w:hAnsi="Arial" w:cs="Arial"/>
          <w:vertAlign w:val="superscript"/>
        </w:rPr>
        <w:t>1</w:t>
      </w:r>
      <w:r>
        <w:rPr>
          <w:rFonts w:ascii="Arial" w:hAnsi="Arial" w:cs="Arial"/>
        </w:rPr>
        <w:t>, Rui E. Castro</w:t>
      </w:r>
      <w:r>
        <w:rPr>
          <w:rFonts w:ascii="Arial" w:hAnsi="Arial" w:cs="Arial"/>
          <w:vertAlign w:val="superscript"/>
        </w:rPr>
        <w:t>3</w:t>
      </w:r>
      <w:r>
        <w:rPr>
          <w:rFonts w:ascii="Arial" w:hAnsi="Arial" w:cs="Arial"/>
        </w:rPr>
        <w:t>, Rui Maio</w:t>
      </w:r>
      <w:r>
        <w:rPr>
          <w:rFonts w:ascii="Arial" w:hAnsi="Arial" w:cs="Arial"/>
          <w:vertAlign w:val="superscript"/>
        </w:rPr>
        <w:t>1,2</w:t>
      </w:r>
      <w:r>
        <w:rPr>
          <w:rFonts w:ascii="Arial" w:hAnsi="Arial" w:cs="Arial"/>
        </w:rPr>
        <w:t xml:space="preserve"> and Cecília M. P. Rodrigues</w:t>
      </w:r>
      <w:r>
        <w:rPr>
          <w:rFonts w:ascii="Arial" w:hAnsi="Arial" w:cs="Arial"/>
          <w:vertAlign w:val="superscript"/>
        </w:rPr>
        <w:t>3*</w:t>
      </w:r>
      <w:r>
        <w:rPr>
          <w:rFonts w:ascii="Arial" w:hAnsi="Arial" w:cs="Arial"/>
        </w:rPr>
        <w:t xml:space="preserve"> </w:t>
      </w:r>
    </w:p>
    <w:p w14:paraId="749B1D66" w14:textId="77777777" w:rsidR="00BC0C3C" w:rsidRDefault="00BC0C3C" w:rsidP="00BC0C3C">
      <w:pPr>
        <w:widowControl w:val="0"/>
        <w:autoSpaceDE w:val="0"/>
        <w:autoSpaceDN w:val="0"/>
        <w:adjustRightInd w:val="0"/>
        <w:jc w:val="both"/>
        <w:rPr>
          <w:rFonts w:ascii="Arial" w:hAnsi="Arial" w:cs="Arial"/>
        </w:rPr>
      </w:pPr>
      <w:r>
        <w:rPr>
          <w:rFonts w:ascii="Geneva" w:hAnsi="Geneva" w:cs="Geneva"/>
          <w:lang w:val="en-GB"/>
        </w:rPr>
        <w:t>ꝉ</w:t>
      </w:r>
      <w:r>
        <w:rPr>
          <w:rFonts w:ascii="Arial" w:hAnsi="Arial" w:cs="Arial"/>
        </w:rPr>
        <w:t xml:space="preserve"> Co-first authors</w:t>
      </w:r>
    </w:p>
    <w:p w14:paraId="7DC3C5E4" w14:textId="77777777" w:rsidR="00BC0C3C" w:rsidRDefault="00BC0C3C" w:rsidP="00BC0C3C">
      <w:pPr>
        <w:widowControl w:val="0"/>
        <w:autoSpaceDE w:val="0"/>
        <w:autoSpaceDN w:val="0"/>
        <w:adjustRightInd w:val="0"/>
        <w:jc w:val="both"/>
        <w:rPr>
          <w:rFonts w:ascii="Arial" w:hAnsi="Arial" w:cs="Arial"/>
        </w:rPr>
      </w:pPr>
      <w:r>
        <w:rPr>
          <w:rFonts w:ascii="Arial" w:hAnsi="Arial" w:cs="Arial"/>
          <w:vertAlign w:val="superscript"/>
        </w:rPr>
        <w:t>1</w:t>
      </w:r>
      <w:r>
        <w:rPr>
          <w:rFonts w:ascii="Arial" w:hAnsi="Arial" w:cs="Arial"/>
        </w:rPr>
        <w:t>Surgical Department, Hospital Beatriz Ângelo, Loures, Portugal.</w:t>
      </w:r>
    </w:p>
    <w:p w14:paraId="5A8BB523" w14:textId="77777777" w:rsidR="00BC0C3C" w:rsidRDefault="00BC0C3C" w:rsidP="00BC0C3C">
      <w:pPr>
        <w:widowControl w:val="0"/>
        <w:autoSpaceDE w:val="0"/>
        <w:autoSpaceDN w:val="0"/>
        <w:adjustRightInd w:val="0"/>
        <w:jc w:val="both"/>
        <w:rPr>
          <w:rFonts w:ascii="Arial" w:hAnsi="Arial" w:cs="Arial"/>
        </w:rPr>
      </w:pPr>
      <w:r>
        <w:rPr>
          <w:rFonts w:ascii="Arial" w:hAnsi="Arial" w:cs="Arial"/>
          <w:vertAlign w:val="superscript"/>
        </w:rPr>
        <w:t>2</w:t>
      </w:r>
      <w:r>
        <w:rPr>
          <w:rFonts w:ascii="Arial" w:hAnsi="Arial" w:cs="Arial"/>
        </w:rPr>
        <w:t xml:space="preserve">NOVA Medical School, Lisbon, Portugal. </w:t>
      </w:r>
    </w:p>
    <w:p w14:paraId="3CB0DC8D" w14:textId="77777777" w:rsidR="00BC0C3C" w:rsidRDefault="00BC0C3C" w:rsidP="00BC0C3C">
      <w:pPr>
        <w:widowControl w:val="0"/>
        <w:autoSpaceDE w:val="0"/>
        <w:autoSpaceDN w:val="0"/>
        <w:adjustRightInd w:val="0"/>
        <w:jc w:val="both"/>
        <w:rPr>
          <w:rFonts w:ascii="Arial" w:hAnsi="Arial" w:cs="Arial"/>
        </w:rPr>
      </w:pPr>
      <w:r>
        <w:rPr>
          <w:rFonts w:ascii="Arial" w:hAnsi="Arial" w:cs="Arial"/>
          <w:vertAlign w:val="superscript"/>
        </w:rPr>
        <w:t>3</w:t>
      </w:r>
      <w:r>
        <w:rPr>
          <w:rFonts w:ascii="Arial" w:hAnsi="Arial" w:cs="Arial"/>
        </w:rPr>
        <w:t>Research Institute for Medicines (iMed.ULisboa), Faculty of Pharmacy, Universidade de Lisbon, Portugal.</w:t>
      </w:r>
    </w:p>
    <w:p w14:paraId="6809E915" w14:textId="77777777" w:rsidR="00BC0C3C" w:rsidRDefault="00BC0C3C" w:rsidP="00BC0C3C">
      <w:pPr>
        <w:widowControl w:val="0"/>
        <w:autoSpaceDE w:val="0"/>
        <w:autoSpaceDN w:val="0"/>
        <w:adjustRightInd w:val="0"/>
        <w:jc w:val="both"/>
        <w:rPr>
          <w:rFonts w:ascii="Arial" w:hAnsi="Arial" w:cs="Arial"/>
        </w:rPr>
      </w:pPr>
    </w:p>
    <w:p w14:paraId="5F3FBEFE" w14:textId="77777777" w:rsidR="00BC0C3C" w:rsidRDefault="00BC0C3C" w:rsidP="00BC0C3C">
      <w:pPr>
        <w:jc w:val="both"/>
        <w:rPr>
          <w:rFonts w:ascii="Arial" w:hAnsi="Arial" w:cs="Arial"/>
        </w:rPr>
      </w:pPr>
    </w:p>
    <w:p w14:paraId="2B8EF37C" w14:textId="77777777" w:rsidR="00BC0C3C" w:rsidRDefault="00BC0C3C" w:rsidP="00BC0C3C">
      <w:pPr>
        <w:jc w:val="both"/>
        <w:rPr>
          <w:rFonts w:ascii="Arial" w:hAnsi="Arial" w:cs="Arial"/>
        </w:rPr>
      </w:pPr>
      <w:r>
        <w:rPr>
          <w:rFonts w:ascii="Arial" w:hAnsi="Arial" w:cs="Arial"/>
          <w:b/>
        </w:rPr>
        <w:t xml:space="preserve">*Corresponding authors: </w:t>
      </w:r>
      <w:r>
        <w:rPr>
          <w:rFonts w:ascii="Arial" w:hAnsi="Arial" w:cs="Arial"/>
        </w:rPr>
        <w:t xml:space="preserve">Susana Ourô, Hospital Beatriz Ângelo, Surgical Department, Avenida Carlos Teixeira 514, 2674-514 Loures, Portugal, </w:t>
      </w:r>
      <w:hyperlink r:id="rId8" w:history="1">
        <w:r>
          <w:rPr>
            <w:rStyle w:val="Hyperlink"/>
            <w:rFonts w:ascii="Arial" w:eastAsiaTheme="minorHAnsi" w:hAnsi="Arial" w:cs="Arial"/>
          </w:rPr>
          <w:t>smrouro@gmail.com</w:t>
        </w:r>
      </w:hyperlink>
      <w:r>
        <w:rPr>
          <w:rStyle w:val="Hyperlink"/>
          <w:rFonts w:ascii="Arial" w:eastAsiaTheme="minorHAnsi" w:hAnsi="Arial" w:cs="Arial"/>
        </w:rPr>
        <w:t>; Cecília M. P. Rodrigues,</w:t>
      </w:r>
      <w:r>
        <w:rPr>
          <w:rFonts w:ascii="Arial" w:hAnsi="Arial" w:cs="Arial"/>
        </w:rPr>
        <w:t xml:space="preserve"> Faculty of Pharmacy, Universidade de Lisbon, Avenida Prof. Gama Pinto, 1649-003 Lisbon, Portugal</w:t>
      </w:r>
    </w:p>
    <w:p w14:paraId="261FB464" w14:textId="77777777" w:rsidR="00BC0C3C" w:rsidRDefault="00BC0C3C" w:rsidP="00BC0C3C">
      <w:pPr>
        <w:jc w:val="both"/>
        <w:rPr>
          <w:rFonts w:ascii="Arial" w:eastAsia="Times New Roman" w:hAnsi="Arial" w:cs="Arial"/>
          <w:lang w:eastAsia="en-GB"/>
        </w:rPr>
      </w:pPr>
    </w:p>
    <w:p w14:paraId="295819BA" w14:textId="77777777" w:rsidR="00BC0C3C" w:rsidRDefault="00BC0C3C" w:rsidP="00BC0C3C">
      <w:pPr>
        <w:jc w:val="both"/>
        <w:rPr>
          <w:rFonts w:ascii="Arial" w:hAnsi="Arial" w:cs="Arial"/>
          <w:b/>
        </w:rPr>
      </w:pPr>
    </w:p>
    <w:p w14:paraId="211D9209" w14:textId="77777777" w:rsidR="00BC0C3C" w:rsidRDefault="00BC0C3C" w:rsidP="00BC0C3C">
      <w:pPr>
        <w:jc w:val="both"/>
        <w:rPr>
          <w:rFonts w:ascii="Arial" w:hAnsi="Arial" w:cs="Arial"/>
          <w:bCs/>
          <w:lang w:val="en-GB"/>
        </w:rPr>
      </w:pPr>
    </w:p>
    <w:p w14:paraId="38697C47" w14:textId="77777777" w:rsidR="00BC0C3C" w:rsidRDefault="00BC0C3C" w:rsidP="00BC0C3C">
      <w:pPr>
        <w:jc w:val="both"/>
        <w:rPr>
          <w:rFonts w:ascii="Arial" w:hAnsi="Arial" w:cs="Arial"/>
          <w:bCs/>
          <w:lang w:val="en-GB"/>
        </w:rPr>
      </w:pPr>
    </w:p>
    <w:p w14:paraId="41D180B7" w14:textId="77777777" w:rsidR="00BC0C3C" w:rsidRDefault="00BC0C3C" w:rsidP="00BC0C3C">
      <w:pPr>
        <w:jc w:val="both"/>
        <w:rPr>
          <w:rFonts w:ascii="Arial" w:hAnsi="Arial" w:cs="Arial"/>
          <w:bCs/>
          <w:lang w:val="en-GB"/>
        </w:rPr>
      </w:pPr>
    </w:p>
    <w:p w14:paraId="1D43CCEA" w14:textId="77777777" w:rsidR="00BC0C3C" w:rsidRDefault="00BC0C3C" w:rsidP="00BC0C3C">
      <w:pPr>
        <w:jc w:val="both"/>
        <w:rPr>
          <w:rFonts w:ascii="Arial" w:hAnsi="Arial" w:cs="Arial"/>
          <w:bCs/>
          <w:lang w:val="en-GB"/>
        </w:rPr>
      </w:pPr>
    </w:p>
    <w:p w14:paraId="4D18FE14" w14:textId="77777777" w:rsidR="00BC0C3C" w:rsidRDefault="00BC0C3C" w:rsidP="00BC0C3C">
      <w:pPr>
        <w:jc w:val="both"/>
        <w:rPr>
          <w:rFonts w:ascii="Arial" w:hAnsi="Arial" w:cs="Arial"/>
          <w:bCs/>
          <w:lang w:val="en-GB"/>
        </w:rPr>
      </w:pPr>
    </w:p>
    <w:p w14:paraId="52D833A2" w14:textId="77777777" w:rsidR="00BC0C3C" w:rsidRDefault="00BC0C3C" w:rsidP="00BC0C3C">
      <w:pPr>
        <w:jc w:val="both"/>
        <w:rPr>
          <w:rFonts w:ascii="Arial" w:hAnsi="Arial" w:cs="Arial"/>
          <w:bCs/>
          <w:lang w:val="en-GB"/>
        </w:rPr>
      </w:pPr>
    </w:p>
    <w:p w14:paraId="4B41BD0B" w14:textId="77777777" w:rsidR="00BC0C3C" w:rsidRDefault="00BC0C3C" w:rsidP="00BC0C3C">
      <w:pPr>
        <w:jc w:val="both"/>
        <w:rPr>
          <w:rFonts w:ascii="Arial" w:hAnsi="Arial" w:cs="Arial"/>
          <w:bCs/>
          <w:lang w:val="en-GB"/>
        </w:rPr>
      </w:pPr>
    </w:p>
    <w:p w14:paraId="33FE3E1E" w14:textId="77777777" w:rsidR="00BC0C3C" w:rsidRDefault="00BC0C3C" w:rsidP="00BC0C3C">
      <w:pPr>
        <w:jc w:val="both"/>
        <w:rPr>
          <w:rFonts w:ascii="Arial" w:hAnsi="Arial" w:cs="Arial"/>
          <w:bCs/>
          <w:lang w:val="en-GB"/>
        </w:rPr>
      </w:pPr>
    </w:p>
    <w:p w14:paraId="3BA1C6B0" w14:textId="77777777" w:rsidR="00BC0C3C" w:rsidRDefault="00BC0C3C" w:rsidP="00BC0C3C">
      <w:pPr>
        <w:jc w:val="both"/>
        <w:rPr>
          <w:rFonts w:ascii="Arial" w:hAnsi="Arial" w:cs="Arial"/>
          <w:bCs/>
          <w:lang w:val="en-GB"/>
        </w:rPr>
      </w:pPr>
    </w:p>
    <w:p w14:paraId="485013D8" w14:textId="77777777" w:rsidR="00BC0C3C" w:rsidRDefault="00BC0C3C" w:rsidP="00BC0C3C">
      <w:pPr>
        <w:jc w:val="both"/>
        <w:rPr>
          <w:rFonts w:ascii="Arial" w:hAnsi="Arial" w:cs="Arial"/>
          <w:bCs/>
          <w:lang w:val="en-GB"/>
        </w:rPr>
      </w:pPr>
    </w:p>
    <w:p w14:paraId="4316315E" w14:textId="77777777" w:rsidR="00BC0C3C" w:rsidRDefault="00BC0C3C" w:rsidP="00BC0C3C">
      <w:pPr>
        <w:jc w:val="both"/>
        <w:rPr>
          <w:rFonts w:ascii="Arial" w:hAnsi="Arial" w:cs="Arial"/>
          <w:bCs/>
          <w:lang w:val="en-GB"/>
        </w:rPr>
      </w:pPr>
    </w:p>
    <w:p w14:paraId="4570AC34" w14:textId="77777777" w:rsidR="00BC0C3C" w:rsidRDefault="00BC0C3C" w:rsidP="00BC0C3C">
      <w:pPr>
        <w:jc w:val="both"/>
        <w:rPr>
          <w:rFonts w:ascii="Arial" w:hAnsi="Arial" w:cs="Arial"/>
          <w:bCs/>
          <w:lang w:val="en-GB"/>
        </w:rPr>
      </w:pPr>
    </w:p>
    <w:p w14:paraId="0E8B248E" w14:textId="77777777" w:rsidR="00BC0C3C" w:rsidRDefault="00BC0C3C" w:rsidP="00BC0C3C">
      <w:pPr>
        <w:jc w:val="both"/>
        <w:rPr>
          <w:rFonts w:ascii="Arial" w:hAnsi="Arial" w:cs="Arial"/>
          <w:bCs/>
          <w:lang w:val="en-GB"/>
        </w:rPr>
      </w:pPr>
    </w:p>
    <w:p w14:paraId="0B061103" w14:textId="77777777" w:rsidR="00BC0C3C" w:rsidRDefault="00BC0C3C" w:rsidP="00BC0C3C">
      <w:pPr>
        <w:jc w:val="both"/>
        <w:rPr>
          <w:rFonts w:ascii="Arial" w:hAnsi="Arial" w:cs="Arial"/>
          <w:bCs/>
          <w:lang w:val="en-GB"/>
        </w:rPr>
      </w:pPr>
    </w:p>
    <w:p w14:paraId="02C76720" w14:textId="77777777" w:rsidR="00BC0C3C" w:rsidRDefault="00BC0C3C" w:rsidP="00BC0C3C">
      <w:pPr>
        <w:jc w:val="both"/>
        <w:rPr>
          <w:rFonts w:ascii="Arial" w:hAnsi="Arial" w:cs="Arial"/>
          <w:bCs/>
          <w:lang w:val="en-GB"/>
        </w:rPr>
      </w:pPr>
    </w:p>
    <w:p w14:paraId="36CBF198" w14:textId="77777777" w:rsidR="00BC0C3C" w:rsidRDefault="00BC0C3C" w:rsidP="00BC0C3C">
      <w:pPr>
        <w:jc w:val="both"/>
        <w:rPr>
          <w:rFonts w:ascii="Arial" w:hAnsi="Arial" w:cs="Arial"/>
          <w:bCs/>
          <w:lang w:val="en-GB"/>
        </w:rPr>
      </w:pPr>
    </w:p>
    <w:p w14:paraId="49002C30" w14:textId="77777777" w:rsidR="00BC0C3C" w:rsidRDefault="00BC0C3C" w:rsidP="00BC0C3C">
      <w:pPr>
        <w:jc w:val="both"/>
        <w:rPr>
          <w:rFonts w:ascii="Arial" w:hAnsi="Arial" w:cs="Arial"/>
          <w:bCs/>
          <w:lang w:val="en-GB"/>
        </w:rPr>
      </w:pPr>
    </w:p>
    <w:p w14:paraId="26AC015C" w14:textId="77777777" w:rsidR="00BC0C3C" w:rsidRDefault="00BC0C3C" w:rsidP="00BC0C3C">
      <w:pPr>
        <w:jc w:val="both"/>
        <w:rPr>
          <w:rFonts w:ascii="Arial" w:hAnsi="Arial" w:cs="Arial"/>
          <w:bCs/>
          <w:lang w:val="en-GB"/>
        </w:rPr>
      </w:pPr>
    </w:p>
    <w:p w14:paraId="2FBCEAAF" w14:textId="77777777" w:rsidR="00BC0C3C" w:rsidRDefault="00BC0C3C" w:rsidP="00BC0C3C">
      <w:pPr>
        <w:jc w:val="both"/>
        <w:rPr>
          <w:rFonts w:ascii="Arial" w:hAnsi="Arial" w:cs="Arial"/>
          <w:bCs/>
          <w:lang w:val="en-GB"/>
        </w:rPr>
      </w:pPr>
    </w:p>
    <w:p w14:paraId="7D840141" w14:textId="77777777" w:rsidR="00BC0C3C" w:rsidRDefault="00BC0C3C" w:rsidP="00BC0C3C">
      <w:pPr>
        <w:jc w:val="both"/>
        <w:rPr>
          <w:rFonts w:ascii="Arial" w:hAnsi="Arial" w:cs="Arial"/>
          <w:bCs/>
          <w:lang w:val="en-GB"/>
        </w:rPr>
      </w:pPr>
    </w:p>
    <w:p w14:paraId="4C3117F8" w14:textId="77777777" w:rsidR="00BC0C3C" w:rsidRDefault="00BC0C3C" w:rsidP="00BC0C3C">
      <w:pPr>
        <w:jc w:val="both"/>
        <w:rPr>
          <w:rFonts w:ascii="Arial" w:hAnsi="Arial" w:cs="Arial"/>
          <w:bCs/>
          <w:lang w:val="en-GB"/>
        </w:rPr>
      </w:pPr>
    </w:p>
    <w:p w14:paraId="12715A97" w14:textId="77777777" w:rsidR="00BC0C3C" w:rsidRDefault="00BC0C3C" w:rsidP="00BC0C3C">
      <w:pPr>
        <w:jc w:val="both"/>
        <w:rPr>
          <w:rFonts w:ascii="Arial" w:hAnsi="Arial" w:cs="Arial"/>
          <w:bCs/>
          <w:lang w:val="en-GB"/>
        </w:rPr>
      </w:pPr>
    </w:p>
    <w:p w14:paraId="21AD1000" w14:textId="77777777" w:rsidR="00BC0C3C" w:rsidRDefault="00BC0C3C" w:rsidP="00BC0C3C">
      <w:pPr>
        <w:jc w:val="both"/>
        <w:rPr>
          <w:rFonts w:ascii="Arial" w:hAnsi="Arial" w:cs="Arial"/>
          <w:bCs/>
          <w:lang w:val="en-GB"/>
        </w:rPr>
      </w:pPr>
    </w:p>
    <w:p w14:paraId="0678213D" w14:textId="77777777" w:rsidR="00BC0C3C" w:rsidRDefault="00BC0C3C" w:rsidP="00BC0C3C">
      <w:pPr>
        <w:jc w:val="both"/>
        <w:rPr>
          <w:rFonts w:ascii="Arial" w:hAnsi="Arial" w:cs="Arial"/>
          <w:bCs/>
          <w:lang w:val="en-GB"/>
        </w:rPr>
      </w:pPr>
    </w:p>
    <w:p w14:paraId="37BF0C08" w14:textId="77777777" w:rsidR="00BC0C3C" w:rsidRDefault="00BC0C3C" w:rsidP="00550FBB">
      <w:pPr>
        <w:spacing w:line="480" w:lineRule="auto"/>
        <w:jc w:val="center"/>
        <w:rPr>
          <w:rFonts w:ascii="Arial" w:hAnsi="Arial" w:cs="Arial"/>
          <w:b/>
          <w:lang w:val="en-GB"/>
        </w:rPr>
      </w:pPr>
    </w:p>
    <w:p w14:paraId="35A4A0E7" w14:textId="77777777" w:rsidR="00156045" w:rsidRDefault="00156045" w:rsidP="00550FBB">
      <w:pPr>
        <w:spacing w:line="480" w:lineRule="auto"/>
        <w:jc w:val="center"/>
        <w:rPr>
          <w:rFonts w:ascii="Arial" w:hAnsi="Arial" w:cs="Arial"/>
          <w:b/>
          <w:lang w:val="en-GB"/>
        </w:rPr>
      </w:pPr>
    </w:p>
    <w:p w14:paraId="07BD97C3" w14:textId="1EF5D3D8" w:rsidR="00156045" w:rsidRDefault="00156045" w:rsidP="00C04B0B">
      <w:pPr>
        <w:spacing w:line="480" w:lineRule="auto"/>
        <w:jc w:val="center"/>
        <w:rPr>
          <w:rFonts w:ascii="Arial" w:hAnsi="Arial" w:cs="Arial"/>
          <w:b/>
          <w:lang w:val="en-GB"/>
        </w:rPr>
      </w:pPr>
      <w:r>
        <w:rPr>
          <w:rFonts w:ascii="Arial" w:hAnsi="Arial" w:cs="Arial"/>
          <w:b/>
          <w:lang w:val="en-GB"/>
        </w:rPr>
        <w:lastRenderedPageBreak/>
        <w:t xml:space="preserve">Figures </w:t>
      </w:r>
    </w:p>
    <w:p w14:paraId="3FEAAFAA" w14:textId="77777777" w:rsidR="00156045" w:rsidRDefault="00156045" w:rsidP="00156045">
      <w:pPr>
        <w:spacing w:line="480" w:lineRule="auto"/>
        <w:rPr>
          <w:rFonts w:ascii="Arial" w:hAnsi="Arial" w:cs="Arial"/>
          <w:b/>
          <w:lang w:val="en-GB"/>
        </w:rPr>
      </w:pPr>
    </w:p>
    <w:p w14:paraId="6FCCB87A" w14:textId="77777777" w:rsidR="004F57B0" w:rsidRPr="004F57B0" w:rsidRDefault="004F57B0" w:rsidP="004F57B0">
      <w:pPr>
        <w:spacing w:line="480" w:lineRule="auto"/>
        <w:rPr>
          <w:rFonts w:ascii="Arial" w:hAnsi="Arial" w:cs="Arial"/>
          <w:lang w:val="en-GB"/>
        </w:rPr>
      </w:pPr>
    </w:p>
    <w:p w14:paraId="4FB66F5A" w14:textId="2961E34D" w:rsidR="00613D17" w:rsidRPr="00156045" w:rsidRDefault="00613D17" w:rsidP="00156045">
      <w:pPr>
        <w:jc w:val="center"/>
        <w:rPr>
          <w:rFonts w:ascii="Arial" w:hAnsi="Arial" w:cs="Arial"/>
          <w:lang w:val="en-GB"/>
        </w:rPr>
      </w:pPr>
      <w:r w:rsidRPr="00CC5DE5">
        <w:rPr>
          <w:rFonts w:ascii="Arial" w:hAnsi="Arial" w:cs="Arial"/>
          <w:noProof/>
          <w:lang w:val="en-US"/>
        </w:rPr>
        <w:drawing>
          <wp:inline distT="0" distB="0" distL="0" distR="0" wp14:anchorId="594F3F5B" wp14:editId="390CA843">
            <wp:extent cx="2321472" cy="2319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356" cy="2326047"/>
                    </a:xfrm>
                    <a:prstGeom prst="rect">
                      <a:avLst/>
                    </a:prstGeom>
                    <a:noFill/>
                    <a:ln>
                      <a:noFill/>
                    </a:ln>
                  </pic:spPr>
                </pic:pic>
              </a:graphicData>
            </a:graphic>
          </wp:inline>
        </w:drawing>
      </w:r>
    </w:p>
    <w:p w14:paraId="556EC3B4" w14:textId="70AC7920" w:rsidR="001A0F9E" w:rsidRDefault="00156045" w:rsidP="00550FBB">
      <w:pPr>
        <w:jc w:val="both"/>
        <w:rPr>
          <w:rFonts w:ascii="Arial" w:hAnsi="Arial" w:cs="Arial"/>
          <w:lang w:val="en-GB"/>
        </w:rPr>
      </w:pPr>
      <w:r>
        <w:rPr>
          <w:rFonts w:ascii="Arial" w:hAnsi="Arial"/>
          <w:b/>
          <w:lang w:val="en-GB" w:eastAsia="pt-PT"/>
        </w:rPr>
        <w:t xml:space="preserve">Supplementary Figure </w:t>
      </w:r>
      <w:r w:rsidR="00BC0C3C">
        <w:rPr>
          <w:rFonts w:ascii="Arial" w:hAnsi="Arial"/>
          <w:b/>
          <w:lang w:val="en-GB" w:eastAsia="pt-PT"/>
        </w:rPr>
        <w:t>S</w:t>
      </w:r>
      <w:r w:rsidR="00613D17" w:rsidRPr="00CC5DE5">
        <w:rPr>
          <w:rFonts w:ascii="Arial" w:hAnsi="Arial"/>
          <w:b/>
          <w:lang w:val="en-GB" w:eastAsia="pt-PT"/>
        </w:rPr>
        <w:t>1.</w:t>
      </w:r>
      <w:r w:rsidR="00613D17" w:rsidRPr="00CC5DE5">
        <w:rPr>
          <w:rFonts w:ascii="Arial" w:hAnsi="Arial" w:cs="Arial"/>
          <w:b/>
          <w:lang w:val="en-GB"/>
        </w:rPr>
        <w:t xml:space="preserve"> </w:t>
      </w:r>
      <w:r w:rsidR="00613D17" w:rsidRPr="007E4F2A">
        <w:rPr>
          <w:rFonts w:ascii="Arial" w:hAnsi="Arial" w:cs="Arial"/>
          <w:lang w:val="en-GB"/>
        </w:rPr>
        <w:t>ROC curve analysis</w:t>
      </w:r>
      <w:r w:rsidR="00613D17" w:rsidRPr="00CC5DE5">
        <w:rPr>
          <w:rFonts w:ascii="Arial" w:hAnsi="Arial" w:cs="Arial"/>
          <w:b/>
          <w:lang w:val="en-GB"/>
        </w:rPr>
        <w:t xml:space="preserve">. </w:t>
      </w:r>
      <w:r w:rsidR="00613D17" w:rsidRPr="00CC5DE5">
        <w:rPr>
          <w:rFonts w:ascii="Arial" w:hAnsi="Arial" w:cs="Arial"/>
          <w:lang w:val="en-GB"/>
        </w:rPr>
        <w:t xml:space="preserve">Comparison of miR-21 cut-offs determined by </w:t>
      </w:r>
      <w:proofErr w:type="spellStart"/>
      <w:r w:rsidR="00613D17" w:rsidRPr="00CC5DE5">
        <w:rPr>
          <w:rFonts w:ascii="Arial" w:hAnsi="Arial" w:cs="Arial"/>
          <w:lang w:val="en-GB"/>
        </w:rPr>
        <w:t>Caramès</w:t>
      </w:r>
      <w:proofErr w:type="spellEnd"/>
      <w:r w:rsidR="00613D17" w:rsidRPr="00CC5DE5">
        <w:rPr>
          <w:rFonts w:ascii="Arial" w:hAnsi="Arial" w:cs="Arial"/>
          <w:lang w:val="en-GB"/>
        </w:rPr>
        <w:t xml:space="preserve"> </w:t>
      </w:r>
      <w:r w:rsidR="00613D17" w:rsidRPr="00CC5DE5">
        <w:rPr>
          <w:rFonts w:ascii="Arial" w:hAnsi="Arial" w:cs="Arial"/>
          <w:i/>
          <w:lang w:val="en-GB"/>
        </w:rPr>
        <w:t>et al</w:t>
      </w:r>
      <w:r w:rsidR="00613D17" w:rsidRPr="00CC5DE5">
        <w:rPr>
          <w:rFonts w:ascii="Arial" w:hAnsi="Arial" w:cs="Arial"/>
          <w:lang w:val="en-GB"/>
        </w:rPr>
        <w:t xml:space="preserve">  (2.8) </w:t>
      </w:r>
      <w:r w:rsidR="004664C9" w:rsidRPr="00C06C38">
        <w:rPr>
          <w:rFonts w:ascii="Arial" w:hAnsi="Arial" w:cs="Arial"/>
          <w:lang w:val="en-GB"/>
        </w:rPr>
        <w:fldChar w:fldCharType="begin" w:fldLock="1"/>
      </w:r>
      <w:r w:rsidR="004664C9">
        <w:rPr>
          <w:rFonts w:ascii="Arial" w:hAnsi="Arial" w:cs="Arial"/>
          <w:lang w:val="en-GB"/>
        </w:rPr>
        <w:instrText>ADDIN CSL_CITATION {"citationItems":[{"id":"ITEM-1","itemData":{"DOI":"10.3892/ol.2017.6141","author":[{"dropping-particle":"","family":"Haahr","given":"Anne","non-dropping-particle":"","parse-names":false,"suffix":""},{"dropping-particle":"","family":"Eriksen","given":"Mellergaard","non-dropping-particle":"","parse-names":false,"suffix":""},{"dropping-particle":"","family":"Sørensen","given":"Flemming Brandt","non-dropping-particle":"","parse-names":false,"suffix":""},{"dropping-particle":"","family":"Andersen","given":"Rikke Fredslund","non-dropping-particle":"","parse-names":false,"suffix":""},{"dropping-particle":"","family":"Jakobsen","given":"Anders","non-dropping-particle":"","parse-names":false,"suffix":""},{"dropping-particle":"","family":"Hansen","given":"Torben Frøstrup","non-dropping-particle":"","parse-names":false,"suffix":""}],"id":"ITEM-1","issued":{"date-parts":[["2017"]]},"page":"201-209","title":"Association between the expression of microRNAs and the response of patients with locally advanced rectal cancer to preoperative chemoradiotherapy","type":"article-journal"},"uris":["http://www.mendeley.com/documents/?uuid=0240d676-e084-4cee-9f6b-38eb02a56eef"]},{"id":"ITEM-2","itemData":{"DOI":"10.1186/s12920-014-0068-7","ISBN":"1755-8794 (Electronic)\\r1755-8794 (Linking)","ISSN":"1755-8794","PMID":"25496125","abstract":"BackgroundNeoadjuvant chemoradiotherapy (nCRT) followed by radical surgery is the preferred treatment strategy for locally advanced rectal cancer. However, complete tumor regression is observed in a significant proportion of patients after nCRT, making them ideal candidates for alternative treatment strategies to this considerably morbid procedure. Identification of such patients based on clinical findings (complete clinical response - cCR) is difficult mainly because it relies on subjective clinical and imaging studies. Our goal was to identify biomarkers capable of predicting complete response to nCRT.MethodsWe analyzed miRNA expression profile using deep sequencing in rectal tumor biopsies prior to nCRT. Differential expression was investigated by EdgeR for a training (n¿=¿27) and a validation (n¿=¿16) set of patients to identify miRNAs associated with treatment response (complete vs. incomplete). In vitro experiments with two cancer cell lines were also performed in order to evaluate the possible role of miRNAs on response to nCRT.ResultsWe found 4 miRNAs differentially expressed between complete and incomplete responders to nCRT. In addition, validation was performed using an independent group of patients and miR-21-5p was confirmed as being overexpressed in complete responders. Overall sensitivity and specificity of miR-21-5p expression in predicting complete response to nCRT was 78% and 86% respectively. Interestingly, in a subset of patients with cCR followed by early local recurrence, the expression level of miR-21-5p was considerably low, similarly to incomplete responders. We also found SATB1, a miR-21-5p target gene and known multidrug resistance gene, whose expression was inversely correlated with miR-21-5p expression. Finally, we performed functional experiments and showed that miR-21-5p and SATB1 may be directly involved with poor response to nCRT in rectal cancer patients.ConclusionsThis study suggests miR-21-5p as a promising predictive biomarker, which should aid in the selection of patients with cCR to nCRT that potentially could be spared from radical surgery.","author":[{"dropping-particle":"","family":"Lopes-Ramos","given":"Camila","non-dropping-particle":"","parse-names":false,"suffix":""},{"dropping-particle":"","family":"Habr-Gama","given":"Angelita","non-dropping-particle":"","parse-names":false,"suffix":""},{"dropping-particle":"","family":"Quevedo","given":"Bruna","non-dropping-particle":"","parse-names":false,"suffix":""},{"dropping-particle":"","family":"Felício","given":"Natália","non-dropping-particle":"","parse-names":false,"suffix":""},{"dropping-particle":"","family":"Bettoni","given":"Fabiana","non-dropping-particle":"","parse-names":false,"suffix":""},{"dropping-particle":"","family":"Koyama","given":"Fernanda","non-dropping-particle":"","parse-names":false,"suffix":""},{"dropping-particle":"","family":"Asprino","given":"Paula","non-dropping-particle":"","parse-names":false,"suffix":""},{"dropping-particle":"","family":"Galante","given":"Pedro","non-dropping-particle":"","parse-names":false,"suffix":""},{"dropping-particle":"","family":"Gama-Rodrigues","given":"Joaquim","non-dropping-particle":"","parse-names":false,"suffix":""},{"dropping-particle":"","family":"Camargo","given":"Anamaria","non-dropping-particle":"","parse-names":false,"suffix":""},{"dropping-particle":"","family":"Perez","given":"Rodrigo","non-dropping-particle":"","parse-names":false,"suffix":""},{"dropping-particle":"","family":"Parmigiani","given":"Raphael","non-dropping-particle":"","parse-names":false,"suffix":""}],"container-title":"BMC medical genomics","id":"ITEM-2","issue":"1","issued":{"date-parts":[["2014"]]},"page":"68","title":"of miR-21-5p as a predictive marker for complete tumor regression to neoadjuvant chemoradiotherapy in rectal cancer patientsOverexpression.","type":"article-journal","volume":"7"},"uris":["http://www.mendeley.com/documents/?uuid=95a3183f-7aff-4d02-be3d-a18936969fa7"]}],"mendeley":{"formattedCitation":"(34,35)","plainTextFormattedCitation":"(34,35)","previouslyFormattedCitation":"(36,37)"},"properties":{"noteIndex":0},"schema":"https://github.com/citation-style-language/schema/raw/master/csl-citation.json"}</w:instrText>
      </w:r>
      <w:r w:rsidR="004664C9" w:rsidRPr="00C06C38">
        <w:rPr>
          <w:rFonts w:ascii="Arial" w:hAnsi="Arial" w:cs="Arial"/>
          <w:lang w:val="en-GB"/>
        </w:rPr>
        <w:fldChar w:fldCharType="separate"/>
      </w:r>
      <w:r w:rsidR="003177BF">
        <w:rPr>
          <w:rFonts w:ascii="Arial" w:hAnsi="Arial" w:cs="Arial"/>
          <w:noProof/>
          <w:lang w:val="en-GB"/>
        </w:rPr>
        <w:t>(30</w:t>
      </w:r>
      <w:bookmarkStart w:id="0" w:name="_GoBack"/>
      <w:bookmarkEnd w:id="0"/>
      <w:r w:rsidR="004664C9" w:rsidRPr="00F20FAB">
        <w:rPr>
          <w:rFonts w:ascii="Arial" w:hAnsi="Arial" w:cs="Arial"/>
          <w:noProof/>
          <w:lang w:val="en-GB"/>
        </w:rPr>
        <w:t>)</w:t>
      </w:r>
      <w:r w:rsidR="004664C9" w:rsidRPr="00C06C38">
        <w:rPr>
          <w:rFonts w:ascii="Arial" w:hAnsi="Arial" w:cs="Arial"/>
          <w:lang w:val="en-GB"/>
        </w:rPr>
        <w:fldChar w:fldCharType="end"/>
      </w:r>
      <w:r w:rsidR="004664C9">
        <w:rPr>
          <w:rFonts w:ascii="Arial" w:hAnsi="Arial" w:cs="Arial"/>
          <w:lang w:val="en-GB"/>
        </w:rPr>
        <w:t xml:space="preserve"> a</w:t>
      </w:r>
      <w:r w:rsidR="00613D17" w:rsidRPr="00CC5DE5">
        <w:rPr>
          <w:rFonts w:ascii="Arial" w:hAnsi="Arial" w:cs="Arial"/>
          <w:lang w:val="en-GB"/>
        </w:rPr>
        <w:t>nd by this study (1.18). AUC: area under the cur</w:t>
      </w:r>
      <w:r w:rsidR="009D5181" w:rsidRPr="00CC5DE5">
        <w:rPr>
          <w:rFonts w:ascii="Arial" w:hAnsi="Arial" w:cs="Arial"/>
          <w:lang w:val="en-GB"/>
        </w:rPr>
        <w:t>ve.</w:t>
      </w:r>
    </w:p>
    <w:p w14:paraId="589A00FB" w14:textId="77777777" w:rsidR="00550FBB" w:rsidRDefault="00550FBB" w:rsidP="00550FBB">
      <w:pPr>
        <w:jc w:val="both"/>
        <w:rPr>
          <w:rFonts w:ascii="Arial" w:hAnsi="Arial" w:cs="Arial"/>
          <w:lang w:val="en-GB"/>
        </w:rPr>
      </w:pPr>
    </w:p>
    <w:p w14:paraId="27247CCB" w14:textId="77777777" w:rsidR="00550FBB" w:rsidRDefault="00550FBB" w:rsidP="00550FBB">
      <w:pPr>
        <w:jc w:val="both"/>
        <w:rPr>
          <w:rFonts w:ascii="Arial" w:hAnsi="Arial" w:cs="Arial"/>
          <w:lang w:val="en-GB"/>
        </w:rPr>
      </w:pPr>
    </w:p>
    <w:p w14:paraId="1C6F0DFF" w14:textId="77777777" w:rsidR="00BC0C3C" w:rsidRDefault="00BC0C3C" w:rsidP="00550FBB">
      <w:pPr>
        <w:jc w:val="both"/>
        <w:rPr>
          <w:rFonts w:ascii="Arial" w:hAnsi="Arial" w:cs="Arial"/>
          <w:lang w:val="en-GB"/>
        </w:rPr>
      </w:pPr>
    </w:p>
    <w:p w14:paraId="6B78AA01" w14:textId="77777777" w:rsidR="00BC0C3C" w:rsidRDefault="00BC0C3C" w:rsidP="00550FBB">
      <w:pPr>
        <w:jc w:val="both"/>
        <w:rPr>
          <w:rFonts w:ascii="Arial" w:hAnsi="Arial" w:cs="Arial"/>
          <w:lang w:val="en-GB"/>
        </w:rPr>
      </w:pPr>
    </w:p>
    <w:p w14:paraId="0F1ED550" w14:textId="77777777" w:rsidR="00BC0C3C" w:rsidRDefault="00BC0C3C" w:rsidP="00550FBB">
      <w:pPr>
        <w:jc w:val="both"/>
        <w:rPr>
          <w:rFonts w:ascii="Arial" w:hAnsi="Arial" w:cs="Arial"/>
          <w:lang w:val="en-GB"/>
        </w:rPr>
      </w:pPr>
    </w:p>
    <w:p w14:paraId="3DD448E5" w14:textId="11558FAF" w:rsidR="00550FBB" w:rsidRDefault="00BC0C3C" w:rsidP="00C04B0B">
      <w:pPr>
        <w:jc w:val="center"/>
        <w:rPr>
          <w:rFonts w:ascii="Arial" w:hAnsi="Arial" w:cs="Arial"/>
          <w:lang w:val="en-GB"/>
        </w:rPr>
      </w:pPr>
      <w:r w:rsidRPr="00C04B0B">
        <w:rPr>
          <w:rFonts w:ascii="Arial" w:hAnsi="Arial" w:cs="Arial"/>
          <w:noProof/>
          <w:lang w:val="en-US"/>
        </w:rPr>
        <w:lastRenderedPageBreak/>
        <w:drawing>
          <wp:inline distT="0" distB="0" distL="0" distR="0" wp14:anchorId="39E2EEA7" wp14:editId="4F5880E4">
            <wp:extent cx="4257675" cy="5334000"/>
            <wp:effectExtent l="0" t="0" r="9525" b="0"/>
            <wp:docPr id="1" name="Picture 1" descr="C:\Users\35196\Desktop\Frontiers artigo\577653_Ourô_Figur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196\Desktop\Frontiers artigo\577653_Ourô_Figure_3.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5334000"/>
                    </a:xfrm>
                    <a:prstGeom prst="rect">
                      <a:avLst/>
                    </a:prstGeom>
                    <a:noFill/>
                    <a:ln>
                      <a:noFill/>
                    </a:ln>
                  </pic:spPr>
                </pic:pic>
              </a:graphicData>
            </a:graphic>
          </wp:inline>
        </w:drawing>
      </w:r>
    </w:p>
    <w:p w14:paraId="4DBF680B" w14:textId="59D2569F" w:rsidR="00BC0C3C" w:rsidRDefault="00BC0C3C" w:rsidP="00C04B0B">
      <w:pPr>
        <w:jc w:val="both"/>
        <w:rPr>
          <w:lang w:val="en-US"/>
        </w:rPr>
      </w:pPr>
      <w:r>
        <w:rPr>
          <w:rFonts w:ascii="Arial" w:hAnsi="Arial" w:cs="Arial"/>
          <w:b/>
          <w:lang w:val="en-GB"/>
        </w:rPr>
        <w:t xml:space="preserve">Supplementary Figure S2. </w:t>
      </w:r>
      <w:r w:rsidRPr="00C04B0B">
        <w:rPr>
          <w:rFonts w:ascii="Arial" w:hAnsi="Arial" w:cs="Arial"/>
          <w:lang w:val="en-GB"/>
        </w:rPr>
        <w:t xml:space="preserve">Overall survival according to clinical and oncological parameters. </w:t>
      </w:r>
      <w:r w:rsidRPr="00BC0C3C">
        <w:rPr>
          <w:rFonts w:ascii="Arial" w:hAnsi="Arial" w:cs="Arial"/>
          <w:lang w:val="en-GB"/>
        </w:rPr>
        <w:t>Kaplan-Meier cu</w:t>
      </w:r>
      <w:r>
        <w:rPr>
          <w:rFonts w:ascii="Arial" w:hAnsi="Arial" w:cs="Arial"/>
          <w:lang w:val="en-GB"/>
        </w:rPr>
        <w:t>rves estimating overall survival according to</w:t>
      </w:r>
      <w:r>
        <w:rPr>
          <w:rFonts w:ascii="Arial" w:hAnsi="Arial" w:cs="Arial"/>
          <w:b/>
          <w:lang w:val="en-GB"/>
        </w:rPr>
        <w:t xml:space="preserve"> </w:t>
      </w:r>
      <w:r>
        <w:rPr>
          <w:rFonts w:ascii="Arial" w:hAnsi="Arial" w:cs="Arial"/>
          <w:bCs/>
          <w:lang w:val="en-GB"/>
        </w:rPr>
        <w:t>ag</w:t>
      </w:r>
      <w:r>
        <w:rPr>
          <w:rFonts w:ascii="Arial" w:hAnsi="Arial" w:cs="Arial"/>
          <w:lang w:val="en-GB"/>
        </w:rPr>
        <w:t>e, gender, tumour location, grade, nodes, extramesorectal nodes, type of radio-sensitizing agent and post-operative morbidity.</w:t>
      </w:r>
      <w:r>
        <w:rPr>
          <w:lang w:val="en-US"/>
        </w:rPr>
        <w:t xml:space="preserve"> </w:t>
      </w:r>
    </w:p>
    <w:p w14:paraId="430741C4" w14:textId="7C190BE7" w:rsidR="00BC0C3C" w:rsidRDefault="00BC0C3C" w:rsidP="00BC0C3C">
      <w:pPr>
        <w:pStyle w:val="CommentText"/>
        <w:rPr>
          <w:rFonts w:eastAsiaTheme="minorHAnsi"/>
        </w:rPr>
      </w:pPr>
    </w:p>
    <w:p w14:paraId="1A75F2C9" w14:textId="77777777" w:rsidR="00BC0C3C" w:rsidRDefault="00BC0C3C" w:rsidP="00C04B0B">
      <w:pPr>
        <w:jc w:val="center"/>
        <w:rPr>
          <w:rFonts w:ascii="Arial" w:hAnsi="Arial" w:cs="Arial"/>
          <w:lang w:val="en-GB"/>
        </w:rPr>
      </w:pPr>
    </w:p>
    <w:p w14:paraId="67EA9A0C" w14:textId="77777777" w:rsidR="00BC0C3C" w:rsidRDefault="00BC0C3C" w:rsidP="00C04B0B">
      <w:pPr>
        <w:jc w:val="center"/>
        <w:rPr>
          <w:rFonts w:ascii="Arial" w:hAnsi="Arial" w:cs="Arial"/>
          <w:lang w:val="en-GB"/>
        </w:rPr>
      </w:pPr>
    </w:p>
    <w:p w14:paraId="2E24A563" w14:textId="77777777" w:rsidR="00BC0C3C" w:rsidRDefault="00BC0C3C" w:rsidP="00C04B0B">
      <w:pPr>
        <w:jc w:val="center"/>
        <w:rPr>
          <w:rFonts w:ascii="Arial" w:hAnsi="Arial" w:cs="Arial"/>
          <w:lang w:val="en-GB"/>
        </w:rPr>
      </w:pPr>
    </w:p>
    <w:p w14:paraId="4EE99770" w14:textId="77777777" w:rsidR="00BC0C3C" w:rsidRDefault="00BC0C3C" w:rsidP="00C04B0B">
      <w:pPr>
        <w:jc w:val="center"/>
        <w:rPr>
          <w:rFonts w:ascii="Arial" w:hAnsi="Arial" w:cs="Arial"/>
          <w:lang w:val="en-GB"/>
        </w:rPr>
      </w:pPr>
    </w:p>
    <w:p w14:paraId="726380AC" w14:textId="77777777" w:rsidR="00BC0C3C" w:rsidRDefault="00BC0C3C" w:rsidP="00C04B0B">
      <w:pPr>
        <w:jc w:val="center"/>
        <w:rPr>
          <w:rFonts w:ascii="Arial" w:hAnsi="Arial" w:cs="Arial"/>
          <w:lang w:val="en-GB"/>
        </w:rPr>
      </w:pPr>
    </w:p>
    <w:p w14:paraId="6E4C3048" w14:textId="77777777" w:rsidR="00BC0C3C" w:rsidRDefault="00BC0C3C" w:rsidP="00C04B0B">
      <w:pPr>
        <w:jc w:val="center"/>
        <w:rPr>
          <w:rFonts w:ascii="Arial" w:hAnsi="Arial" w:cs="Arial"/>
          <w:lang w:val="en-GB"/>
        </w:rPr>
      </w:pPr>
    </w:p>
    <w:p w14:paraId="7BE52646" w14:textId="77777777" w:rsidR="00BC0C3C" w:rsidRDefault="00BC0C3C" w:rsidP="00C04B0B">
      <w:pPr>
        <w:jc w:val="center"/>
        <w:rPr>
          <w:rFonts w:ascii="Arial" w:hAnsi="Arial" w:cs="Arial"/>
          <w:lang w:val="en-GB"/>
        </w:rPr>
      </w:pPr>
    </w:p>
    <w:p w14:paraId="20FA4FD5" w14:textId="77777777" w:rsidR="00BC0C3C" w:rsidRDefault="00BC0C3C" w:rsidP="00C04B0B">
      <w:pPr>
        <w:jc w:val="center"/>
        <w:rPr>
          <w:rFonts w:ascii="Arial" w:hAnsi="Arial" w:cs="Arial"/>
          <w:lang w:val="en-GB"/>
        </w:rPr>
      </w:pPr>
    </w:p>
    <w:p w14:paraId="3DD5505B" w14:textId="77777777" w:rsidR="00BC0C3C" w:rsidRDefault="00BC0C3C" w:rsidP="00C04B0B">
      <w:pPr>
        <w:jc w:val="center"/>
        <w:rPr>
          <w:rFonts w:ascii="Arial" w:hAnsi="Arial" w:cs="Arial"/>
          <w:lang w:val="en-GB"/>
        </w:rPr>
      </w:pPr>
    </w:p>
    <w:p w14:paraId="3B7892D1" w14:textId="77777777" w:rsidR="00BC0C3C" w:rsidRDefault="00BC0C3C" w:rsidP="00C04B0B">
      <w:pPr>
        <w:jc w:val="center"/>
        <w:rPr>
          <w:rFonts w:ascii="Arial" w:hAnsi="Arial" w:cs="Arial"/>
          <w:lang w:val="en-GB"/>
        </w:rPr>
      </w:pPr>
    </w:p>
    <w:p w14:paraId="1BA53B03" w14:textId="77777777" w:rsidR="00BC0C3C" w:rsidRDefault="00BC0C3C" w:rsidP="00C04B0B">
      <w:pPr>
        <w:jc w:val="center"/>
        <w:rPr>
          <w:rFonts w:ascii="Arial" w:hAnsi="Arial" w:cs="Arial"/>
          <w:lang w:val="en-GB"/>
        </w:rPr>
      </w:pPr>
    </w:p>
    <w:p w14:paraId="2CD5A8D3" w14:textId="77777777" w:rsidR="00BC0C3C" w:rsidRDefault="00BC0C3C" w:rsidP="00C04B0B">
      <w:pPr>
        <w:jc w:val="center"/>
        <w:rPr>
          <w:rFonts w:ascii="Arial" w:hAnsi="Arial" w:cs="Arial"/>
          <w:lang w:val="en-GB"/>
        </w:rPr>
      </w:pPr>
    </w:p>
    <w:p w14:paraId="1BBA6C1D" w14:textId="77777777" w:rsidR="00BC0C3C" w:rsidRDefault="00BC0C3C" w:rsidP="00C04B0B">
      <w:pPr>
        <w:jc w:val="center"/>
        <w:rPr>
          <w:rFonts w:ascii="Arial" w:hAnsi="Arial" w:cs="Arial"/>
          <w:lang w:val="en-GB"/>
        </w:rPr>
      </w:pPr>
    </w:p>
    <w:p w14:paraId="13FD482B" w14:textId="77777777" w:rsidR="00550FBB" w:rsidRDefault="00550FBB" w:rsidP="00550FBB">
      <w:pPr>
        <w:jc w:val="both"/>
        <w:rPr>
          <w:rFonts w:ascii="Arial" w:hAnsi="Arial" w:cs="Arial"/>
          <w:lang w:val="en-GB"/>
        </w:rPr>
      </w:pPr>
    </w:p>
    <w:p w14:paraId="5D5FCDFA" w14:textId="77777777" w:rsidR="00550FBB" w:rsidRDefault="00550FBB" w:rsidP="00550FBB">
      <w:pPr>
        <w:jc w:val="both"/>
        <w:rPr>
          <w:rFonts w:ascii="Arial" w:hAnsi="Arial" w:cs="Arial"/>
          <w:lang w:val="en-GB"/>
        </w:rPr>
      </w:pPr>
    </w:p>
    <w:p w14:paraId="2B59D2F2" w14:textId="3136BFF6" w:rsidR="00156045" w:rsidRDefault="00BC0C3C" w:rsidP="00C04B0B">
      <w:pPr>
        <w:jc w:val="center"/>
        <w:rPr>
          <w:rFonts w:ascii="Arial" w:hAnsi="Arial" w:cs="Arial"/>
          <w:lang w:val="en-GB"/>
        </w:rPr>
      </w:pPr>
      <w:r>
        <w:rPr>
          <w:rFonts w:ascii="Arial" w:hAnsi="Arial" w:cs="Arial"/>
          <w:b/>
          <w:lang w:val="en-GB"/>
        </w:rPr>
        <w:lastRenderedPageBreak/>
        <w:t>Table</w:t>
      </w:r>
    </w:p>
    <w:p w14:paraId="3F6DCDA2" w14:textId="77777777" w:rsidR="00550FBB" w:rsidRDefault="00550FBB" w:rsidP="00550FBB">
      <w:pPr>
        <w:jc w:val="both"/>
        <w:rPr>
          <w:rFonts w:ascii="Arial" w:hAnsi="Arial" w:cs="Arial"/>
          <w:lang w:val="en-GB"/>
        </w:rPr>
      </w:pPr>
    </w:p>
    <w:p w14:paraId="72768336" w14:textId="77777777" w:rsidR="00550FBB" w:rsidRDefault="00550FBB" w:rsidP="00550FBB">
      <w:pPr>
        <w:jc w:val="both"/>
        <w:rPr>
          <w:rFonts w:ascii="Arial" w:hAnsi="Arial" w:cs="Arial"/>
          <w:lang w:val="en-GB"/>
        </w:rPr>
      </w:pPr>
    </w:p>
    <w:p w14:paraId="479493C5" w14:textId="77777777" w:rsidR="00550FBB" w:rsidRDefault="00550FBB" w:rsidP="00550FBB">
      <w:pPr>
        <w:jc w:val="both"/>
        <w:rPr>
          <w:rFonts w:ascii="Arial" w:hAnsi="Arial" w:cs="Arial"/>
          <w:lang w:val="en-GB"/>
        </w:rPr>
      </w:pPr>
    </w:p>
    <w:p w14:paraId="29F5CECD" w14:textId="77777777" w:rsidR="00550FBB" w:rsidRPr="00550FBB" w:rsidRDefault="00550FBB" w:rsidP="00550FBB">
      <w:pPr>
        <w:jc w:val="both"/>
        <w:rPr>
          <w:rFonts w:ascii="Arial" w:hAnsi="Arial" w:cs="Arial"/>
          <w:lang w:val="en-GB"/>
        </w:rPr>
      </w:pPr>
    </w:p>
    <w:p w14:paraId="40A1FEA5" w14:textId="2738C388" w:rsidR="00AA0780" w:rsidRDefault="00156045" w:rsidP="00550FBB">
      <w:pPr>
        <w:autoSpaceDE w:val="0"/>
        <w:autoSpaceDN w:val="0"/>
        <w:adjustRightInd w:val="0"/>
        <w:rPr>
          <w:rFonts w:ascii="Arial" w:hAnsi="Arial" w:cs="Arial"/>
          <w:lang w:val="en-GB"/>
        </w:rPr>
      </w:pPr>
      <w:r>
        <w:rPr>
          <w:rFonts w:ascii="Arial" w:hAnsi="Arial" w:cs="Arial"/>
          <w:b/>
          <w:bCs/>
          <w:lang w:val="en-GB"/>
        </w:rPr>
        <w:t xml:space="preserve">Supplementary Table </w:t>
      </w:r>
      <w:r w:rsidR="00471270">
        <w:rPr>
          <w:rFonts w:ascii="Arial" w:hAnsi="Arial" w:cs="Arial"/>
          <w:b/>
          <w:bCs/>
          <w:lang w:val="en-GB"/>
        </w:rPr>
        <w:t>S</w:t>
      </w:r>
      <w:r w:rsidR="00AA0780" w:rsidRPr="00CC5DE5">
        <w:rPr>
          <w:rFonts w:ascii="Arial" w:hAnsi="Arial" w:cs="Arial"/>
          <w:b/>
          <w:bCs/>
          <w:lang w:val="en-GB"/>
        </w:rPr>
        <w:t xml:space="preserve">1. </w:t>
      </w:r>
      <w:r w:rsidR="00AA0780" w:rsidRPr="00CC5DE5">
        <w:rPr>
          <w:rFonts w:ascii="Arial" w:hAnsi="Arial" w:cs="Arial"/>
          <w:bCs/>
          <w:lang w:val="en-GB"/>
        </w:rPr>
        <w:t>Preoperative CRT miR-21 predictive value.</w:t>
      </w:r>
      <w:r w:rsidR="00AA0780" w:rsidRPr="00CC5DE5">
        <w:rPr>
          <w:rFonts w:ascii="Arial" w:hAnsi="Arial" w:cs="Arial"/>
          <w:lang w:val="en-GB"/>
        </w:rPr>
        <w:t xml:space="preserve"> </w:t>
      </w:r>
    </w:p>
    <w:p w14:paraId="49A68F47" w14:textId="77777777" w:rsidR="00156045" w:rsidRPr="00CC5DE5" w:rsidRDefault="00156045" w:rsidP="00550FBB">
      <w:pPr>
        <w:autoSpaceDE w:val="0"/>
        <w:autoSpaceDN w:val="0"/>
        <w:adjustRightInd w:val="0"/>
        <w:rPr>
          <w:rFonts w:ascii="Arial" w:hAnsi="Arial" w:cs="Arial"/>
          <w:lang w:val="en-GB"/>
        </w:rPr>
      </w:pPr>
    </w:p>
    <w:tbl>
      <w:tblPr>
        <w:tblStyle w:val="TabeladeLista21"/>
        <w:tblW w:w="0" w:type="auto"/>
        <w:tblLayout w:type="fixed"/>
        <w:tblLook w:val="04A0" w:firstRow="1" w:lastRow="0" w:firstColumn="1" w:lastColumn="0" w:noHBand="0" w:noVBand="1"/>
      </w:tblPr>
      <w:tblGrid>
        <w:gridCol w:w="1560"/>
        <w:gridCol w:w="108"/>
        <w:gridCol w:w="2268"/>
        <w:gridCol w:w="141"/>
        <w:gridCol w:w="1985"/>
        <w:gridCol w:w="142"/>
        <w:gridCol w:w="567"/>
      </w:tblGrid>
      <w:tr w:rsidR="004261A9" w:rsidRPr="004261A9" w14:paraId="325CC716" w14:textId="77777777" w:rsidTr="00426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8" w:space="0" w:color="auto"/>
              <w:left w:val="nil"/>
              <w:bottom w:val="single" w:sz="8" w:space="0" w:color="auto"/>
              <w:right w:val="nil"/>
            </w:tcBorders>
            <w:vAlign w:val="center"/>
          </w:tcPr>
          <w:p w14:paraId="21B2CBFF" w14:textId="77777777" w:rsidR="00AA0780" w:rsidRPr="004261A9" w:rsidRDefault="00AA0780" w:rsidP="00550FBB">
            <w:pPr>
              <w:jc w:val="center"/>
              <w:rPr>
                <w:rFonts w:ascii="Arial" w:hAnsi="Arial" w:cs="Arial"/>
                <w:b w:val="0"/>
                <w:sz w:val="22"/>
                <w:szCs w:val="22"/>
                <w:lang w:val="en-GB"/>
              </w:rPr>
            </w:pPr>
          </w:p>
        </w:tc>
        <w:tc>
          <w:tcPr>
            <w:tcW w:w="2376" w:type="dxa"/>
            <w:gridSpan w:val="2"/>
            <w:tcBorders>
              <w:top w:val="single" w:sz="8" w:space="0" w:color="auto"/>
              <w:left w:val="nil"/>
              <w:bottom w:val="single" w:sz="8" w:space="0" w:color="auto"/>
              <w:right w:val="nil"/>
            </w:tcBorders>
            <w:vAlign w:val="center"/>
            <w:hideMark/>
          </w:tcPr>
          <w:p w14:paraId="6348B71F" w14:textId="77777777" w:rsidR="00AA0780" w:rsidRPr="004261A9" w:rsidRDefault="00AA0780" w:rsidP="00550FB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4261A9">
              <w:rPr>
                <w:rFonts w:ascii="Arial" w:hAnsi="Arial" w:cs="Arial"/>
                <w:b w:val="0"/>
                <w:sz w:val="22"/>
                <w:szCs w:val="22"/>
                <w:lang w:val="en-GB"/>
              </w:rPr>
              <w:t>Incomplete response</w:t>
            </w:r>
          </w:p>
        </w:tc>
        <w:tc>
          <w:tcPr>
            <w:tcW w:w="2126" w:type="dxa"/>
            <w:gridSpan w:val="2"/>
            <w:tcBorders>
              <w:top w:val="single" w:sz="8" w:space="0" w:color="auto"/>
              <w:left w:val="nil"/>
              <w:bottom w:val="single" w:sz="8" w:space="0" w:color="auto"/>
              <w:right w:val="nil"/>
            </w:tcBorders>
            <w:vAlign w:val="center"/>
            <w:hideMark/>
          </w:tcPr>
          <w:p w14:paraId="77A61705" w14:textId="77777777" w:rsidR="00AA0780" w:rsidRPr="004261A9" w:rsidRDefault="00AA0780" w:rsidP="00550FB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4261A9">
              <w:rPr>
                <w:rFonts w:ascii="Arial" w:hAnsi="Arial" w:cs="Arial"/>
                <w:b w:val="0"/>
                <w:sz w:val="22"/>
                <w:szCs w:val="22"/>
                <w:lang w:val="en-GB"/>
              </w:rPr>
              <w:t>Complete response</w:t>
            </w:r>
          </w:p>
        </w:tc>
        <w:tc>
          <w:tcPr>
            <w:tcW w:w="709" w:type="dxa"/>
            <w:gridSpan w:val="2"/>
            <w:tcBorders>
              <w:top w:val="single" w:sz="8" w:space="0" w:color="auto"/>
              <w:left w:val="nil"/>
              <w:bottom w:val="single" w:sz="8" w:space="0" w:color="auto"/>
              <w:right w:val="nil"/>
            </w:tcBorders>
            <w:vAlign w:val="center"/>
            <w:hideMark/>
          </w:tcPr>
          <w:p w14:paraId="39CE1733" w14:textId="77777777" w:rsidR="00AA0780" w:rsidRPr="004261A9" w:rsidRDefault="00AA0780" w:rsidP="00550FB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4261A9">
              <w:rPr>
                <w:rFonts w:ascii="Arial" w:hAnsi="Arial" w:cs="Arial"/>
                <w:b w:val="0"/>
                <w:sz w:val="22"/>
                <w:szCs w:val="22"/>
                <w:lang w:val="en-GB"/>
              </w:rPr>
              <w:t>Total</w:t>
            </w:r>
          </w:p>
        </w:tc>
      </w:tr>
      <w:tr w:rsidR="004261A9" w:rsidRPr="004261A9" w14:paraId="475E73DB" w14:textId="77777777" w:rsidTr="00426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8" w:space="0" w:color="auto"/>
              <w:left w:val="nil"/>
              <w:bottom w:val="nil"/>
              <w:right w:val="nil"/>
            </w:tcBorders>
            <w:shd w:val="clear" w:color="auto" w:fill="auto"/>
            <w:vAlign w:val="center"/>
            <w:hideMark/>
          </w:tcPr>
          <w:p w14:paraId="2C4E5C61" w14:textId="77777777" w:rsidR="00AA0780" w:rsidRPr="004261A9" w:rsidRDefault="00AA0780" w:rsidP="00550FBB">
            <w:pPr>
              <w:rPr>
                <w:rFonts w:ascii="Arial" w:hAnsi="Arial" w:cs="Arial"/>
                <w:b w:val="0"/>
                <w:sz w:val="22"/>
                <w:szCs w:val="22"/>
                <w:lang w:val="en-GB"/>
              </w:rPr>
            </w:pPr>
            <w:r w:rsidRPr="004261A9">
              <w:rPr>
                <w:rFonts w:ascii="Arial" w:hAnsi="Arial" w:cs="Arial"/>
                <w:b w:val="0"/>
                <w:sz w:val="22"/>
                <w:szCs w:val="22"/>
                <w:lang w:val="en-GB"/>
              </w:rPr>
              <w:t>miR-21 low</w:t>
            </w:r>
          </w:p>
        </w:tc>
        <w:tc>
          <w:tcPr>
            <w:tcW w:w="2409" w:type="dxa"/>
            <w:gridSpan w:val="2"/>
            <w:tcBorders>
              <w:top w:val="single" w:sz="8" w:space="0" w:color="auto"/>
              <w:left w:val="nil"/>
              <w:bottom w:val="nil"/>
              <w:right w:val="nil"/>
            </w:tcBorders>
            <w:shd w:val="clear" w:color="auto" w:fill="auto"/>
            <w:vAlign w:val="center"/>
            <w:hideMark/>
          </w:tcPr>
          <w:p w14:paraId="553AB05B"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10</w:t>
            </w:r>
          </w:p>
        </w:tc>
        <w:tc>
          <w:tcPr>
            <w:tcW w:w="2127" w:type="dxa"/>
            <w:gridSpan w:val="2"/>
            <w:tcBorders>
              <w:top w:val="single" w:sz="8" w:space="0" w:color="auto"/>
              <w:left w:val="nil"/>
              <w:bottom w:val="nil"/>
              <w:right w:val="nil"/>
            </w:tcBorders>
            <w:shd w:val="clear" w:color="auto" w:fill="auto"/>
            <w:vAlign w:val="center"/>
            <w:hideMark/>
          </w:tcPr>
          <w:p w14:paraId="478C78F6"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24</w:t>
            </w:r>
          </w:p>
        </w:tc>
        <w:tc>
          <w:tcPr>
            <w:tcW w:w="567" w:type="dxa"/>
            <w:tcBorders>
              <w:top w:val="single" w:sz="8" w:space="0" w:color="auto"/>
              <w:left w:val="nil"/>
              <w:bottom w:val="nil"/>
              <w:right w:val="nil"/>
            </w:tcBorders>
            <w:shd w:val="clear" w:color="auto" w:fill="auto"/>
            <w:vAlign w:val="center"/>
            <w:hideMark/>
          </w:tcPr>
          <w:p w14:paraId="73095067"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34</w:t>
            </w:r>
          </w:p>
        </w:tc>
      </w:tr>
      <w:tr w:rsidR="004261A9" w:rsidRPr="004261A9" w14:paraId="192D85A2" w14:textId="77777777" w:rsidTr="004261A9">
        <w:tc>
          <w:tcPr>
            <w:cnfStyle w:val="001000000000" w:firstRow="0" w:lastRow="0" w:firstColumn="1" w:lastColumn="0" w:oddVBand="0" w:evenVBand="0" w:oddHBand="0" w:evenHBand="0" w:firstRowFirstColumn="0" w:firstRowLastColumn="0" w:lastRowFirstColumn="0" w:lastRowLastColumn="0"/>
            <w:tcW w:w="1668" w:type="dxa"/>
            <w:gridSpan w:val="2"/>
            <w:tcBorders>
              <w:top w:val="nil"/>
              <w:left w:val="nil"/>
              <w:bottom w:val="nil"/>
              <w:right w:val="nil"/>
            </w:tcBorders>
            <w:shd w:val="clear" w:color="auto" w:fill="auto"/>
            <w:vAlign w:val="center"/>
            <w:hideMark/>
          </w:tcPr>
          <w:p w14:paraId="0D8F7CE4" w14:textId="77777777" w:rsidR="00AA0780" w:rsidRPr="004261A9" w:rsidRDefault="00AA0780" w:rsidP="00550FBB">
            <w:pPr>
              <w:rPr>
                <w:rFonts w:ascii="Arial" w:hAnsi="Arial" w:cs="Arial"/>
                <w:b w:val="0"/>
                <w:sz w:val="22"/>
                <w:szCs w:val="22"/>
                <w:lang w:val="en-GB"/>
              </w:rPr>
            </w:pPr>
            <w:r w:rsidRPr="004261A9">
              <w:rPr>
                <w:rFonts w:ascii="Arial" w:hAnsi="Arial" w:cs="Arial"/>
                <w:b w:val="0"/>
                <w:sz w:val="22"/>
                <w:szCs w:val="22"/>
                <w:lang w:val="en-GB"/>
              </w:rPr>
              <w:t>miR-21 high</w:t>
            </w:r>
          </w:p>
        </w:tc>
        <w:tc>
          <w:tcPr>
            <w:tcW w:w="2409" w:type="dxa"/>
            <w:gridSpan w:val="2"/>
            <w:tcBorders>
              <w:top w:val="nil"/>
              <w:left w:val="nil"/>
              <w:bottom w:val="nil"/>
              <w:right w:val="nil"/>
            </w:tcBorders>
            <w:shd w:val="clear" w:color="auto" w:fill="auto"/>
            <w:vAlign w:val="center"/>
            <w:hideMark/>
          </w:tcPr>
          <w:p w14:paraId="54B6F29F" w14:textId="77777777" w:rsidR="00AA0780" w:rsidRPr="004261A9" w:rsidRDefault="00AA0780" w:rsidP="00550F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5</w:t>
            </w:r>
          </w:p>
        </w:tc>
        <w:tc>
          <w:tcPr>
            <w:tcW w:w="2127" w:type="dxa"/>
            <w:gridSpan w:val="2"/>
            <w:tcBorders>
              <w:top w:val="nil"/>
              <w:left w:val="nil"/>
              <w:bottom w:val="nil"/>
              <w:right w:val="nil"/>
            </w:tcBorders>
            <w:shd w:val="clear" w:color="auto" w:fill="auto"/>
            <w:vAlign w:val="center"/>
            <w:hideMark/>
          </w:tcPr>
          <w:p w14:paraId="098695A8" w14:textId="77777777" w:rsidR="00AA0780" w:rsidRPr="004261A9" w:rsidRDefault="00AA0780" w:rsidP="00550F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43</w:t>
            </w:r>
          </w:p>
        </w:tc>
        <w:tc>
          <w:tcPr>
            <w:tcW w:w="567" w:type="dxa"/>
            <w:tcBorders>
              <w:top w:val="nil"/>
              <w:left w:val="nil"/>
              <w:bottom w:val="nil"/>
              <w:right w:val="nil"/>
            </w:tcBorders>
            <w:shd w:val="clear" w:color="auto" w:fill="auto"/>
            <w:vAlign w:val="center"/>
            <w:hideMark/>
          </w:tcPr>
          <w:p w14:paraId="0B2803FC" w14:textId="77777777" w:rsidR="00AA0780" w:rsidRPr="004261A9" w:rsidRDefault="00AA0780" w:rsidP="00550F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48</w:t>
            </w:r>
          </w:p>
        </w:tc>
      </w:tr>
      <w:tr w:rsidR="004261A9" w:rsidRPr="004261A9" w14:paraId="059E0B57" w14:textId="77777777" w:rsidTr="00426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nil"/>
              <w:left w:val="nil"/>
              <w:bottom w:val="nil"/>
              <w:right w:val="nil"/>
            </w:tcBorders>
            <w:shd w:val="clear" w:color="auto" w:fill="auto"/>
            <w:vAlign w:val="center"/>
            <w:hideMark/>
          </w:tcPr>
          <w:p w14:paraId="026C5C57" w14:textId="77777777" w:rsidR="00AA0780" w:rsidRPr="004261A9" w:rsidRDefault="00AA0780" w:rsidP="00550FBB">
            <w:pPr>
              <w:rPr>
                <w:rFonts w:ascii="Arial" w:hAnsi="Arial" w:cs="Arial"/>
                <w:b w:val="0"/>
                <w:sz w:val="22"/>
                <w:szCs w:val="22"/>
                <w:lang w:val="en-GB"/>
              </w:rPr>
            </w:pPr>
            <w:r w:rsidRPr="004261A9">
              <w:rPr>
                <w:rFonts w:ascii="Arial" w:hAnsi="Arial" w:cs="Arial"/>
                <w:b w:val="0"/>
                <w:sz w:val="22"/>
                <w:szCs w:val="22"/>
                <w:lang w:val="en-GB"/>
              </w:rPr>
              <w:t>Total</w:t>
            </w:r>
          </w:p>
        </w:tc>
        <w:tc>
          <w:tcPr>
            <w:tcW w:w="2409" w:type="dxa"/>
            <w:gridSpan w:val="2"/>
            <w:tcBorders>
              <w:top w:val="nil"/>
              <w:left w:val="nil"/>
              <w:bottom w:val="nil"/>
              <w:right w:val="nil"/>
            </w:tcBorders>
            <w:shd w:val="clear" w:color="auto" w:fill="auto"/>
            <w:vAlign w:val="center"/>
            <w:hideMark/>
          </w:tcPr>
          <w:p w14:paraId="121F29D5"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15</w:t>
            </w:r>
          </w:p>
        </w:tc>
        <w:tc>
          <w:tcPr>
            <w:tcW w:w="2127" w:type="dxa"/>
            <w:gridSpan w:val="2"/>
            <w:tcBorders>
              <w:top w:val="nil"/>
              <w:left w:val="nil"/>
              <w:bottom w:val="nil"/>
              <w:right w:val="nil"/>
            </w:tcBorders>
            <w:shd w:val="clear" w:color="auto" w:fill="auto"/>
            <w:vAlign w:val="center"/>
            <w:hideMark/>
          </w:tcPr>
          <w:p w14:paraId="50949B02"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67</w:t>
            </w:r>
          </w:p>
        </w:tc>
        <w:tc>
          <w:tcPr>
            <w:tcW w:w="567" w:type="dxa"/>
            <w:tcBorders>
              <w:top w:val="nil"/>
              <w:left w:val="nil"/>
              <w:bottom w:val="nil"/>
              <w:right w:val="nil"/>
            </w:tcBorders>
            <w:shd w:val="clear" w:color="auto" w:fill="auto"/>
            <w:vAlign w:val="center"/>
            <w:hideMark/>
          </w:tcPr>
          <w:p w14:paraId="700B8945"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82</w:t>
            </w:r>
          </w:p>
        </w:tc>
      </w:tr>
      <w:tr w:rsidR="004261A9" w:rsidRPr="004261A9" w14:paraId="203754D8" w14:textId="77777777" w:rsidTr="004261A9">
        <w:tc>
          <w:tcPr>
            <w:cnfStyle w:val="001000000000" w:firstRow="0" w:lastRow="0" w:firstColumn="1" w:lastColumn="0" w:oddVBand="0" w:evenVBand="0" w:oddHBand="0" w:evenHBand="0" w:firstRowFirstColumn="0" w:firstRowLastColumn="0" w:lastRowFirstColumn="0" w:lastRowLastColumn="0"/>
            <w:tcW w:w="1668" w:type="dxa"/>
            <w:gridSpan w:val="2"/>
            <w:tcBorders>
              <w:top w:val="nil"/>
              <w:left w:val="nil"/>
              <w:bottom w:val="nil"/>
              <w:right w:val="nil"/>
            </w:tcBorders>
            <w:shd w:val="clear" w:color="auto" w:fill="auto"/>
            <w:vAlign w:val="center"/>
            <w:hideMark/>
          </w:tcPr>
          <w:p w14:paraId="1B25B20B" w14:textId="77777777" w:rsidR="00AA0780" w:rsidRPr="004261A9" w:rsidRDefault="00AA0780" w:rsidP="00550FBB">
            <w:pPr>
              <w:rPr>
                <w:rFonts w:ascii="Arial" w:hAnsi="Arial" w:cs="Arial"/>
                <w:b w:val="0"/>
                <w:bCs w:val="0"/>
                <w:sz w:val="22"/>
                <w:szCs w:val="22"/>
                <w:lang w:val="en-GB"/>
              </w:rPr>
            </w:pPr>
            <w:r w:rsidRPr="004261A9">
              <w:rPr>
                <w:rFonts w:ascii="Arial" w:hAnsi="Arial" w:cs="Arial"/>
                <w:b w:val="0"/>
                <w:sz w:val="22"/>
                <w:szCs w:val="22"/>
                <w:lang w:val="en-GB"/>
              </w:rPr>
              <w:t>PPV (%) 89.5</w:t>
            </w:r>
          </w:p>
        </w:tc>
        <w:tc>
          <w:tcPr>
            <w:tcW w:w="2409" w:type="dxa"/>
            <w:gridSpan w:val="2"/>
            <w:tcBorders>
              <w:top w:val="nil"/>
              <w:left w:val="nil"/>
              <w:bottom w:val="nil"/>
              <w:right w:val="nil"/>
            </w:tcBorders>
            <w:shd w:val="clear" w:color="auto" w:fill="auto"/>
            <w:vAlign w:val="center"/>
          </w:tcPr>
          <w:p w14:paraId="102C14A2" w14:textId="77777777" w:rsidR="00AA0780" w:rsidRPr="004261A9" w:rsidRDefault="00AA0780" w:rsidP="00550F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tc>
        <w:tc>
          <w:tcPr>
            <w:tcW w:w="2694" w:type="dxa"/>
            <w:gridSpan w:val="3"/>
            <w:tcBorders>
              <w:top w:val="nil"/>
              <w:left w:val="nil"/>
              <w:bottom w:val="nil"/>
              <w:right w:val="nil"/>
            </w:tcBorders>
            <w:shd w:val="clear" w:color="auto" w:fill="auto"/>
            <w:vAlign w:val="center"/>
            <w:hideMark/>
          </w:tcPr>
          <w:p w14:paraId="06204D04" w14:textId="77777777" w:rsidR="00AA0780" w:rsidRPr="004261A9" w:rsidRDefault="00AA0780" w:rsidP="00550FB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Sensitivity (%) 64</w:t>
            </w:r>
          </w:p>
        </w:tc>
      </w:tr>
      <w:tr w:rsidR="004261A9" w:rsidRPr="004261A9" w14:paraId="565E9282" w14:textId="77777777" w:rsidTr="00426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nil"/>
              <w:left w:val="nil"/>
              <w:bottom w:val="single" w:sz="8" w:space="0" w:color="auto"/>
              <w:right w:val="nil"/>
            </w:tcBorders>
            <w:shd w:val="clear" w:color="auto" w:fill="auto"/>
            <w:vAlign w:val="center"/>
            <w:hideMark/>
          </w:tcPr>
          <w:p w14:paraId="05BE9367" w14:textId="77777777" w:rsidR="00AA0780" w:rsidRPr="004261A9" w:rsidRDefault="00AA0780" w:rsidP="00550FBB">
            <w:pPr>
              <w:rPr>
                <w:rFonts w:ascii="Arial" w:hAnsi="Arial" w:cs="Arial"/>
                <w:b w:val="0"/>
                <w:bCs w:val="0"/>
                <w:sz w:val="22"/>
                <w:szCs w:val="22"/>
                <w:lang w:val="en-GB"/>
              </w:rPr>
            </w:pPr>
            <w:r w:rsidRPr="004261A9">
              <w:rPr>
                <w:rFonts w:ascii="Arial" w:hAnsi="Arial" w:cs="Arial"/>
                <w:b w:val="0"/>
                <w:sz w:val="22"/>
                <w:szCs w:val="22"/>
                <w:lang w:val="en-GB"/>
              </w:rPr>
              <w:t>NPV (%) 29.4</w:t>
            </w:r>
          </w:p>
        </w:tc>
        <w:tc>
          <w:tcPr>
            <w:tcW w:w="2409" w:type="dxa"/>
            <w:gridSpan w:val="2"/>
            <w:tcBorders>
              <w:top w:val="nil"/>
              <w:left w:val="nil"/>
              <w:bottom w:val="single" w:sz="8" w:space="0" w:color="auto"/>
              <w:right w:val="nil"/>
            </w:tcBorders>
            <w:shd w:val="clear" w:color="auto" w:fill="auto"/>
            <w:vAlign w:val="center"/>
          </w:tcPr>
          <w:p w14:paraId="7B297AFB"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tc>
        <w:tc>
          <w:tcPr>
            <w:tcW w:w="2694" w:type="dxa"/>
            <w:gridSpan w:val="3"/>
            <w:tcBorders>
              <w:top w:val="nil"/>
              <w:left w:val="nil"/>
              <w:bottom w:val="single" w:sz="8" w:space="0" w:color="auto"/>
              <w:right w:val="nil"/>
            </w:tcBorders>
            <w:shd w:val="clear" w:color="auto" w:fill="auto"/>
            <w:vAlign w:val="center"/>
            <w:hideMark/>
          </w:tcPr>
          <w:p w14:paraId="015FE19A" w14:textId="77777777" w:rsidR="00AA0780" w:rsidRPr="004261A9" w:rsidRDefault="00AA0780" w:rsidP="00550F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4261A9">
              <w:rPr>
                <w:rFonts w:ascii="Arial" w:hAnsi="Arial" w:cs="Arial"/>
                <w:sz w:val="22"/>
                <w:szCs w:val="22"/>
                <w:lang w:val="en-GB"/>
              </w:rPr>
              <w:t>Specificity (%) 66</w:t>
            </w:r>
          </w:p>
        </w:tc>
      </w:tr>
    </w:tbl>
    <w:p w14:paraId="0D45F582" w14:textId="77777777" w:rsidR="00CC5DE5" w:rsidRDefault="00CC5DE5" w:rsidP="00550FBB">
      <w:pPr>
        <w:autoSpaceDE w:val="0"/>
        <w:autoSpaceDN w:val="0"/>
        <w:adjustRightInd w:val="0"/>
        <w:rPr>
          <w:rFonts w:ascii="Arial" w:hAnsi="Arial" w:cs="Arial"/>
          <w:sz w:val="16"/>
          <w:szCs w:val="16"/>
          <w:lang w:val="en-GB"/>
        </w:rPr>
      </w:pPr>
    </w:p>
    <w:p w14:paraId="1779A4A0" w14:textId="77777777" w:rsidR="001E1B8D" w:rsidRPr="00CC5DE5" w:rsidRDefault="00AA0780" w:rsidP="00550FBB">
      <w:pPr>
        <w:autoSpaceDE w:val="0"/>
        <w:autoSpaceDN w:val="0"/>
        <w:adjustRightInd w:val="0"/>
        <w:rPr>
          <w:rFonts w:ascii="Arial" w:hAnsi="Arial" w:cs="Arial"/>
          <w:lang w:val="en-GB"/>
        </w:rPr>
      </w:pPr>
      <w:r w:rsidRPr="00CC5DE5">
        <w:rPr>
          <w:rFonts w:ascii="Arial" w:hAnsi="Arial" w:cs="Arial"/>
          <w:lang w:val="en-GB"/>
        </w:rPr>
        <w:t xml:space="preserve">Cut-off derived by ROC curve. </w:t>
      </w:r>
    </w:p>
    <w:p w14:paraId="15DC0337" w14:textId="77777777" w:rsidR="001E1B8D" w:rsidRPr="00CC5DE5" w:rsidRDefault="00AA0780" w:rsidP="00550FBB">
      <w:pPr>
        <w:autoSpaceDE w:val="0"/>
        <w:autoSpaceDN w:val="0"/>
        <w:adjustRightInd w:val="0"/>
        <w:rPr>
          <w:rFonts w:ascii="Arial" w:hAnsi="Arial" w:cs="Arial"/>
          <w:lang w:val="en-GB"/>
        </w:rPr>
      </w:pPr>
      <w:r w:rsidRPr="00CC5DE5">
        <w:rPr>
          <w:rFonts w:ascii="Arial" w:hAnsi="Arial" w:cs="Arial"/>
          <w:lang w:val="en-GB"/>
        </w:rPr>
        <w:t>miR-21 hi</w:t>
      </w:r>
      <w:r w:rsidR="001E1B8D" w:rsidRPr="00CC5DE5">
        <w:rPr>
          <w:rFonts w:ascii="Arial" w:hAnsi="Arial" w:cs="Arial"/>
          <w:lang w:val="en-GB"/>
        </w:rPr>
        <w:t>gh: &gt; 1.18; miR-21 low: &lt; 1.18.</w:t>
      </w:r>
    </w:p>
    <w:p w14:paraId="52181094" w14:textId="34742109" w:rsidR="00AA0780" w:rsidRPr="00CC5DE5" w:rsidRDefault="00AA0780" w:rsidP="00550FBB">
      <w:pPr>
        <w:autoSpaceDE w:val="0"/>
        <w:autoSpaceDN w:val="0"/>
        <w:adjustRightInd w:val="0"/>
        <w:rPr>
          <w:rFonts w:ascii="Arial" w:hAnsi="Arial" w:cs="Arial"/>
          <w:lang w:val="en-GB"/>
        </w:rPr>
      </w:pPr>
      <w:r w:rsidRPr="00CC5DE5">
        <w:rPr>
          <w:rFonts w:ascii="Arial" w:hAnsi="Arial" w:cs="Arial"/>
          <w:lang w:val="en-GB"/>
        </w:rPr>
        <w:t>PPV: positive predictive value; NPV: negative predictive value.</w:t>
      </w:r>
    </w:p>
    <w:p w14:paraId="0040E40C" w14:textId="5F4855A1" w:rsidR="00AA0780" w:rsidRDefault="00AA0780" w:rsidP="00550FBB">
      <w:pPr>
        <w:spacing w:after="160"/>
        <w:rPr>
          <w:rFonts w:ascii="Arial" w:hAnsi="Arial" w:cs="Arial"/>
          <w:sz w:val="20"/>
          <w:szCs w:val="20"/>
          <w:lang w:val="en-GB"/>
        </w:rPr>
      </w:pPr>
    </w:p>
    <w:sectPr w:rsidR="00AA0780" w:rsidSect="003B6E75">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1B8C" w14:textId="77777777" w:rsidR="00DF4249" w:rsidRDefault="00DF4249" w:rsidP="004F7494">
      <w:r>
        <w:separator/>
      </w:r>
    </w:p>
  </w:endnote>
  <w:endnote w:type="continuationSeparator" w:id="0">
    <w:p w14:paraId="2E7E7930" w14:textId="77777777" w:rsidR="00DF4249" w:rsidRDefault="00DF4249" w:rsidP="004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B3B5" w14:textId="77777777" w:rsidR="00D34004" w:rsidRDefault="00D34004" w:rsidP="004F7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B912F" w14:textId="77777777" w:rsidR="00D34004" w:rsidRDefault="00D34004" w:rsidP="00C04B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0466" w14:textId="77777777" w:rsidR="00D34004" w:rsidRDefault="00D34004" w:rsidP="004F7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7BF">
      <w:rPr>
        <w:rStyle w:val="PageNumber"/>
        <w:noProof/>
      </w:rPr>
      <w:t>2</w:t>
    </w:r>
    <w:r>
      <w:rPr>
        <w:rStyle w:val="PageNumber"/>
      </w:rPr>
      <w:fldChar w:fldCharType="end"/>
    </w:r>
  </w:p>
  <w:p w14:paraId="517E2C08" w14:textId="77777777" w:rsidR="00D34004" w:rsidRDefault="00D34004" w:rsidP="004F74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7958F" w14:textId="77777777" w:rsidR="00DF4249" w:rsidRDefault="00DF4249" w:rsidP="004F7494">
      <w:r>
        <w:separator/>
      </w:r>
    </w:p>
  </w:footnote>
  <w:footnote w:type="continuationSeparator" w:id="0">
    <w:p w14:paraId="1CEE1B1F" w14:textId="77777777" w:rsidR="00DF4249" w:rsidRDefault="00DF4249" w:rsidP="004F7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75"/>
    <w:rsid w:val="000446D9"/>
    <w:rsid w:val="00046EC0"/>
    <w:rsid w:val="000D4257"/>
    <w:rsid w:val="000E497E"/>
    <w:rsid w:val="000F76AA"/>
    <w:rsid w:val="00107295"/>
    <w:rsid w:val="00112391"/>
    <w:rsid w:val="001218CD"/>
    <w:rsid w:val="00143947"/>
    <w:rsid w:val="00156045"/>
    <w:rsid w:val="00157263"/>
    <w:rsid w:val="00165C27"/>
    <w:rsid w:val="00175620"/>
    <w:rsid w:val="001A0F9E"/>
    <w:rsid w:val="001B292C"/>
    <w:rsid w:val="001C2CBD"/>
    <w:rsid w:val="001D6712"/>
    <w:rsid w:val="001E1B8D"/>
    <w:rsid w:val="001E698B"/>
    <w:rsid w:val="002253ED"/>
    <w:rsid w:val="002B2227"/>
    <w:rsid w:val="002C04A6"/>
    <w:rsid w:val="002E36F3"/>
    <w:rsid w:val="0030424C"/>
    <w:rsid w:val="003145CE"/>
    <w:rsid w:val="003177BF"/>
    <w:rsid w:val="0032725F"/>
    <w:rsid w:val="00331FED"/>
    <w:rsid w:val="00382874"/>
    <w:rsid w:val="00387771"/>
    <w:rsid w:val="003A0864"/>
    <w:rsid w:val="003A1742"/>
    <w:rsid w:val="003B6E75"/>
    <w:rsid w:val="003D1098"/>
    <w:rsid w:val="004261A9"/>
    <w:rsid w:val="004462CE"/>
    <w:rsid w:val="004664C9"/>
    <w:rsid w:val="0047016F"/>
    <w:rsid w:val="00471270"/>
    <w:rsid w:val="00487046"/>
    <w:rsid w:val="004935FC"/>
    <w:rsid w:val="004A3595"/>
    <w:rsid w:val="004E2859"/>
    <w:rsid w:val="004F57B0"/>
    <w:rsid w:val="004F7494"/>
    <w:rsid w:val="0050554B"/>
    <w:rsid w:val="00520F03"/>
    <w:rsid w:val="00531E45"/>
    <w:rsid w:val="00534CF3"/>
    <w:rsid w:val="00550FBB"/>
    <w:rsid w:val="005621D6"/>
    <w:rsid w:val="0057738F"/>
    <w:rsid w:val="005E01CF"/>
    <w:rsid w:val="006125CA"/>
    <w:rsid w:val="00613D17"/>
    <w:rsid w:val="0064761D"/>
    <w:rsid w:val="00662535"/>
    <w:rsid w:val="006953E4"/>
    <w:rsid w:val="006B2884"/>
    <w:rsid w:val="0070081C"/>
    <w:rsid w:val="0070222A"/>
    <w:rsid w:val="007110EB"/>
    <w:rsid w:val="00733242"/>
    <w:rsid w:val="0074482E"/>
    <w:rsid w:val="00760B53"/>
    <w:rsid w:val="00770B89"/>
    <w:rsid w:val="00796BD1"/>
    <w:rsid w:val="007B4221"/>
    <w:rsid w:val="007D2578"/>
    <w:rsid w:val="007D6C7A"/>
    <w:rsid w:val="007E4F2A"/>
    <w:rsid w:val="007E54DE"/>
    <w:rsid w:val="007F2DBB"/>
    <w:rsid w:val="00814719"/>
    <w:rsid w:val="00850DCA"/>
    <w:rsid w:val="008673FB"/>
    <w:rsid w:val="008905E5"/>
    <w:rsid w:val="008C284E"/>
    <w:rsid w:val="00921E1D"/>
    <w:rsid w:val="00943215"/>
    <w:rsid w:val="00946573"/>
    <w:rsid w:val="00986309"/>
    <w:rsid w:val="009B25C7"/>
    <w:rsid w:val="009D39A6"/>
    <w:rsid w:val="009D5181"/>
    <w:rsid w:val="009E534E"/>
    <w:rsid w:val="00A00CA6"/>
    <w:rsid w:val="00A26535"/>
    <w:rsid w:val="00A756AF"/>
    <w:rsid w:val="00AA0780"/>
    <w:rsid w:val="00AC3EF7"/>
    <w:rsid w:val="00AC4819"/>
    <w:rsid w:val="00AF63E5"/>
    <w:rsid w:val="00B0290D"/>
    <w:rsid w:val="00B05662"/>
    <w:rsid w:val="00B21ACA"/>
    <w:rsid w:val="00B6668F"/>
    <w:rsid w:val="00BA206A"/>
    <w:rsid w:val="00BC0C3C"/>
    <w:rsid w:val="00BD139A"/>
    <w:rsid w:val="00BF6582"/>
    <w:rsid w:val="00C00883"/>
    <w:rsid w:val="00C04B0B"/>
    <w:rsid w:val="00C06A93"/>
    <w:rsid w:val="00C2649B"/>
    <w:rsid w:val="00C31C6C"/>
    <w:rsid w:val="00C77306"/>
    <w:rsid w:val="00C81CD0"/>
    <w:rsid w:val="00C8350C"/>
    <w:rsid w:val="00C849BE"/>
    <w:rsid w:val="00C94896"/>
    <w:rsid w:val="00C95DBD"/>
    <w:rsid w:val="00CB23CA"/>
    <w:rsid w:val="00CC1A3A"/>
    <w:rsid w:val="00CC5DE5"/>
    <w:rsid w:val="00CD2B34"/>
    <w:rsid w:val="00D34004"/>
    <w:rsid w:val="00D42474"/>
    <w:rsid w:val="00D93F61"/>
    <w:rsid w:val="00D95A3B"/>
    <w:rsid w:val="00DA3C1C"/>
    <w:rsid w:val="00DE0FC7"/>
    <w:rsid w:val="00DF4249"/>
    <w:rsid w:val="00E244FE"/>
    <w:rsid w:val="00E8476A"/>
    <w:rsid w:val="00F03E66"/>
    <w:rsid w:val="00F04218"/>
    <w:rsid w:val="00F07F63"/>
    <w:rsid w:val="00F324A8"/>
    <w:rsid w:val="00F72240"/>
    <w:rsid w:val="00F820A4"/>
    <w:rsid w:val="00FA11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E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E7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B6E75"/>
    <w:rPr>
      <w:rFonts w:ascii="Segoe UI" w:hAnsi="Segoe UI" w:cs="Segoe UI"/>
      <w:sz w:val="18"/>
      <w:szCs w:val="18"/>
    </w:rPr>
  </w:style>
  <w:style w:type="table" w:styleId="TableGrid">
    <w:name w:val="Table Grid"/>
    <w:basedOn w:val="TableNormal"/>
    <w:uiPriority w:val="59"/>
    <w:rsid w:val="003B6E7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1CD0"/>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81CD0"/>
    <w:rPr>
      <w:sz w:val="20"/>
      <w:szCs w:val="20"/>
    </w:rPr>
  </w:style>
  <w:style w:type="character" w:customStyle="1" w:styleId="CommentTextChar">
    <w:name w:val="Comment Text Char"/>
    <w:basedOn w:val="DefaultParagraphFont"/>
    <w:link w:val="CommentText"/>
    <w:uiPriority w:val="99"/>
    <w:rsid w:val="00C81CD0"/>
    <w:rPr>
      <w:rFonts w:eastAsiaTheme="minorEastAsia"/>
      <w:sz w:val="20"/>
      <w:szCs w:val="20"/>
    </w:rPr>
  </w:style>
  <w:style w:type="table" w:customStyle="1" w:styleId="TabeladeLista21">
    <w:name w:val="Tabela de Lista 21"/>
    <w:basedOn w:val="TableNormal"/>
    <w:uiPriority w:val="47"/>
    <w:rsid w:val="00C81CD0"/>
    <w:pPr>
      <w:spacing w:after="0" w:line="240" w:lineRule="auto"/>
    </w:pPr>
    <w:rPr>
      <w:rFonts w:eastAsiaTheme="minorEastAsia"/>
      <w:sz w:val="24"/>
      <w:szCs w:val="24"/>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81CD0"/>
    <w:rPr>
      <w:sz w:val="16"/>
      <w:szCs w:val="16"/>
    </w:rPr>
  </w:style>
  <w:style w:type="paragraph" w:styleId="CommentSubject">
    <w:name w:val="annotation subject"/>
    <w:basedOn w:val="CommentText"/>
    <w:next w:val="CommentText"/>
    <w:link w:val="CommentSubjectChar"/>
    <w:uiPriority w:val="99"/>
    <w:semiHidden/>
    <w:unhideWhenUsed/>
    <w:rsid w:val="00AA0780"/>
    <w:rPr>
      <w:b/>
      <w:bCs/>
    </w:rPr>
  </w:style>
  <w:style w:type="character" w:customStyle="1" w:styleId="CommentSubjectChar">
    <w:name w:val="Comment Subject Char"/>
    <w:basedOn w:val="CommentTextChar"/>
    <w:link w:val="CommentSubject"/>
    <w:uiPriority w:val="99"/>
    <w:semiHidden/>
    <w:rsid w:val="00AA0780"/>
    <w:rPr>
      <w:rFonts w:eastAsiaTheme="minorEastAsia"/>
      <w:b/>
      <w:bCs/>
      <w:sz w:val="20"/>
      <w:szCs w:val="20"/>
    </w:rPr>
  </w:style>
  <w:style w:type="character" w:customStyle="1" w:styleId="apple-converted-space">
    <w:name w:val="apple-converted-space"/>
    <w:basedOn w:val="DefaultParagraphFont"/>
    <w:rsid w:val="00382874"/>
  </w:style>
  <w:style w:type="character" w:styleId="Hyperlink">
    <w:name w:val="Hyperlink"/>
    <w:basedOn w:val="DefaultParagraphFont"/>
    <w:uiPriority w:val="99"/>
    <w:unhideWhenUsed/>
    <w:rsid w:val="008905E5"/>
    <w:rPr>
      <w:color w:val="0563C1" w:themeColor="hyperlink"/>
      <w:u w:val="single"/>
    </w:rPr>
  </w:style>
  <w:style w:type="paragraph" w:styleId="Footer">
    <w:name w:val="footer"/>
    <w:basedOn w:val="Normal"/>
    <w:link w:val="FooterChar"/>
    <w:uiPriority w:val="99"/>
    <w:unhideWhenUsed/>
    <w:rsid w:val="004F7494"/>
    <w:pPr>
      <w:tabs>
        <w:tab w:val="center" w:pos="4320"/>
        <w:tab w:val="right" w:pos="8640"/>
      </w:tabs>
    </w:pPr>
  </w:style>
  <w:style w:type="character" w:customStyle="1" w:styleId="FooterChar">
    <w:name w:val="Footer Char"/>
    <w:basedOn w:val="DefaultParagraphFont"/>
    <w:link w:val="Footer"/>
    <w:uiPriority w:val="99"/>
    <w:rsid w:val="004F7494"/>
    <w:rPr>
      <w:rFonts w:eastAsiaTheme="minorEastAsia"/>
      <w:sz w:val="24"/>
      <w:szCs w:val="24"/>
    </w:rPr>
  </w:style>
  <w:style w:type="character" w:styleId="PageNumber">
    <w:name w:val="page number"/>
    <w:basedOn w:val="DefaultParagraphFont"/>
    <w:uiPriority w:val="99"/>
    <w:semiHidden/>
    <w:unhideWhenUsed/>
    <w:rsid w:val="004F74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E7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B6E75"/>
    <w:rPr>
      <w:rFonts w:ascii="Segoe UI" w:hAnsi="Segoe UI" w:cs="Segoe UI"/>
      <w:sz w:val="18"/>
      <w:szCs w:val="18"/>
    </w:rPr>
  </w:style>
  <w:style w:type="table" w:styleId="TableGrid">
    <w:name w:val="Table Grid"/>
    <w:basedOn w:val="TableNormal"/>
    <w:uiPriority w:val="59"/>
    <w:rsid w:val="003B6E7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1CD0"/>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81CD0"/>
    <w:rPr>
      <w:sz w:val="20"/>
      <w:szCs w:val="20"/>
    </w:rPr>
  </w:style>
  <w:style w:type="character" w:customStyle="1" w:styleId="CommentTextChar">
    <w:name w:val="Comment Text Char"/>
    <w:basedOn w:val="DefaultParagraphFont"/>
    <w:link w:val="CommentText"/>
    <w:uiPriority w:val="99"/>
    <w:rsid w:val="00C81CD0"/>
    <w:rPr>
      <w:rFonts w:eastAsiaTheme="minorEastAsia"/>
      <w:sz w:val="20"/>
      <w:szCs w:val="20"/>
    </w:rPr>
  </w:style>
  <w:style w:type="table" w:customStyle="1" w:styleId="TabeladeLista21">
    <w:name w:val="Tabela de Lista 21"/>
    <w:basedOn w:val="TableNormal"/>
    <w:uiPriority w:val="47"/>
    <w:rsid w:val="00C81CD0"/>
    <w:pPr>
      <w:spacing w:after="0" w:line="240" w:lineRule="auto"/>
    </w:pPr>
    <w:rPr>
      <w:rFonts w:eastAsiaTheme="minorEastAsia"/>
      <w:sz w:val="24"/>
      <w:szCs w:val="24"/>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81CD0"/>
    <w:rPr>
      <w:sz w:val="16"/>
      <w:szCs w:val="16"/>
    </w:rPr>
  </w:style>
  <w:style w:type="paragraph" w:styleId="CommentSubject">
    <w:name w:val="annotation subject"/>
    <w:basedOn w:val="CommentText"/>
    <w:next w:val="CommentText"/>
    <w:link w:val="CommentSubjectChar"/>
    <w:uiPriority w:val="99"/>
    <w:semiHidden/>
    <w:unhideWhenUsed/>
    <w:rsid w:val="00AA0780"/>
    <w:rPr>
      <w:b/>
      <w:bCs/>
    </w:rPr>
  </w:style>
  <w:style w:type="character" w:customStyle="1" w:styleId="CommentSubjectChar">
    <w:name w:val="Comment Subject Char"/>
    <w:basedOn w:val="CommentTextChar"/>
    <w:link w:val="CommentSubject"/>
    <w:uiPriority w:val="99"/>
    <w:semiHidden/>
    <w:rsid w:val="00AA0780"/>
    <w:rPr>
      <w:rFonts w:eastAsiaTheme="minorEastAsia"/>
      <w:b/>
      <w:bCs/>
      <w:sz w:val="20"/>
      <w:szCs w:val="20"/>
    </w:rPr>
  </w:style>
  <w:style w:type="character" w:customStyle="1" w:styleId="apple-converted-space">
    <w:name w:val="apple-converted-space"/>
    <w:basedOn w:val="DefaultParagraphFont"/>
    <w:rsid w:val="00382874"/>
  </w:style>
  <w:style w:type="character" w:styleId="Hyperlink">
    <w:name w:val="Hyperlink"/>
    <w:basedOn w:val="DefaultParagraphFont"/>
    <w:uiPriority w:val="99"/>
    <w:unhideWhenUsed/>
    <w:rsid w:val="008905E5"/>
    <w:rPr>
      <w:color w:val="0563C1" w:themeColor="hyperlink"/>
      <w:u w:val="single"/>
    </w:rPr>
  </w:style>
  <w:style w:type="paragraph" w:styleId="Footer">
    <w:name w:val="footer"/>
    <w:basedOn w:val="Normal"/>
    <w:link w:val="FooterChar"/>
    <w:uiPriority w:val="99"/>
    <w:unhideWhenUsed/>
    <w:rsid w:val="004F7494"/>
    <w:pPr>
      <w:tabs>
        <w:tab w:val="center" w:pos="4320"/>
        <w:tab w:val="right" w:pos="8640"/>
      </w:tabs>
    </w:pPr>
  </w:style>
  <w:style w:type="character" w:customStyle="1" w:styleId="FooterChar">
    <w:name w:val="Footer Char"/>
    <w:basedOn w:val="DefaultParagraphFont"/>
    <w:link w:val="Footer"/>
    <w:uiPriority w:val="99"/>
    <w:rsid w:val="004F7494"/>
    <w:rPr>
      <w:rFonts w:eastAsiaTheme="minorEastAsia"/>
      <w:sz w:val="24"/>
      <w:szCs w:val="24"/>
    </w:rPr>
  </w:style>
  <w:style w:type="character" w:styleId="PageNumber">
    <w:name w:val="page number"/>
    <w:basedOn w:val="DefaultParagraphFont"/>
    <w:uiPriority w:val="99"/>
    <w:semiHidden/>
    <w:unhideWhenUsed/>
    <w:rsid w:val="004F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957">
      <w:bodyDiv w:val="1"/>
      <w:marLeft w:val="0"/>
      <w:marRight w:val="0"/>
      <w:marTop w:val="0"/>
      <w:marBottom w:val="0"/>
      <w:divBdr>
        <w:top w:val="none" w:sz="0" w:space="0" w:color="auto"/>
        <w:left w:val="none" w:sz="0" w:space="0" w:color="auto"/>
        <w:bottom w:val="none" w:sz="0" w:space="0" w:color="auto"/>
        <w:right w:val="none" w:sz="0" w:space="0" w:color="auto"/>
      </w:divBdr>
    </w:div>
    <w:div w:id="354625342">
      <w:bodyDiv w:val="1"/>
      <w:marLeft w:val="0"/>
      <w:marRight w:val="0"/>
      <w:marTop w:val="0"/>
      <w:marBottom w:val="0"/>
      <w:divBdr>
        <w:top w:val="none" w:sz="0" w:space="0" w:color="auto"/>
        <w:left w:val="none" w:sz="0" w:space="0" w:color="auto"/>
        <w:bottom w:val="none" w:sz="0" w:space="0" w:color="auto"/>
        <w:right w:val="none" w:sz="0" w:space="0" w:color="auto"/>
      </w:divBdr>
    </w:div>
    <w:div w:id="358316432">
      <w:bodyDiv w:val="1"/>
      <w:marLeft w:val="0"/>
      <w:marRight w:val="0"/>
      <w:marTop w:val="0"/>
      <w:marBottom w:val="0"/>
      <w:divBdr>
        <w:top w:val="none" w:sz="0" w:space="0" w:color="auto"/>
        <w:left w:val="none" w:sz="0" w:space="0" w:color="auto"/>
        <w:bottom w:val="none" w:sz="0" w:space="0" w:color="auto"/>
        <w:right w:val="none" w:sz="0" w:space="0" w:color="auto"/>
      </w:divBdr>
    </w:div>
    <w:div w:id="382602624">
      <w:bodyDiv w:val="1"/>
      <w:marLeft w:val="0"/>
      <w:marRight w:val="0"/>
      <w:marTop w:val="0"/>
      <w:marBottom w:val="0"/>
      <w:divBdr>
        <w:top w:val="none" w:sz="0" w:space="0" w:color="auto"/>
        <w:left w:val="none" w:sz="0" w:space="0" w:color="auto"/>
        <w:bottom w:val="none" w:sz="0" w:space="0" w:color="auto"/>
        <w:right w:val="none" w:sz="0" w:space="0" w:color="auto"/>
      </w:divBdr>
    </w:div>
    <w:div w:id="495388831">
      <w:bodyDiv w:val="1"/>
      <w:marLeft w:val="0"/>
      <w:marRight w:val="0"/>
      <w:marTop w:val="0"/>
      <w:marBottom w:val="0"/>
      <w:divBdr>
        <w:top w:val="none" w:sz="0" w:space="0" w:color="auto"/>
        <w:left w:val="none" w:sz="0" w:space="0" w:color="auto"/>
        <w:bottom w:val="none" w:sz="0" w:space="0" w:color="auto"/>
        <w:right w:val="none" w:sz="0" w:space="0" w:color="auto"/>
      </w:divBdr>
    </w:div>
    <w:div w:id="868025869">
      <w:bodyDiv w:val="1"/>
      <w:marLeft w:val="0"/>
      <w:marRight w:val="0"/>
      <w:marTop w:val="0"/>
      <w:marBottom w:val="0"/>
      <w:divBdr>
        <w:top w:val="none" w:sz="0" w:space="0" w:color="auto"/>
        <w:left w:val="none" w:sz="0" w:space="0" w:color="auto"/>
        <w:bottom w:val="none" w:sz="0" w:space="0" w:color="auto"/>
        <w:right w:val="none" w:sz="0" w:space="0" w:color="auto"/>
      </w:divBdr>
    </w:div>
    <w:div w:id="891308639">
      <w:bodyDiv w:val="1"/>
      <w:marLeft w:val="0"/>
      <w:marRight w:val="0"/>
      <w:marTop w:val="0"/>
      <w:marBottom w:val="0"/>
      <w:divBdr>
        <w:top w:val="none" w:sz="0" w:space="0" w:color="auto"/>
        <w:left w:val="none" w:sz="0" w:space="0" w:color="auto"/>
        <w:bottom w:val="none" w:sz="0" w:space="0" w:color="auto"/>
        <w:right w:val="none" w:sz="0" w:space="0" w:color="auto"/>
      </w:divBdr>
    </w:div>
    <w:div w:id="1020546241">
      <w:bodyDiv w:val="1"/>
      <w:marLeft w:val="0"/>
      <w:marRight w:val="0"/>
      <w:marTop w:val="0"/>
      <w:marBottom w:val="0"/>
      <w:divBdr>
        <w:top w:val="none" w:sz="0" w:space="0" w:color="auto"/>
        <w:left w:val="none" w:sz="0" w:space="0" w:color="auto"/>
        <w:bottom w:val="none" w:sz="0" w:space="0" w:color="auto"/>
        <w:right w:val="none" w:sz="0" w:space="0" w:color="auto"/>
      </w:divBdr>
      <w:divsChild>
        <w:div w:id="918060136">
          <w:marLeft w:val="0"/>
          <w:marRight w:val="0"/>
          <w:marTop w:val="0"/>
          <w:marBottom w:val="0"/>
          <w:divBdr>
            <w:top w:val="none" w:sz="0" w:space="0" w:color="auto"/>
            <w:left w:val="none" w:sz="0" w:space="0" w:color="auto"/>
            <w:bottom w:val="none" w:sz="0" w:space="0" w:color="auto"/>
            <w:right w:val="none" w:sz="0" w:space="0" w:color="auto"/>
          </w:divBdr>
          <w:divsChild>
            <w:div w:id="1891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3527">
      <w:bodyDiv w:val="1"/>
      <w:marLeft w:val="0"/>
      <w:marRight w:val="0"/>
      <w:marTop w:val="0"/>
      <w:marBottom w:val="0"/>
      <w:divBdr>
        <w:top w:val="none" w:sz="0" w:space="0" w:color="auto"/>
        <w:left w:val="none" w:sz="0" w:space="0" w:color="auto"/>
        <w:bottom w:val="none" w:sz="0" w:space="0" w:color="auto"/>
        <w:right w:val="none" w:sz="0" w:space="0" w:color="auto"/>
      </w:divBdr>
    </w:div>
    <w:div w:id="1809979837">
      <w:bodyDiv w:val="1"/>
      <w:marLeft w:val="0"/>
      <w:marRight w:val="0"/>
      <w:marTop w:val="0"/>
      <w:marBottom w:val="0"/>
      <w:divBdr>
        <w:top w:val="none" w:sz="0" w:space="0" w:color="auto"/>
        <w:left w:val="none" w:sz="0" w:space="0" w:color="auto"/>
        <w:bottom w:val="none" w:sz="0" w:space="0" w:color="auto"/>
        <w:right w:val="none" w:sz="0" w:space="0" w:color="auto"/>
      </w:divBdr>
    </w:div>
    <w:div w:id="1924758949">
      <w:bodyDiv w:val="1"/>
      <w:marLeft w:val="0"/>
      <w:marRight w:val="0"/>
      <w:marTop w:val="0"/>
      <w:marBottom w:val="0"/>
      <w:divBdr>
        <w:top w:val="none" w:sz="0" w:space="0" w:color="auto"/>
        <w:left w:val="none" w:sz="0" w:space="0" w:color="auto"/>
        <w:bottom w:val="none" w:sz="0" w:space="0" w:color="auto"/>
        <w:right w:val="none" w:sz="0" w:space="0" w:color="auto"/>
      </w:divBdr>
    </w:div>
    <w:div w:id="1927103997">
      <w:bodyDiv w:val="1"/>
      <w:marLeft w:val="0"/>
      <w:marRight w:val="0"/>
      <w:marTop w:val="0"/>
      <w:marBottom w:val="0"/>
      <w:divBdr>
        <w:top w:val="none" w:sz="0" w:space="0" w:color="auto"/>
        <w:left w:val="none" w:sz="0" w:space="0" w:color="auto"/>
        <w:bottom w:val="none" w:sz="0" w:space="0" w:color="auto"/>
        <w:right w:val="none" w:sz="0" w:space="0" w:color="auto"/>
      </w:divBdr>
    </w:div>
    <w:div w:id="20294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rouro@gmail.com" TargetMode="External"/><Relationship Id="rId9" Type="http://schemas.openxmlformats.org/officeDocument/2006/relationships/image" Target="media/image1.emf"/><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F732-AA4A-4047-8A65-59C12FC2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6237</Characters>
  <Application>Microsoft Macintosh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Alhinho Mourato</dc:creator>
  <cp:keywords/>
  <dc:description/>
  <cp:lastModifiedBy>Susana Ourô</cp:lastModifiedBy>
  <cp:revision>2</cp:revision>
  <cp:lastPrinted>2020-02-22T16:54:00Z</cp:lastPrinted>
  <dcterms:created xsi:type="dcterms:W3CDTF">2020-10-09T17:46:00Z</dcterms:created>
  <dcterms:modified xsi:type="dcterms:W3CDTF">2020-10-09T17:46:00Z</dcterms:modified>
</cp:coreProperties>
</file>