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textAlignment w:val="auto"/>
        <w:rPr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APPENDIX A</w:t>
      </w:r>
    </w:p>
    <w:p>
      <w:pPr>
        <w:spacing w:before="0" w:after="0" w:line="288" w:lineRule="auto"/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88" w:lineRule="auto"/>
        <w:jc w:val="both"/>
        <w:rPr>
          <w:b/>
        </w:rPr>
      </w:pPr>
      <w:r>
        <w:rPr>
          <w:b/>
        </w:rPr>
        <w:t>Table 1. Correlations table including both the key and control variables.</w:t>
      </w:r>
    </w:p>
    <w:p>
      <w:pPr>
        <w:spacing w:before="0" w:after="0" w:line="288" w:lineRule="auto"/>
        <w:ind w:left="720" w:hanging="720"/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150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6"/>
        <w:gridCol w:w="850"/>
        <w:gridCol w:w="845"/>
        <w:gridCol w:w="823"/>
        <w:gridCol w:w="884"/>
        <w:gridCol w:w="982"/>
        <w:gridCol w:w="903"/>
        <w:gridCol w:w="850"/>
        <w:gridCol w:w="851"/>
        <w:gridCol w:w="850"/>
        <w:gridCol w:w="851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506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rFonts w:hint="eastAsia" w:eastAsiaTheme="minorEastAsia"/>
                <w:b/>
                <w:i/>
                <w:sz w:val="21"/>
                <w:lang w:val="en-US" w:eastAsia="zh-CN"/>
              </w:rPr>
            </w:pPr>
            <w:r>
              <w:rPr>
                <w:b/>
                <w:i/>
                <w:sz w:val="21"/>
              </w:rPr>
              <w:t>Variable</w:t>
            </w:r>
            <w:r>
              <w:rPr>
                <w:rFonts w:hint="eastAsia"/>
                <w:b/>
                <w:i/>
                <w:sz w:val="21"/>
                <w:lang w:val="en-US" w:eastAsia="zh-CN"/>
              </w:rPr>
              <w:t>s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1</w:t>
            </w:r>
          </w:p>
        </w:tc>
        <w:tc>
          <w:tcPr>
            <w:tcW w:w="84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2</w:t>
            </w:r>
          </w:p>
        </w:tc>
        <w:tc>
          <w:tcPr>
            <w:tcW w:w="823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3</w:t>
            </w:r>
          </w:p>
        </w:tc>
        <w:tc>
          <w:tcPr>
            <w:tcW w:w="884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4</w:t>
            </w:r>
          </w:p>
        </w:tc>
        <w:tc>
          <w:tcPr>
            <w:tcW w:w="982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5</w:t>
            </w:r>
          </w:p>
        </w:tc>
        <w:tc>
          <w:tcPr>
            <w:tcW w:w="903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spacing w:before="0" w:after="0" w:line="288" w:lineRule="auto"/>
              <w:jc w:val="both"/>
              <w:textAlignment w:val="center"/>
              <w:rPr>
                <w:b/>
                <w:i/>
                <w:sz w:val="21"/>
                <w:lang w:eastAsia="zh-CN"/>
              </w:rPr>
            </w:pPr>
            <w:r>
              <w:rPr>
                <w:rFonts w:hint="eastAsia"/>
                <w:b/>
                <w:i/>
                <w:sz w:val="2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spacing w:before="0" w:after="0" w:line="288" w:lineRule="auto"/>
              <w:jc w:val="both"/>
              <w:textAlignment w:val="center"/>
              <w:rPr>
                <w:b/>
                <w:i/>
                <w:sz w:val="21"/>
                <w:lang w:eastAsia="zh-CN"/>
              </w:rPr>
            </w:pPr>
            <w:r>
              <w:rPr>
                <w:rFonts w:hint="eastAsia"/>
                <w:b/>
                <w:i/>
                <w:sz w:val="2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spacing w:before="0" w:after="0" w:line="288" w:lineRule="auto"/>
              <w:jc w:val="both"/>
              <w:textAlignment w:val="center"/>
              <w:rPr>
                <w:b/>
                <w:i/>
                <w:sz w:val="21"/>
                <w:lang w:eastAsia="zh-CN"/>
              </w:rPr>
            </w:pPr>
            <w:r>
              <w:rPr>
                <w:rFonts w:hint="eastAsia"/>
                <w:b/>
                <w:i/>
                <w:sz w:val="21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spacing w:before="0" w:after="0" w:line="288" w:lineRule="auto"/>
              <w:jc w:val="both"/>
              <w:textAlignment w:val="center"/>
              <w:rPr>
                <w:b/>
                <w:i/>
                <w:sz w:val="21"/>
                <w:lang w:eastAsia="zh-CN"/>
              </w:rPr>
            </w:pPr>
            <w:r>
              <w:rPr>
                <w:rFonts w:hint="eastAsia"/>
                <w:b/>
                <w:i/>
                <w:sz w:val="21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spacing w:before="0" w:after="0" w:line="288" w:lineRule="auto"/>
              <w:jc w:val="both"/>
              <w:textAlignment w:val="center"/>
              <w:rPr>
                <w:b/>
                <w:i/>
                <w:sz w:val="21"/>
                <w:lang w:eastAsia="zh-CN"/>
              </w:rPr>
            </w:pPr>
            <w:r>
              <w:rPr>
                <w:rFonts w:hint="eastAsia"/>
                <w:b/>
                <w:i/>
                <w:sz w:val="2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spacing w:before="0" w:after="0" w:line="288" w:lineRule="auto"/>
              <w:jc w:val="both"/>
              <w:textAlignment w:val="center"/>
              <w:rPr>
                <w:b/>
                <w:i/>
                <w:sz w:val="21"/>
                <w:lang w:eastAsia="zh-CN"/>
              </w:rPr>
            </w:pPr>
            <w:r>
              <w:rPr>
                <w:rFonts w:hint="eastAsia"/>
                <w:b/>
                <w:i/>
                <w:sz w:val="21"/>
                <w:lang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5506" w:type="dxa"/>
            <w:tcBorders>
              <w:top w:val="single" w:color="auto" w:sz="8" w:space="0"/>
            </w:tcBorders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sz w:val="21"/>
              </w:rPr>
            </w:pPr>
            <w:r>
              <w:rPr>
                <w:sz w:val="21"/>
              </w:rPr>
              <w:t>1. COVID-19 involvement</w:t>
            </w:r>
          </w:p>
        </w:tc>
        <w:tc>
          <w:tcPr>
            <w:tcW w:w="850" w:type="dxa"/>
            <w:tcBorders>
              <w:top w:val="single" w:color="auto" w:sz="8" w:space="0"/>
            </w:tcBorders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45" w:type="dxa"/>
            <w:tcBorders>
              <w:top w:val="single" w:color="auto" w:sz="8" w:space="0"/>
            </w:tcBorders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23" w:type="dxa"/>
            <w:tcBorders>
              <w:top w:val="single" w:color="auto" w:sz="8" w:space="0"/>
            </w:tcBorders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84" w:type="dxa"/>
            <w:tcBorders>
              <w:top w:val="single" w:color="auto" w:sz="8" w:space="0"/>
            </w:tcBorders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982" w:type="dxa"/>
            <w:tcBorders>
              <w:top w:val="single" w:color="auto" w:sz="8" w:space="0"/>
            </w:tcBorders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903" w:type="dxa"/>
            <w:tcBorders>
              <w:top w:val="single" w:color="auto" w:sz="8" w:space="0"/>
            </w:tcBorders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</w:tcBorders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</w:tcBorders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</w:tcBorders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506" w:type="dxa"/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sz w:val="21"/>
              </w:rPr>
            </w:pPr>
            <w:r>
              <w:rPr>
                <w:sz w:val="21"/>
              </w:rPr>
              <w:t>2. Awe</w:t>
            </w:r>
          </w:p>
        </w:tc>
        <w:tc>
          <w:tcPr>
            <w:tcW w:w="850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0.30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845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903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506" w:type="dxa"/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sz w:val="21"/>
              </w:rPr>
            </w:pPr>
            <w:r>
              <w:rPr>
                <w:sz w:val="21"/>
              </w:rPr>
              <w:t xml:space="preserve">3. Problem-focused coping </w:t>
            </w:r>
          </w:p>
        </w:tc>
        <w:tc>
          <w:tcPr>
            <w:tcW w:w="850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0.43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845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0.44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84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903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506" w:type="dxa"/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sz w:val="21"/>
              </w:rPr>
            </w:pPr>
            <w:r>
              <w:rPr>
                <w:sz w:val="21"/>
              </w:rPr>
              <w:t>4. Social norm compliance</w:t>
            </w:r>
          </w:p>
        </w:tc>
        <w:tc>
          <w:tcPr>
            <w:tcW w:w="850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0.35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845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0.26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0.56</w:t>
            </w:r>
            <w:r>
              <w:rPr>
                <w:sz w:val="21"/>
                <w:vertAlign w:val="superscript"/>
              </w:rPr>
              <w:t>*a*</w:t>
            </w:r>
          </w:p>
        </w:tc>
        <w:tc>
          <w:tcPr>
            <w:tcW w:w="884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82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903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5506" w:type="dxa"/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sz w:val="21"/>
              </w:rPr>
            </w:pPr>
            <w:r>
              <w:rPr>
                <w:sz w:val="21"/>
              </w:rPr>
              <w:t>5. Product preference</w:t>
            </w:r>
          </w:p>
        </w:tc>
        <w:tc>
          <w:tcPr>
            <w:tcW w:w="850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0.25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845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0.12</w:t>
            </w:r>
            <w:r>
              <w:rPr>
                <w:sz w:val="21"/>
                <w:vertAlign w:val="superscript"/>
              </w:rPr>
              <w:t>**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0.35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884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0.41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982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03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5506" w:type="dxa"/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6. GDPs of the cities to which participants belonged</w:t>
            </w:r>
          </w:p>
        </w:tc>
        <w:tc>
          <w:tcPr>
            <w:tcW w:w="850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0.18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845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0.04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0.12</w:t>
            </w:r>
            <w:r>
              <w:rPr>
                <w:sz w:val="21"/>
                <w:vertAlign w:val="superscript"/>
              </w:rPr>
              <w:t>**</w:t>
            </w:r>
          </w:p>
        </w:tc>
        <w:tc>
          <w:tcPr>
            <w:tcW w:w="884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0.19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982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0.36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903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5506" w:type="dxa"/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7. </w:t>
            </w:r>
            <w:r>
              <w:rPr>
                <w:sz w:val="21"/>
                <w:lang w:eastAsia="zh-CN"/>
              </w:rPr>
              <w:t xml:space="preserve">Average risk </w:t>
            </w:r>
            <w:r>
              <w:rPr>
                <w:rFonts w:hint="eastAsia"/>
                <w:sz w:val="21"/>
                <w:lang w:eastAsia="zh-CN"/>
              </w:rPr>
              <w:t>preferences</w:t>
            </w:r>
          </w:p>
        </w:tc>
        <w:tc>
          <w:tcPr>
            <w:tcW w:w="850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-0.14</w:t>
            </w:r>
            <w:r>
              <w:rPr>
                <w:sz w:val="21"/>
                <w:vertAlign w:val="superscript"/>
              </w:rPr>
              <w:t>**</w:t>
            </w:r>
          </w:p>
        </w:tc>
        <w:tc>
          <w:tcPr>
            <w:tcW w:w="845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-0.07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-0.14</w:t>
            </w:r>
            <w:r>
              <w:rPr>
                <w:sz w:val="21"/>
                <w:vertAlign w:val="superscript"/>
              </w:rPr>
              <w:t>**</w:t>
            </w:r>
          </w:p>
        </w:tc>
        <w:tc>
          <w:tcPr>
            <w:tcW w:w="884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-0.03</w:t>
            </w:r>
          </w:p>
        </w:tc>
        <w:tc>
          <w:tcPr>
            <w:tcW w:w="982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-0.16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903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-0.18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5506" w:type="dxa"/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8. </w:t>
            </w:r>
            <w:r>
              <w:rPr>
                <w:sz w:val="21"/>
                <w:lang w:eastAsia="zh-CN"/>
              </w:rPr>
              <w:t>P</w:t>
            </w:r>
            <w:r>
              <w:rPr>
                <w:rFonts w:hint="eastAsia"/>
                <w:sz w:val="21"/>
                <w:lang w:eastAsia="zh-CN"/>
              </w:rPr>
              <w:t xml:space="preserve">erceived </w:t>
            </w:r>
            <w:r>
              <w:rPr>
                <w:sz w:val="21"/>
                <w:lang w:eastAsia="zh-CN"/>
              </w:rPr>
              <w:t xml:space="preserve">trust in </w:t>
            </w:r>
            <w:r>
              <w:rPr>
                <w:rFonts w:hint="eastAsia"/>
                <w:sz w:val="21"/>
                <w:lang w:eastAsia="zh-CN"/>
              </w:rPr>
              <w:t>government</w:t>
            </w:r>
          </w:p>
        </w:tc>
        <w:tc>
          <w:tcPr>
            <w:tcW w:w="850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0.02</w:t>
            </w:r>
          </w:p>
        </w:tc>
        <w:tc>
          <w:tcPr>
            <w:tcW w:w="845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0.04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0.10</w:t>
            </w:r>
            <w:r>
              <w:rPr>
                <w:sz w:val="21"/>
                <w:vertAlign w:val="superscript"/>
              </w:rPr>
              <w:t>*</w:t>
            </w:r>
          </w:p>
        </w:tc>
        <w:tc>
          <w:tcPr>
            <w:tcW w:w="884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0.08</w:t>
            </w:r>
          </w:p>
        </w:tc>
        <w:tc>
          <w:tcPr>
            <w:tcW w:w="982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0.07</w:t>
            </w:r>
          </w:p>
        </w:tc>
        <w:tc>
          <w:tcPr>
            <w:tcW w:w="903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-0.04</w:t>
            </w: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0.09</w:t>
            </w: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5506" w:type="dxa"/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9. </w:t>
            </w:r>
            <w:r>
              <w:rPr>
                <w:sz w:val="21"/>
                <w:lang w:eastAsia="zh-CN"/>
              </w:rPr>
              <w:t>Education level</w:t>
            </w:r>
          </w:p>
        </w:tc>
        <w:tc>
          <w:tcPr>
            <w:tcW w:w="850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-0.02</w:t>
            </w:r>
          </w:p>
        </w:tc>
        <w:tc>
          <w:tcPr>
            <w:tcW w:w="845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-0.02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-0.02</w:t>
            </w:r>
          </w:p>
        </w:tc>
        <w:tc>
          <w:tcPr>
            <w:tcW w:w="884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-0.02</w:t>
            </w:r>
          </w:p>
        </w:tc>
        <w:tc>
          <w:tcPr>
            <w:tcW w:w="982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-0.02</w:t>
            </w:r>
          </w:p>
        </w:tc>
        <w:tc>
          <w:tcPr>
            <w:tcW w:w="903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-0.11</w:t>
            </w:r>
            <w:r>
              <w:rPr>
                <w:sz w:val="21"/>
                <w:vertAlign w:val="superscript"/>
              </w:rPr>
              <w:t>*</w:t>
            </w: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0.20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0.16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5506" w:type="dxa"/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10</w:t>
            </w:r>
            <w:r>
              <w:rPr>
                <w:sz w:val="21"/>
                <w:lang w:eastAsia="zh-CN"/>
              </w:rPr>
              <w:t>. Monthly income</w:t>
            </w:r>
          </w:p>
        </w:tc>
        <w:tc>
          <w:tcPr>
            <w:tcW w:w="850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0.05</w:t>
            </w:r>
          </w:p>
        </w:tc>
        <w:tc>
          <w:tcPr>
            <w:tcW w:w="845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-0.02</w:t>
            </w:r>
          </w:p>
        </w:tc>
        <w:tc>
          <w:tcPr>
            <w:tcW w:w="823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-0.05</w:t>
            </w:r>
          </w:p>
        </w:tc>
        <w:tc>
          <w:tcPr>
            <w:tcW w:w="884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-0.11</w:t>
            </w:r>
            <w:r>
              <w:rPr>
                <w:sz w:val="21"/>
                <w:vertAlign w:val="superscript"/>
              </w:rPr>
              <w:t>*</w:t>
            </w:r>
          </w:p>
        </w:tc>
        <w:tc>
          <w:tcPr>
            <w:tcW w:w="982" w:type="dxa"/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-0.05</w:t>
            </w:r>
          </w:p>
        </w:tc>
        <w:tc>
          <w:tcPr>
            <w:tcW w:w="903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-0.01</w:t>
            </w: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0.07</w:t>
            </w: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0.01</w:t>
            </w:r>
          </w:p>
        </w:tc>
        <w:tc>
          <w:tcPr>
            <w:tcW w:w="850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-0.09</w:t>
            </w:r>
            <w:r>
              <w:rPr>
                <w:sz w:val="21"/>
                <w:vertAlign w:val="superscript"/>
              </w:rPr>
              <w:t>*</w:t>
            </w: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51" w:type="dxa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5506" w:type="dxa"/>
            <w:tcBorders>
              <w:bottom w:val="single" w:color="auto" w:sz="12" w:space="0"/>
            </w:tcBorders>
            <w:vAlign w:val="center"/>
          </w:tcPr>
          <w:p>
            <w:pPr>
              <w:spacing w:before="0" w:after="0" w:line="288" w:lineRule="auto"/>
              <w:jc w:val="both"/>
              <w:textAlignment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11. </w:t>
            </w:r>
            <w:r>
              <w:rPr>
                <w:sz w:val="21"/>
                <w:lang w:eastAsia="zh-CN"/>
              </w:rPr>
              <w:t>Utilitarian/hedonic consumption preferences in daily life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0.07</w:t>
            </w:r>
          </w:p>
        </w:tc>
        <w:tc>
          <w:tcPr>
            <w:tcW w:w="845" w:type="dxa"/>
            <w:tcBorders>
              <w:bottom w:val="single" w:color="auto" w:sz="12" w:space="0"/>
            </w:tcBorders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0.01</w:t>
            </w:r>
          </w:p>
        </w:tc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-0.01</w:t>
            </w:r>
          </w:p>
        </w:tc>
        <w:tc>
          <w:tcPr>
            <w:tcW w:w="884" w:type="dxa"/>
            <w:tcBorders>
              <w:bottom w:val="single" w:color="auto" w:sz="12" w:space="0"/>
            </w:tcBorders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-0.05</w:t>
            </w:r>
          </w:p>
        </w:tc>
        <w:tc>
          <w:tcPr>
            <w:tcW w:w="982" w:type="dxa"/>
            <w:tcBorders>
              <w:bottom w:val="single" w:color="auto" w:sz="12" w:space="0"/>
            </w:tcBorders>
            <w:vAlign w:val="center"/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0.02</w:t>
            </w:r>
          </w:p>
        </w:tc>
        <w:tc>
          <w:tcPr>
            <w:tcW w:w="903" w:type="dxa"/>
            <w:tcBorders>
              <w:bottom w:val="single" w:color="auto" w:sz="12" w:space="0"/>
            </w:tcBorders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-0.03</w:t>
            </w:r>
          </w:p>
        </w:tc>
        <w:tc>
          <w:tcPr>
            <w:tcW w:w="850" w:type="dxa"/>
            <w:tcBorders>
              <w:bottom w:val="single" w:color="auto" w:sz="12" w:space="0"/>
            </w:tcBorders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0.04</w:t>
            </w:r>
          </w:p>
        </w:tc>
        <w:tc>
          <w:tcPr>
            <w:tcW w:w="851" w:type="dxa"/>
            <w:tcBorders>
              <w:bottom w:val="single" w:color="auto" w:sz="12" w:space="0"/>
            </w:tcBorders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0.10</w:t>
            </w:r>
            <w:r>
              <w:rPr>
                <w:sz w:val="21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single" w:color="auto" w:sz="12" w:space="0"/>
            </w:tcBorders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-0.06</w:t>
            </w:r>
          </w:p>
        </w:tc>
        <w:tc>
          <w:tcPr>
            <w:tcW w:w="851" w:type="dxa"/>
            <w:tcBorders>
              <w:bottom w:val="single" w:color="auto" w:sz="12" w:space="0"/>
            </w:tcBorders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0.76</w:t>
            </w:r>
            <w:r>
              <w:rPr>
                <w:sz w:val="21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bottom w:val="single" w:color="auto" w:sz="12" w:space="0"/>
            </w:tcBorders>
          </w:tcPr>
          <w:p>
            <w:pPr>
              <w:spacing w:before="0" w:after="0" w:line="288" w:lineRule="auto"/>
              <w:jc w:val="center"/>
              <w:textAlignment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-</w:t>
            </w:r>
          </w:p>
        </w:tc>
      </w:tr>
    </w:tbl>
    <w:p>
      <w:pPr>
        <w:spacing w:before="0" w:after="0" w:line="288" w:lineRule="auto"/>
        <w:ind w:left="720" w:hanging="720"/>
        <w:rPr>
          <w:rFonts w:cs="Times New Roman"/>
          <w:color w:val="000000" w:themeColor="text1"/>
          <w:kern w:val="2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cs="Times New Roman"/>
          <w:i/>
          <w:color w:val="000000" w:themeColor="text1"/>
          <w:kern w:val="2"/>
          <w:szCs w:val="24"/>
          <w:lang w:eastAsia="zh-CN"/>
          <w14:textFill>
            <w14:solidFill>
              <w14:schemeClr w14:val="tx1"/>
            </w14:solidFill>
          </w14:textFill>
        </w:rPr>
        <w:t>Note.</w:t>
      </w:r>
      <w:r>
        <w:rPr>
          <w:rFonts w:cs="Times New Roman"/>
          <w:color w:val="000000" w:themeColor="text1"/>
          <w:kern w:val="2"/>
          <w:szCs w:val="24"/>
          <w:lang w:eastAsia="zh-CN"/>
          <w14:textFill>
            <w14:solidFill>
              <w14:schemeClr w14:val="tx1"/>
            </w14:solidFill>
          </w14:textFill>
        </w:rPr>
        <w:t xml:space="preserve"> Variables 1-5 are key variables, and variables 6-11 are control </w:t>
      </w:r>
      <w:r>
        <w:rPr>
          <w:rFonts w:hint="eastAsia" w:cs="Times New Roman"/>
          <w:color w:val="000000" w:themeColor="text1"/>
          <w:kern w:val="2"/>
          <w:szCs w:val="24"/>
          <w:lang w:eastAsia="zh-CN"/>
          <w14:textFill>
            <w14:solidFill>
              <w14:schemeClr w14:val="tx1"/>
            </w14:solidFill>
          </w14:textFill>
        </w:rPr>
        <w:t>variables</w:t>
      </w:r>
      <w:r>
        <w:rPr>
          <w:rFonts w:cs="Times New Roman"/>
          <w:color w:val="000000" w:themeColor="text1"/>
          <w:kern w:val="2"/>
          <w:szCs w:val="24"/>
          <w:lang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cs="Times New Roman"/>
          <w:sz w:val="21"/>
          <w:vertAlign w:val="superscript"/>
        </w:rPr>
        <w:t>*</w:t>
      </w:r>
      <w:r>
        <w:rPr>
          <w:rFonts w:cs="Times New Roman"/>
          <w:i/>
          <w:sz w:val="21"/>
        </w:rPr>
        <w:t>p</w:t>
      </w:r>
      <w:r>
        <w:rPr>
          <w:rFonts w:cs="Times New Roman"/>
          <w:sz w:val="21"/>
        </w:rPr>
        <w:t xml:space="preserve"> &lt; 0.05, </w:t>
      </w:r>
      <w:r>
        <w:rPr>
          <w:rFonts w:cs="Times New Roman"/>
          <w:sz w:val="21"/>
          <w:vertAlign w:val="superscript"/>
        </w:rPr>
        <w:t>**</w:t>
      </w:r>
      <w:r>
        <w:rPr>
          <w:rFonts w:cs="Times New Roman"/>
          <w:i/>
          <w:sz w:val="21"/>
        </w:rPr>
        <w:t>p</w:t>
      </w:r>
      <w:r>
        <w:rPr>
          <w:rFonts w:cs="Times New Roman"/>
          <w:sz w:val="21"/>
        </w:rPr>
        <w:t xml:space="preserve"> &lt; 0.01, </w:t>
      </w:r>
      <w:r>
        <w:rPr>
          <w:rFonts w:cs="Times New Roman"/>
          <w:sz w:val="21"/>
          <w:vertAlign w:val="superscript"/>
        </w:rPr>
        <w:t>***</w:t>
      </w:r>
      <w:r>
        <w:rPr>
          <w:rFonts w:cs="Times New Roman"/>
          <w:i/>
          <w:sz w:val="21"/>
        </w:rPr>
        <w:t>p</w:t>
      </w:r>
      <w:r>
        <w:rPr>
          <w:rFonts w:cs="Times New Roman"/>
          <w:sz w:val="21"/>
        </w:rPr>
        <w:t xml:space="preserve"> &lt; 0.001.</w:t>
      </w:r>
    </w:p>
    <w:sectPr>
      <w:footerReference r:id="rId3" w:type="default"/>
      <w:pgSz w:w="15840" w:h="12240" w:orient="landscape"/>
      <w:pgMar w:top="1282" w:right="1138" w:bottom="1181" w:left="1138" w:header="283" w:footer="510" w:gutter="0"/>
      <w:lnNumType w:countBy="0" w:restart="continuous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alatino">
    <w:altName w:val="Book Antiqua"/>
    <w:panose1 w:val="00000000000000000000"/>
    <w:charset w:val="4D"/>
    <w:family w:val="auto"/>
    <w:pitch w:val="default"/>
    <w:sig w:usb0="00000000" w:usb1="00000000" w:usb2="14600000" w:usb3="00000000" w:csb0="00000193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4D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b/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 w:val="22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18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XLnphhUCAAAn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10"/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 w:val="22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18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1EC0601A"/>
    <w:lvl w:ilvl="0" w:tentative="0">
      <w:start w:val="1"/>
      <w:numFmt w:val="decimal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 w:tentative="1">
        <w:start w:val="1"/>
        <w:numFmt w:val="decimal"/>
        <w:pStyle w:val="2"/>
        <w:lvlText w:val="%1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4"/>
        <w:lvlText w:val="%1.%2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MjexMDG0NDcAAiUdpeDU4uLM/DyQArNaAMGNufQsAAAA"/>
    <w:docVar w:name="EN.Layout" w:val="&lt;ENLayout&gt;&lt;Style&gt;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13181"/>
    <w:rsid w:val="00001D57"/>
    <w:rsid w:val="00010A4E"/>
    <w:rsid w:val="0001277C"/>
    <w:rsid w:val="00016CAB"/>
    <w:rsid w:val="000243F4"/>
    <w:rsid w:val="00024A86"/>
    <w:rsid w:val="000255AA"/>
    <w:rsid w:val="000267D9"/>
    <w:rsid w:val="00026A03"/>
    <w:rsid w:val="00034B87"/>
    <w:rsid w:val="000363F7"/>
    <w:rsid w:val="000500C6"/>
    <w:rsid w:val="00060FB2"/>
    <w:rsid w:val="0007723A"/>
    <w:rsid w:val="00086108"/>
    <w:rsid w:val="00087D83"/>
    <w:rsid w:val="00096B19"/>
    <w:rsid w:val="00096BAF"/>
    <w:rsid w:val="000A01DA"/>
    <w:rsid w:val="000A077C"/>
    <w:rsid w:val="000B0D32"/>
    <w:rsid w:val="000B17F9"/>
    <w:rsid w:val="000B371D"/>
    <w:rsid w:val="000C0180"/>
    <w:rsid w:val="000D1BA0"/>
    <w:rsid w:val="000D2F1D"/>
    <w:rsid w:val="000D6920"/>
    <w:rsid w:val="000E62AC"/>
    <w:rsid w:val="000E7806"/>
    <w:rsid w:val="000E791D"/>
    <w:rsid w:val="000F0786"/>
    <w:rsid w:val="000F35B8"/>
    <w:rsid w:val="000F3B6D"/>
    <w:rsid w:val="00100E17"/>
    <w:rsid w:val="001041CB"/>
    <w:rsid w:val="00115438"/>
    <w:rsid w:val="00123C51"/>
    <w:rsid w:val="001243CB"/>
    <w:rsid w:val="001278A9"/>
    <w:rsid w:val="0014460A"/>
    <w:rsid w:val="0015709F"/>
    <w:rsid w:val="001574C6"/>
    <w:rsid w:val="001645A2"/>
    <w:rsid w:val="001647CD"/>
    <w:rsid w:val="0016613B"/>
    <w:rsid w:val="00167383"/>
    <w:rsid w:val="001673AE"/>
    <w:rsid w:val="001711C9"/>
    <w:rsid w:val="001713A9"/>
    <w:rsid w:val="00176C24"/>
    <w:rsid w:val="00180310"/>
    <w:rsid w:val="0018324D"/>
    <w:rsid w:val="0018409C"/>
    <w:rsid w:val="00185FDC"/>
    <w:rsid w:val="00187683"/>
    <w:rsid w:val="00193571"/>
    <w:rsid w:val="00195C29"/>
    <w:rsid w:val="001B228E"/>
    <w:rsid w:val="001B4F40"/>
    <w:rsid w:val="001B53CA"/>
    <w:rsid w:val="001B7F1E"/>
    <w:rsid w:val="001D281A"/>
    <w:rsid w:val="001D35F7"/>
    <w:rsid w:val="001E020B"/>
    <w:rsid w:val="001E3BDA"/>
    <w:rsid w:val="00205D0E"/>
    <w:rsid w:val="0021216E"/>
    <w:rsid w:val="00214A77"/>
    <w:rsid w:val="00215BDC"/>
    <w:rsid w:val="002178C6"/>
    <w:rsid w:val="0022424C"/>
    <w:rsid w:val="00230615"/>
    <w:rsid w:val="00231D4A"/>
    <w:rsid w:val="00237CFA"/>
    <w:rsid w:val="00241A01"/>
    <w:rsid w:val="00247D99"/>
    <w:rsid w:val="00260BBF"/>
    <w:rsid w:val="00272913"/>
    <w:rsid w:val="00273446"/>
    <w:rsid w:val="002744E3"/>
    <w:rsid w:val="00274C7B"/>
    <w:rsid w:val="00294D62"/>
    <w:rsid w:val="00294ED3"/>
    <w:rsid w:val="002A07A2"/>
    <w:rsid w:val="002A4734"/>
    <w:rsid w:val="002A4A6D"/>
    <w:rsid w:val="002A5750"/>
    <w:rsid w:val="002B054B"/>
    <w:rsid w:val="002B77DF"/>
    <w:rsid w:val="002C0463"/>
    <w:rsid w:val="002C1707"/>
    <w:rsid w:val="002C516A"/>
    <w:rsid w:val="002D5497"/>
    <w:rsid w:val="002E0ADF"/>
    <w:rsid w:val="002E15F0"/>
    <w:rsid w:val="002E3476"/>
    <w:rsid w:val="002F1C3B"/>
    <w:rsid w:val="0030123A"/>
    <w:rsid w:val="00312C60"/>
    <w:rsid w:val="003200A8"/>
    <w:rsid w:val="00324EA0"/>
    <w:rsid w:val="003350E8"/>
    <w:rsid w:val="00335698"/>
    <w:rsid w:val="003371D4"/>
    <w:rsid w:val="00343167"/>
    <w:rsid w:val="00357527"/>
    <w:rsid w:val="00357F83"/>
    <w:rsid w:val="00361D59"/>
    <w:rsid w:val="0037510B"/>
    <w:rsid w:val="00387D5A"/>
    <w:rsid w:val="003A0ED6"/>
    <w:rsid w:val="003B315E"/>
    <w:rsid w:val="003B5866"/>
    <w:rsid w:val="003C194F"/>
    <w:rsid w:val="003C2AEC"/>
    <w:rsid w:val="003C4040"/>
    <w:rsid w:val="003C4267"/>
    <w:rsid w:val="003C4B64"/>
    <w:rsid w:val="003D58BE"/>
    <w:rsid w:val="003E3F47"/>
    <w:rsid w:val="003E4E46"/>
    <w:rsid w:val="003F121C"/>
    <w:rsid w:val="003F3D25"/>
    <w:rsid w:val="00400522"/>
    <w:rsid w:val="00402D37"/>
    <w:rsid w:val="00407461"/>
    <w:rsid w:val="00410889"/>
    <w:rsid w:val="00412D19"/>
    <w:rsid w:val="004239A2"/>
    <w:rsid w:val="00430FAD"/>
    <w:rsid w:val="00435A58"/>
    <w:rsid w:val="0043655B"/>
    <w:rsid w:val="0044234C"/>
    <w:rsid w:val="00443742"/>
    <w:rsid w:val="00460891"/>
    <w:rsid w:val="00460A4F"/>
    <w:rsid w:val="004621FB"/>
    <w:rsid w:val="004A0572"/>
    <w:rsid w:val="004A398D"/>
    <w:rsid w:val="004B04F0"/>
    <w:rsid w:val="004B4FCD"/>
    <w:rsid w:val="004C45F7"/>
    <w:rsid w:val="004C65BB"/>
    <w:rsid w:val="004D2088"/>
    <w:rsid w:val="004D24A1"/>
    <w:rsid w:val="004E0DE2"/>
    <w:rsid w:val="004E6041"/>
    <w:rsid w:val="004F2263"/>
    <w:rsid w:val="004F2819"/>
    <w:rsid w:val="004F30B4"/>
    <w:rsid w:val="004F457D"/>
    <w:rsid w:val="005057A2"/>
    <w:rsid w:val="005069DE"/>
    <w:rsid w:val="00512D33"/>
    <w:rsid w:val="00513181"/>
    <w:rsid w:val="00513501"/>
    <w:rsid w:val="00514A80"/>
    <w:rsid w:val="00521072"/>
    <w:rsid w:val="0056612A"/>
    <w:rsid w:val="00570FCE"/>
    <w:rsid w:val="00571C8D"/>
    <w:rsid w:val="005829DA"/>
    <w:rsid w:val="005967CE"/>
    <w:rsid w:val="005B10C4"/>
    <w:rsid w:val="005B3E1E"/>
    <w:rsid w:val="005C1EA0"/>
    <w:rsid w:val="005C3150"/>
    <w:rsid w:val="005C4611"/>
    <w:rsid w:val="005C4746"/>
    <w:rsid w:val="005C77F2"/>
    <w:rsid w:val="005D0EE7"/>
    <w:rsid w:val="005D68FE"/>
    <w:rsid w:val="005D7C24"/>
    <w:rsid w:val="005E3D7C"/>
    <w:rsid w:val="005E50E9"/>
    <w:rsid w:val="005E6E77"/>
    <w:rsid w:val="005F039A"/>
    <w:rsid w:val="005F43A6"/>
    <w:rsid w:val="00604ED7"/>
    <w:rsid w:val="00607622"/>
    <w:rsid w:val="00612C93"/>
    <w:rsid w:val="00615DBD"/>
    <w:rsid w:val="00624BC1"/>
    <w:rsid w:val="00626A32"/>
    <w:rsid w:val="00632EF8"/>
    <w:rsid w:val="006434AD"/>
    <w:rsid w:val="006649DD"/>
    <w:rsid w:val="00665347"/>
    <w:rsid w:val="00690CC5"/>
    <w:rsid w:val="006C0C68"/>
    <w:rsid w:val="006D2097"/>
    <w:rsid w:val="006D2445"/>
    <w:rsid w:val="006D3494"/>
    <w:rsid w:val="006D410B"/>
    <w:rsid w:val="006D6FC6"/>
    <w:rsid w:val="006E3EB8"/>
    <w:rsid w:val="006E6DB5"/>
    <w:rsid w:val="006F032C"/>
    <w:rsid w:val="007014E5"/>
    <w:rsid w:val="0070726E"/>
    <w:rsid w:val="0071444E"/>
    <w:rsid w:val="0071598D"/>
    <w:rsid w:val="00725CFB"/>
    <w:rsid w:val="00730A1A"/>
    <w:rsid w:val="00734002"/>
    <w:rsid w:val="00735AED"/>
    <w:rsid w:val="00743AD8"/>
    <w:rsid w:val="00744A53"/>
    <w:rsid w:val="00746D86"/>
    <w:rsid w:val="00750095"/>
    <w:rsid w:val="00750597"/>
    <w:rsid w:val="00756274"/>
    <w:rsid w:val="00756349"/>
    <w:rsid w:val="007605FD"/>
    <w:rsid w:val="00762C23"/>
    <w:rsid w:val="007701E1"/>
    <w:rsid w:val="00770801"/>
    <w:rsid w:val="00771C30"/>
    <w:rsid w:val="00772B13"/>
    <w:rsid w:val="00790DC5"/>
    <w:rsid w:val="007932E9"/>
    <w:rsid w:val="00793741"/>
    <w:rsid w:val="007A0A25"/>
    <w:rsid w:val="007A0FBF"/>
    <w:rsid w:val="007C57D7"/>
    <w:rsid w:val="007D45EB"/>
    <w:rsid w:val="007D6B65"/>
    <w:rsid w:val="007E0CA0"/>
    <w:rsid w:val="007E5C2C"/>
    <w:rsid w:val="007E66C6"/>
    <w:rsid w:val="007F399E"/>
    <w:rsid w:val="007F6BE8"/>
    <w:rsid w:val="00802E95"/>
    <w:rsid w:val="008043CF"/>
    <w:rsid w:val="00804AA9"/>
    <w:rsid w:val="008071FD"/>
    <w:rsid w:val="008138C9"/>
    <w:rsid w:val="0082248F"/>
    <w:rsid w:val="0083138D"/>
    <w:rsid w:val="0083469D"/>
    <w:rsid w:val="00842173"/>
    <w:rsid w:val="008556D7"/>
    <w:rsid w:val="00856831"/>
    <w:rsid w:val="00873FDE"/>
    <w:rsid w:val="00876CD4"/>
    <w:rsid w:val="00876E73"/>
    <w:rsid w:val="00895861"/>
    <w:rsid w:val="008A1174"/>
    <w:rsid w:val="008A2952"/>
    <w:rsid w:val="008A2D91"/>
    <w:rsid w:val="008A71CC"/>
    <w:rsid w:val="008B7E87"/>
    <w:rsid w:val="008C055D"/>
    <w:rsid w:val="008C21C1"/>
    <w:rsid w:val="008E4C84"/>
    <w:rsid w:val="009021E7"/>
    <w:rsid w:val="009057D0"/>
    <w:rsid w:val="009127A8"/>
    <w:rsid w:val="009168E4"/>
    <w:rsid w:val="0092091C"/>
    <w:rsid w:val="00927511"/>
    <w:rsid w:val="00933554"/>
    <w:rsid w:val="00937CC9"/>
    <w:rsid w:val="00943DAA"/>
    <w:rsid w:val="00954DB1"/>
    <w:rsid w:val="009569AD"/>
    <w:rsid w:val="00964CD2"/>
    <w:rsid w:val="00977089"/>
    <w:rsid w:val="009803D3"/>
    <w:rsid w:val="0098212D"/>
    <w:rsid w:val="009845D7"/>
    <w:rsid w:val="00984E8F"/>
    <w:rsid w:val="00987E4C"/>
    <w:rsid w:val="00990889"/>
    <w:rsid w:val="0099144C"/>
    <w:rsid w:val="009B08C3"/>
    <w:rsid w:val="009C053C"/>
    <w:rsid w:val="009C4ED2"/>
    <w:rsid w:val="009C691C"/>
    <w:rsid w:val="009D27D4"/>
    <w:rsid w:val="009D3B94"/>
    <w:rsid w:val="009F198E"/>
    <w:rsid w:val="009F77DE"/>
    <w:rsid w:val="00A00D80"/>
    <w:rsid w:val="00A13571"/>
    <w:rsid w:val="00A167C3"/>
    <w:rsid w:val="00A32362"/>
    <w:rsid w:val="00A33BF7"/>
    <w:rsid w:val="00A3680A"/>
    <w:rsid w:val="00A36C9A"/>
    <w:rsid w:val="00A517E5"/>
    <w:rsid w:val="00A5434F"/>
    <w:rsid w:val="00A6090C"/>
    <w:rsid w:val="00A67C3B"/>
    <w:rsid w:val="00A732F9"/>
    <w:rsid w:val="00A814BE"/>
    <w:rsid w:val="00A96BE2"/>
    <w:rsid w:val="00A97916"/>
    <w:rsid w:val="00AA6D62"/>
    <w:rsid w:val="00AB147D"/>
    <w:rsid w:val="00AC4C0A"/>
    <w:rsid w:val="00AD19EC"/>
    <w:rsid w:val="00AD7681"/>
    <w:rsid w:val="00AE05A0"/>
    <w:rsid w:val="00AF4CFF"/>
    <w:rsid w:val="00AF6A71"/>
    <w:rsid w:val="00B0641D"/>
    <w:rsid w:val="00B06DE6"/>
    <w:rsid w:val="00B1252C"/>
    <w:rsid w:val="00B22A99"/>
    <w:rsid w:val="00B25E2B"/>
    <w:rsid w:val="00B3154D"/>
    <w:rsid w:val="00B3324F"/>
    <w:rsid w:val="00B34F0C"/>
    <w:rsid w:val="00B367AA"/>
    <w:rsid w:val="00B36A78"/>
    <w:rsid w:val="00B50123"/>
    <w:rsid w:val="00B5220E"/>
    <w:rsid w:val="00B65303"/>
    <w:rsid w:val="00B80DC9"/>
    <w:rsid w:val="00B84980"/>
    <w:rsid w:val="00B93965"/>
    <w:rsid w:val="00B94F87"/>
    <w:rsid w:val="00B95496"/>
    <w:rsid w:val="00BA4FF1"/>
    <w:rsid w:val="00BA734E"/>
    <w:rsid w:val="00BB4846"/>
    <w:rsid w:val="00BB6F66"/>
    <w:rsid w:val="00BC04B8"/>
    <w:rsid w:val="00BD4F41"/>
    <w:rsid w:val="00BF0169"/>
    <w:rsid w:val="00BF1152"/>
    <w:rsid w:val="00BF150F"/>
    <w:rsid w:val="00BF2FF0"/>
    <w:rsid w:val="00BF482A"/>
    <w:rsid w:val="00BF7C53"/>
    <w:rsid w:val="00C00A9F"/>
    <w:rsid w:val="00C015C2"/>
    <w:rsid w:val="00C01F73"/>
    <w:rsid w:val="00C07EE5"/>
    <w:rsid w:val="00C170CF"/>
    <w:rsid w:val="00C17D9B"/>
    <w:rsid w:val="00C21F4D"/>
    <w:rsid w:val="00C22340"/>
    <w:rsid w:val="00C30FB9"/>
    <w:rsid w:val="00C52C54"/>
    <w:rsid w:val="00C63E60"/>
    <w:rsid w:val="00C662AF"/>
    <w:rsid w:val="00C671DC"/>
    <w:rsid w:val="00C761BA"/>
    <w:rsid w:val="00C8574A"/>
    <w:rsid w:val="00C9254E"/>
    <w:rsid w:val="00C94111"/>
    <w:rsid w:val="00C9497F"/>
    <w:rsid w:val="00CA7B83"/>
    <w:rsid w:val="00CB2F1D"/>
    <w:rsid w:val="00CB7601"/>
    <w:rsid w:val="00CC2976"/>
    <w:rsid w:val="00CC7A9A"/>
    <w:rsid w:val="00CD767B"/>
    <w:rsid w:val="00CE376C"/>
    <w:rsid w:val="00D01D22"/>
    <w:rsid w:val="00D0680C"/>
    <w:rsid w:val="00D06C77"/>
    <w:rsid w:val="00D13C25"/>
    <w:rsid w:val="00D255FB"/>
    <w:rsid w:val="00D2721E"/>
    <w:rsid w:val="00D27788"/>
    <w:rsid w:val="00D32AB3"/>
    <w:rsid w:val="00D379D5"/>
    <w:rsid w:val="00D406E3"/>
    <w:rsid w:val="00D60A43"/>
    <w:rsid w:val="00D657E3"/>
    <w:rsid w:val="00D70320"/>
    <w:rsid w:val="00D9289A"/>
    <w:rsid w:val="00DA0548"/>
    <w:rsid w:val="00DA3DE9"/>
    <w:rsid w:val="00DA5572"/>
    <w:rsid w:val="00DA61B2"/>
    <w:rsid w:val="00DC0AFE"/>
    <w:rsid w:val="00DD4083"/>
    <w:rsid w:val="00DD4B47"/>
    <w:rsid w:val="00E021F0"/>
    <w:rsid w:val="00E02F9F"/>
    <w:rsid w:val="00E161F9"/>
    <w:rsid w:val="00E34AD8"/>
    <w:rsid w:val="00E51EBD"/>
    <w:rsid w:val="00E608B0"/>
    <w:rsid w:val="00E643F6"/>
    <w:rsid w:val="00E66293"/>
    <w:rsid w:val="00E71E7B"/>
    <w:rsid w:val="00E76E89"/>
    <w:rsid w:val="00E871EC"/>
    <w:rsid w:val="00E93F59"/>
    <w:rsid w:val="00ED61F3"/>
    <w:rsid w:val="00EF7061"/>
    <w:rsid w:val="00EF7E50"/>
    <w:rsid w:val="00F02961"/>
    <w:rsid w:val="00F274DA"/>
    <w:rsid w:val="00F275ED"/>
    <w:rsid w:val="00F36F2F"/>
    <w:rsid w:val="00F53A37"/>
    <w:rsid w:val="00F54DE4"/>
    <w:rsid w:val="00F63DCC"/>
    <w:rsid w:val="00F64DD5"/>
    <w:rsid w:val="00F6688E"/>
    <w:rsid w:val="00F74698"/>
    <w:rsid w:val="00F765AC"/>
    <w:rsid w:val="00F83E8D"/>
    <w:rsid w:val="00F87537"/>
    <w:rsid w:val="00FA0DF7"/>
    <w:rsid w:val="00FB6184"/>
    <w:rsid w:val="00FB6C69"/>
    <w:rsid w:val="00FB7015"/>
    <w:rsid w:val="00FC7D52"/>
    <w:rsid w:val="00FD3910"/>
    <w:rsid w:val="00FD419C"/>
    <w:rsid w:val="00FE3F59"/>
    <w:rsid w:val="0AFD2517"/>
    <w:rsid w:val="3AA3797A"/>
    <w:rsid w:val="574C7298"/>
    <w:rsid w:val="72A3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9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</w:pPr>
    <w:rPr>
      <w:rFonts w:ascii="Times New Roman" w:hAnsi="Times New Roman" w:eastAsiaTheme="minorEastAsia" w:cstheme="minorBidi"/>
      <w:kern w:val="0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25"/>
    <w:qFormat/>
    <w:uiPriority w:val="2"/>
    <w:pPr>
      <w:numPr>
        <w:ilvl w:val="0"/>
        <w:numId w:val="1"/>
      </w:numPr>
      <w:spacing w:before="240"/>
      <w:ind w:firstLine="0" w:firstLineChars="0"/>
      <w:outlineLvl w:val="0"/>
    </w:pPr>
    <w:rPr>
      <w:rFonts w:eastAsia="Cambria" w:cs="Times New Roman"/>
      <w:b/>
      <w:szCs w:val="24"/>
    </w:rPr>
  </w:style>
  <w:style w:type="paragraph" w:styleId="4">
    <w:name w:val="heading 2"/>
    <w:basedOn w:val="2"/>
    <w:next w:val="1"/>
    <w:link w:val="26"/>
    <w:qFormat/>
    <w:uiPriority w:val="9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27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28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29"/>
    <w:qFormat/>
    <w:uiPriority w:val="2"/>
    <w:pPr>
      <w:numPr>
        <w:ilvl w:val="4"/>
      </w:numPr>
      <w:outlineLvl w:val="4"/>
    </w:p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99"/>
    <w:pPr>
      <w:ind w:firstLine="420" w:firstLineChars="200"/>
    </w:pPr>
  </w:style>
  <w:style w:type="paragraph" w:styleId="8">
    <w:name w:val="annotation text"/>
    <w:basedOn w:val="1"/>
    <w:link w:val="33"/>
    <w:unhideWhenUsed/>
    <w:qFormat/>
    <w:uiPriority w:val="99"/>
    <w:pPr>
      <w:widowControl w:val="0"/>
      <w:spacing w:before="0" w:after="160" w:line="259" w:lineRule="auto"/>
    </w:pPr>
    <w:rPr>
      <w:rFonts w:ascii="Calibri" w:hAnsi="Calibri" w:eastAsia="宋体" w:cs="Times New Roman"/>
      <w:kern w:val="2"/>
      <w:sz w:val="21"/>
      <w:szCs w:val="24"/>
      <w:lang w:eastAsia="zh-CN"/>
    </w:rPr>
  </w:style>
  <w:style w:type="paragraph" w:styleId="9">
    <w:name w:val="Balloon Text"/>
    <w:basedOn w:val="1"/>
    <w:link w:val="34"/>
    <w:semiHidden/>
    <w:unhideWhenUsed/>
    <w:qFormat/>
    <w:uiPriority w:val="99"/>
    <w:pPr>
      <w:widowControl w:val="0"/>
      <w:spacing w:before="0" w:after="160" w:line="259" w:lineRule="auto"/>
      <w:jc w:val="both"/>
    </w:pPr>
    <w:rPr>
      <w:rFonts w:ascii="Calibri" w:hAnsi="Calibri" w:eastAsia="宋体" w:cs="Times New Roman"/>
      <w:kern w:val="2"/>
      <w:sz w:val="18"/>
      <w:szCs w:val="18"/>
      <w:lang w:eastAsia="zh-CN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2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/>
      <w:b/>
      <w:bCs/>
      <w:kern w:val="28"/>
      <w:sz w:val="32"/>
      <w:szCs w:val="32"/>
    </w:rPr>
  </w:style>
  <w:style w:type="paragraph" w:styleId="13">
    <w:name w:val="footnote text"/>
    <w:basedOn w:val="1"/>
    <w:link w:val="30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5">
    <w:name w:val="annotation subject"/>
    <w:basedOn w:val="8"/>
    <w:next w:val="8"/>
    <w:link w:val="35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39"/>
    <w:rPr>
      <w:rFonts w:asciiTheme="majorHAnsi" w:hAnsiTheme="majorHAnsi"/>
      <w:kern w:val="0"/>
      <w:sz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line number"/>
    <w:basedOn w:val="18"/>
    <w:semiHidden/>
    <w:unhideWhenUsed/>
    <w:uiPriority w:val="99"/>
  </w:style>
  <w:style w:type="character" w:styleId="20">
    <w:name w:val="Hyperlink"/>
    <w:basedOn w:val="18"/>
    <w:unhideWhenUsed/>
    <w:qFormat/>
    <w:uiPriority w:val="99"/>
    <w:rPr>
      <w:color w:val="0000FF"/>
      <w:u w:val="single"/>
    </w:rPr>
  </w:style>
  <w:style w:type="character" w:styleId="21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styleId="22">
    <w:name w:val="footnote reference"/>
    <w:basedOn w:val="18"/>
    <w:semiHidden/>
    <w:unhideWhenUsed/>
    <w:qFormat/>
    <w:uiPriority w:val="99"/>
    <w:rPr>
      <w:vertAlign w:val="superscript"/>
    </w:rPr>
  </w:style>
  <w:style w:type="character" w:customStyle="1" w:styleId="23">
    <w:name w:val="页眉 Char"/>
    <w:basedOn w:val="18"/>
    <w:link w:val="11"/>
    <w:qFormat/>
    <w:uiPriority w:val="99"/>
    <w:rPr>
      <w:rFonts w:ascii="Times New Roman" w:hAnsi="Times New Roman"/>
      <w:kern w:val="0"/>
      <w:sz w:val="18"/>
      <w:szCs w:val="18"/>
      <w:lang w:eastAsia="en-US"/>
    </w:rPr>
  </w:style>
  <w:style w:type="character" w:customStyle="1" w:styleId="24">
    <w:name w:val="页脚 Char"/>
    <w:basedOn w:val="18"/>
    <w:link w:val="10"/>
    <w:qFormat/>
    <w:uiPriority w:val="99"/>
    <w:rPr>
      <w:rFonts w:ascii="Times New Roman" w:hAnsi="Times New Roman"/>
      <w:kern w:val="0"/>
      <w:sz w:val="18"/>
      <w:szCs w:val="18"/>
      <w:lang w:eastAsia="en-US"/>
    </w:rPr>
  </w:style>
  <w:style w:type="character" w:customStyle="1" w:styleId="25">
    <w:name w:val="标题 1 Char"/>
    <w:basedOn w:val="18"/>
    <w:link w:val="2"/>
    <w:qFormat/>
    <w:uiPriority w:val="2"/>
    <w:rPr>
      <w:rFonts w:ascii="Times New Roman" w:hAnsi="Times New Roman" w:eastAsia="Cambria" w:cs="Times New Roman"/>
      <w:b/>
      <w:kern w:val="0"/>
      <w:sz w:val="24"/>
      <w:szCs w:val="24"/>
      <w:lang w:eastAsia="en-US"/>
    </w:rPr>
  </w:style>
  <w:style w:type="character" w:customStyle="1" w:styleId="26">
    <w:name w:val="标题 2 Char"/>
    <w:basedOn w:val="18"/>
    <w:link w:val="4"/>
    <w:qFormat/>
    <w:uiPriority w:val="9"/>
    <w:rPr>
      <w:rFonts w:ascii="Times New Roman" w:hAnsi="Times New Roman" w:eastAsia="Cambria" w:cs="Times New Roman"/>
      <w:b/>
      <w:kern w:val="0"/>
      <w:sz w:val="24"/>
      <w:szCs w:val="24"/>
      <w:lang w:eastAsia="en-US"/>
    </w:rPr>
  </w:style>
  <w:style w:type="character" w:customStyle="1" w:styleId="27">
    <w:name w:val="标题 3 Char"/>
    <w:basedOn w:val="18"/>
    <w:link w:val="5"/>
    <w:qFormat/>
    <w:uiPriority w:val="2"/>
    <w:rPr>
      <w:rFonts w:ascii="Times New Roman" w:hAnsi="Times New Roman" w:eastAsiaTheme="majorEastAsia" w:cstheme="majorBidi"/>
      <w:b/>
      <w:kern w:val="0"/>
      <w:sz w:val="24"/>
      <w:szCs w:val="24"/>
      <w:lang w:eastAsia="en-US"/>
    </w:rPr>
  </w:style>
  <w:style w:type="character" w:customStyle="1" w:styleId="28">
    <w:name w:val="标题 4 Char"/>
    <w:basedOn w:val="18"/>
    <w:link w:val="6"/>
    <w:qFormat/>
    <w:uiPriority w:val="2"/>
    <w:rPr>
      <w:rFonts w:ascii="Times New Roman" w:hAnsi="Times New Roman" w:eastAsiaTheme="majorEastAsia" w:cstheme="majorBidi"/>
      <w:b/>
      <w:iCs/>
      <w:kern w:val="0"/>
      <w:sz w:val="24"/>
      <w:szCs w:val="24"/>
      <w:lang w:eastAsia="en-US"/>
    </w:rPr>
  </w:style>
  <w:style w:type="character" w:customStyle="1" w:styleId="29">
    <w:name w:val="标题 5 Char"/>
    <w:basedOn w:val="18"/>
    <w:link w:val="7"/>
    <w:uiPriority w:val="2"/>
    <w:rPr>
      <w:rFonts w:ascii="Times New Roman" w:hAnsi="Times New Roman" w:eastAsiaTheme="majorEastAsia" w:cstheme="majorBidi"/>
      <w:b/>
      <w:iCs/>
      <w:kern w:val="0"/>
      <w:sz w:val="24"/>
      <w:szCs w:val="24"/>
      <w:lang w:eastAsia="en-US"/>
    </w:rPr>
  </w:style>
  <w:style w:type="character" w:customStyle="1" w:styleId="30">
    <w:name w:val="脚注文本 Char"/>
    <w:basedOn w:val="18"/>
    <w:link w:val="13"/>
    <w:semiHidden/>
    <w:qFormat/>
    <w:uiPriority w:val="99"/>
    <w:rPr>
      <w:rFonts w:ascii="Times New Roman" w:hAnsi="Times New Roman"/>
      <w:kern w:val="0"/>
      <w:sz w:val="20"/>
      <w:szCs w:val="20"/>
      <w:lang w:eastAsia="en-US"/>
    </w:rPr>
  </w:style>
  <w:style w:type="paragraph" w:customStyle="1" w:styleId="31">
    <w:name w:val="Author List"/>
    <w:basedOn w:val="12"/>
    <w:next w:val="1"/>
    <w:qFormat/>
    <w:uiPriority w:val="0"/>
    <w:pPr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customStyle="1" w:styleId="32">
    <w:name w:val="副标题 Char"/>
    <w:basedOn w:val="18"/>
    <w:link w:val="12"/>
    <w:uiPriority w:val="11"/>
    <w:rPr>
      <w:b/>
      <w:bCs/>
      <w:kern w:val="28"/>
      <w:sz w:val="32"/>
      <w:szCs w:val="32"/>
      <w:lang w:eastAsia="en-US"/>
    </w:rPr>
  </w:style>
  <w:style w:type="character" w:customStyle="1" w:styleId="33">
    <w:name w:val="批注文字 Char"/>
    <w:basedOn w:val="18"/>
    <w:link w:val="8"/>
    <w:qFormat/>
    <w:uiPriority w:val="99"/>
    <w:rPr>
      <w:rFonts w:ascii="Calibri" w:hAnsi="Calibri" w:eastAsia="宋体" w:cs="Times New Roman"/>
      <w:szCs w:val="24"/>
    </w:rPr>
  </w:style>
  <w:style w:type="character" w:customStyle="1" w:styleId="34">
    <w:name w:val="批注框文本 Char"/>
    <w:basedOn w:val="18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5">
    <w:name w:val="批注主题 Char"/>
    <w:basedOn w:val="33"/>
    <w:link w:val="15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paragraph" w:customStyle="1" w:styleId="36">
    <w:name w:val="EndNote Bibliography Title"/>
    <w:basedOn w:val="1"/>
    <w:link w:val="37"/>
    <w:qFormat/>
    <w:uiPriority w:val="0"/>
    <w:pPr>
      <w:widowControl w:val="0"/>
      <w:spacing w:before="0" w:after="160" w:line="259" w:lineRule="auto"/>
      <w:jc w:val="center"/>
    </w:pPr>
    <w:rPr>
      <w:rFonts w:ascii="Calibri" w:hAnsi="Calibri" w:eastAsia="宋体" w:cs="Calibri"/>
      <w:kern w:val="2"/>
      <w:sz w:val="20"/>
      <w:szCs w:val="24"/>
      <w:lang w:eastAsia="zh-CN"/>
    </w:rPr>
  </w:style>
  <w:style w:type="character" w:customStyle="1" w:styleId="37">
    <w:name w:val="EndNote Bibliography Title Char"/>
    <w:basedOn w:val="18"/>
    <w:link w:val="36"/>
    <w:qFormat/>
    <w:uiPriority w:val="0"/>
    <w:rPr>
      <w:rFonts w:ascii="Calibri" w:hAnsi="Calibri" w:eastAsia="宋体" w:cs="Calibri"/>
      <w:sz w:val="20"/>
      <w:szCs w:val="24"/>
    </w:rPr>
  </w:style>
  <w:style w:type="paragraph" w:customStyle="1" w:styleId="38">
    <w:name w:val="EndNote Bibliography"/>
    <w:basedOn w:val="1"/>
    <w:link w:val="39"/>
    <w:qFormat/>
    <w:uiPriority w:val="0"/>
    <w:pPr>
      <w:widowControl w:val="0"/>
      <w:spacing w:before="0" w:after="160" w:line="259" w:lineRule="auto"/>
      <w:jc w:val="both"/>
    </w:pPr>
    <w:rPr>
      <w:rFonts w:ascii="Calibri" w:hAnsi="Calibri" w:eastAsia="宋体" w:cs="Calibri"/>
      <w:kern w:val="2"/>
      <w:sz w:val="20"/>
      <w:szCs w:val="24"/>
      <w:lang w:eastAsia="zh-CN"/>
    </w:rPr>
  </w:style>
  <w:style w:type="character" w:customStyle="1" w:styleId="39">
    <w:name w:val="EndNote Bibliography Char"/>
    <w:basedOn w:val="18"/>
    <w:link w:val="38"/>
    <w:qFormat/>
    <w:uiPriority w:val="0"/>
    <w:rPr>
      <w:rFonts w:ascii="Calibri" w:hAnsi="Calibri" w:eastAsia="宋体" w:cs="Calibri"/>
      <w:sz w:val="20"/>
      <w:szCs w:val="24"/>
    </w:rPr>
  </w:style>
  <w:style w:type="paragraph" w:customStyle="1" w:styleId="40">
    <w:name w:val="EndNote Category Heading"/>
    <w:basedOn w:val="1"/>
    <w:link w:val="41"/>
    <w:qFormat/>
    <w:uiPriority w:val="0"/>
    <w:pPr>
      <w:widowControl w:val="0"/>
      <w:spacing w:after="120" w:line="259" w:lineRule="auto"/>
    </w:pPr>
    <w:rPr>
      <w:rFonts w:ascii="Calibri" w:hAnsi="Calibri" w:eastAsia="宋体" w:cs="Times New Roman"/>
      <w:b/>
      <w:kern w:val="2"/>
      <w:sz w:val="21"/>
      <w:szCs w:val="24"/>
      <w:lang w:eastAsia="zh-CN"/>
    </w:rPr>
  </w:style>
  <w:style w:type="character" w:customStyle="1" w:styleId="41">
    <w:name w:val="EndNote Category Heading Char"/>
    <w:basedOn w:val="18"/>
    <w:link w:val="40"/>
    <w:qFormat/>
    <w:uiPriority w:val="0"/>
    <w:rPr>
      <w:rFonts w:ascii="Calibri" w:hAnsi="Calibri" w:eastAsia="宋体" w:cs="Times New Roman"/>
      <w:b/>
      <w:szCs w:val="24"/>
    </w:rPr>
  </w:style>
  <w:style w:type="paragraph" w:customStyle="1" w:styleId="42">
    <w:name w:val="Revision"/>
    <w:hidden/>
    <w:semiHidden/>
    <w:uiPriority w:val="99"/>
    <w:rPr>
      <w:rFonts w:ascii="Times New Roman" w:hAnsi="Times New Roman" w:eastAsiaTheme="minorEastAsia" w:cstheme="minorBidi"/>
      <w:kern w:val="0"/>
      <w:sz w:val="24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74B74B-FF9E-40F1-8EC9-07C18A5F1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11210</Words>
  <Characters>63900</Characters>
  <Lines>532</Lines>
  <Paragraphs>149</Paragraphs>
  <TotalTime>53</TotalTime>
  <ScaleCrop>false</ScaleCrop>
  <LinksUpToDate>false</LinksUpToDate>
  <CharactersWithSpaces>74961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2020-07-25T08:02:00Z</dcterms:created>
  <dc:creator>admin</dc:creator>
  <cp:lastModifiedBy>YIKAI YANG</cp:lastModifiedBy>
  <dcterms:modified xsi:type="dcterms:W3CDTF">2020-07-26T03:31:44Z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