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4793615"/>
            <wp:effectExtent l="0" t="0" r="10160" b="6985"/>
            <wp:docPr id="1" name="图片 1" descr="Fig.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rFonts w:hint="default" w:ascii="Times New Roman" w:hAnsi="Times New Roman" w:eastAsia="Arial Unicode MS" w:cs="Times New Roman"/>
          <w:kern w:val="0"/>
          <w:sz w:val="24"/>
          <w:szCs w:val="24"/>
        </w:rPr>
      </w:pPr>
      <w:r>
        <w:rPr>
          <w:rFonts w:hint="default" w:ascii="Times New Roman" w:hAnsi="Times New Roman" w:eastAsia="Arial Unicode MS" w:cs="Times New Roman"/>
          <w:kern w:val="0"/>
          <w:sz w:val="24"/>
          <w:szCs w:val="24"/>
        </w:rPr>
        <w:t>On day four post-infection, the mice (n = 6, per group) were euthanized. Lung tissues were harvested for histopathology</w:t>
      </w:r>
      <w:r>
        <w:rPr>
          <w:rFonts w:hint="eastAsia" w:ascii="Times New Roman" w:hAnsi="Times New Roman" w:eastAsia="Arial Unicode MS" w:cs="Times New Roman"/>
          <w:kern w:val="0"/>
          <w:sz w:val="24"/>
          <w:szCs w:val="24"/>
          <w:lang w:val="en-US" w:eastAsia="zh-CN"/>
        </w:rPr>
        <w:t>. T</w:t>
      </w:r>
      <w:r>
        <w:rPr>
          <w:rFonts w:hint="default" w:ascii="Times New Roman" w:hAnsi="Times New Roman" w:eastAsia="Arial Unicode MS" w:cs="Times New Roman"/>
          <w:kern w:val="0"/>
          <w:sz w:val="24"/>
          <w:szCs w:val="24"/>
        </w:rPr>
        <w:t xml:space="preserve">he left lobes of the lung were suspended in PBS-buffered formalin. They were then preserved in paraffin blocks using standard procedures. 10-µm tissue sections were cut, placed on glass slides, and stained with hematoxylin and eosin (HE) using conventional techniques. 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Fig.S2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19170" cy="3013710"/>
            <wp:effectExtent l="0" t="0" r="11430" b="8890"/>
            <wp:docPr id="2" name="图片 2" descr="Cytotocixity in ANA-1 c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ytotocixity in ANA-1 cell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420"/>
        <w:rPr>
          <w:rFonts w:hint="default" w:ascii="Times New Roman" w:hAnsi="Times New Roman" w:eastAsia="宋体" w:cs="Times New Roman"/>
          <w:kern w:val="0"/>
          <w:sz w:val="24"/>
          <w:lang w:val="en-US" w:eastAsia="zh-CN"/>
        </w:rPr>
      </w:pPr>
      <w:r>
        <w:rPr>
          <w:rFonts w:hint="default" w:ascii="Times New Roman" w:hAnsi="Times New Roman" w:eastAsia="Arial Unicode MS" w:cs="Times New Roman"/>
          <w:kern w:val="0"/>
          <w:sz w:val="24"/>
        </w:rPr>
        <w:t xml:space="preserve">Murine </w:t>
      </w:r>
      <w:r>
        <w:rPr>
          <w:rFonts w:hint="default" w:ascii="Times New Roman" w:hAnsi="Times New Roman" w:eastAsia="宋体" w:cs="Times New Roman"/>
          <w:kern w:val="0"/>
          <w:sz w:val="24"/>
          <w:lang w:eastAsia="zh-CN"/>
        </w:rPr>
        <w:t>ANA-1</w:t>
      </w:r>
      <w:r>
        <w:rPr>
          <w:rFonts w:hint="default" w:ascii="Times New Roman" w:hAnsi="Times New Roman" w:eastAsia="Arial Unicode MS" w:cs="Times New Roman"/>
          <w:kern w:val="0"/>
          <w:sz w:val="24"/>
        </w:rPr>
        <w:t xml:space="preserve"> macrophages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Arial Unicode MS" w:cs="Times New Roman"/>
          <w:kern w:val="0"/>
          <w:sz w:val="24"/>
        </w:rPr>
        <w:t xml:space="preserve">were cultured in RPMI 1640 medium 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(1</w:t>
      </w:r>
      <w:r>
        <w:rPr>
          <w:rFonts w:hint="default" w:ascii="Arial" w:hAnsi="Arial" w:eastAsia="宋体" w:cs="Arial"/>
          <w:kern w:val="0"/>
          <w:sz w:val="24"/>
          <w:lang w:val="en-US" w:eastAsia="zh-CN"/>
        </w:rPr>
        <w:t>×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10</w:t>
      </w:r>
      <w:r>
        <w:rPr>
          <w:rFonts w:hint="eastAsia" w:ascii="Times New Roman" w:hAnsi="Times New Roman" w:eastAsia="宋体" w:cs="Times New Roman"/>
          <w:kern w:val="0"/>
          <w:sz w:val="24"/>
          <w:vertAlign w:val="superscript"/>
          <w:lang w:val="en-US" w:eastAsia="zh-CN"/>
        </w:rPr>
        <w:t xml:space="preserve">5 </w:t>
      </w:r>
      <w:r>
        <w:rPr>
          <w:rFonts w:hint="eastAsia" w:ascii="Times New Roman" w:hAnsi="Times New Roman" w:eastAsia="宋体" w:cs="Times New Roman"/>
          <w:kern w:val="0"/>
          <w:sz w:val="24"/>
          <w:vertAlign w:val="baseline"/>
          <w:lang w:val="en-US" w:eastAsia="zh-CN"/>
        </w:rPr>
        <w:t>cells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/ml, 1</w:t>
      </w:r>
      <w:r>
        <w:rPr>
          <w:rFonts w:hint="default" w:ascii="Arial" w:hAnsi="Arial" w:eastAsia="宋体" w:cs="Arial"/>
          <w:kern w:val="0"/>
          <w:sz w:val="24"/>
          <w:lang w:val="en-US" w:eastAsia="zh-CN"/>
        </w:rPr>
        <w:t>×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10</w:t>
      </w:r>
      <w:r>
        <w:rPr>
          <w:rFonts w:hint="eastAsia" w:ascii="Times New Roman" w:hAnsi="Times New Roman" w:eastAsia="宋体" w:cs="Times New Roman"/>
          <w:kern w:val="0"/>
          <w:sz w:val="24"/>
          <w:vertAlign w:val="superscript"/>
          <w:lang w:val="en-US" w:eastAsia="zh-CN"/>
        </w:rPr>
        <w:t xml:space="preserve">4 </w:t>
      </w:r>
      <w:r>
        <w:rPr>
          <w:rFonts w:hint="eastAsia" w:ascii="Times New Roman" w:hAnsi="Times New Roman" w:eastAsia="宋体" w:cs="Times New Roman"/>
          <w:kern w:val="0"/>
          <w:sz w:val="24"/>
          <w:vertAlign w:val="baseline"/>
          <w:lang w:val="en-US" w:eastAsia="zh-CN"/>
        </w:rPr>
        <w:t xml:space="preserve">cells 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 xml:space="preserve">per well in 96-well plate) for 24 hours and </w:t>
      </w:r>
      <w:r>
        <w:rPr>
          <w:rFonts w:hint="default" w:ascii="Times New Roman" w:hAnsi="Times New Roman" w:eastAsia="Arial Unicode MS" w:cs="Times New Roman"/>
          <w:kern w:val="0"/>
          <w:sz w:val="24"/>
        </w:rPr>
        <w:t xml:space="preserve">then transferred to </w:t>
      </w:r>
      <w:r>
        <w:rPr>
          <w:rFonts w:hint="default" w:ascii="Times New Roman" w:hAnsi="Times New Roman" w:eastAsia="Arial Unicode MS" w:cs="Times New Roman"/>
          <w:color w:val="000000"/>
          <w:kern w:val="0"/>
          <w:sz w:val="24"/>
        </w:rPr>
        <w:t xml:space="preserve">BA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val="en-US" w:eastAsia="zh-CN"/>
        </w:rPr>
        <w:t xml:space="preserve">solution. After 48 hours incubation, the cell viability was determined by CCK8 method. 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DE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2020-06-22T04:28:09Z</dcterms:created>
  <dc:creator>shixunlong</dc:creator>
  <cp:lastModifiedBy>dr.shi</cp:lastModifiedBy>
  <dcterms:modified xsi:type="dcterms:W3CDTF">2020-06-22T04:41:49Z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