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E4" w:rsidRDefault="00717DE4" w:rsidP="00717DE4">
      <w:pPr>
        <w:pStyle w:val="NormalWeb"/>
        <w:shd w:val="clear" w:color="auto" w:fill="FFFFFF"/>
        <w:spacing w:before="0" w:beforeAutospacing="0" w:after="0" w:afterAutospacing="0" w:line="480" w:lineRule="auto"/>
        <w:ind w:left="-300" w:right="-300" w:firstLine="300"/>
        <w:jc w:val="center"/>
        <w:rPr>
          <w:b/>
          <w:bCs/>
          <w:color w:val="000000"/>
        </w:rPr>
      </w:pPr>
      <w:r>
        <w:rPr>
          <w:b/>
          <w:bCs/>
          <w:color w:val="000000"/>
        </w:rPr>
        <w:t>Appendix B</w:t>
      </w:r>
    </w:p>
    <w:p w:rsidR="00717DE4" w:rsidRDefault="00717DE4" w:rsidP="00717DE4">
      <w:pPr>
        <w:pStyle w:val="NormalWeb"/>
        <w:shd w:val="clear" w:color="auto" w:fill="FFFFFF"/>
        <w:spacing w:before="0" w:beforeAutospacing="0" w:after="0" w:afterAutospacing="0" w:line="480" w:lineRule="auto"/>
        <w:ind w:left="-300" w:right="-300" w:firstLine="300"/>
        <w:jc w:val="center"/>
      </w:pPr>
      <w:r>
        <w:rPr>
          <w:b/>
          <w:bCs/>
          <w:color w:val="000000"/>
        </w:rPr>
        <w:t xml:space="preserve">Study </w:t>
      </w:r>
      <w:proofErr w:type="gramStart"/>
      <w:r>
        <w:rPr>
          <w:b/>
          <w:bCs/>
          <w:color w:val="000000"/>
        </w:rPr>
        <w:t>1</w:t>
      </w:r>
      <w:proofErr w:type="gramEnd"/>
      <w:r>
        <w:rPr>
          <w:b/>
          <w:bCs/>
          <w:color w:val="000000"/>
        </w:rPr>
        <w:t xml:space="preserve"> Analysis with full </w:t>
      </w:r>
      <w:r w:rsidRPr="00646590">
        <w:rPr>
          <w:b/>
          <w:bCs/>
          <w:color w:val="000000"/>
        </w:rPr>
        <w:t>COVID-19 Threat Scale</w:t>
      </w:r>
    </w:p>
    <w:p w:rsidR="00717DE4" w:rsidRDefault="00717DE4" w:rsidP="00717DE4">
      <w:pPr>
        <w:pStyle w:val="NormalWeb"/>
        <w:shd w:val="clear" w:color="auto" w:fill="FFFFFF"/>
        <w:spacing w:before="0" w:beforeAutospacing="0" w:after="0" w:afterAutospacing="0" w:line="276" w:lineRule="auto"/>
        <w:ind w:left="-300" w:right="-300" w:firstLine="300"/>
        <w:rPr>
          <w:color w:val="000000"/>
        </w:rPr>
      </w:pPr>
      <w:r>
        <w:rPr>
          <w:color w:val="000000"/>
        </w:rPr>
        <w:t xml:space="preserve">The following is the result section of Study 1 with the </w:t>
      </w:r>
      <w:r w:rsidRPr="00646590">
        <w:rPr>
          <w:color w:val="000000"/>
        </w:rPr>
        <w:t>full COVID-19 Threat Scale</w:t>
      </w:r>
      <w:r>
        <w:rPr>
          <w:color w:val="000000"/>
        </w:rPr>
        <w:t xml:space="preserve"> instead of the revised </w:t>
      </w:r>
      <w:r w:rsidRPr="00646590">
        <w:rPr>
          <w:color w:val="000000"/>
        </w:rPr>
        <w:t>COVID-19 Threat Scale</w:t>
      </w:r>
      <w:r>
        <w:rPr>
          <w:color w:val="000000"/>
        </w:rPr>
        <w:t>. The analyses described are identical to those reported in the publication.</w:t>
      </w:r>
    </w:p>
    <w:p w:rsidR="00717DE4" w:rsidRPr="00717DE4" w:rsidRDefault="00717DE4" w:rsidP="00717DE4">
      <w:pPr>
        <w:spacing w:after="0" w:line="480" w:lineRule="auto"/>
        <w:ind w:left="-284" w:firstLine="300"/>
        <w:rPr>
          <w:rFonts w:ascii="Times New Roman" w:hAnsi="Times New Roman" w:cs="Times New Roman"/>
          <w:b/>
          <w:bCs/>
          <w:i/>
          <w:iCs/>
          <w:sz w:val="24"/>
          <w:szCs w:val="24"/>
          <w:lang w:val="en-US"/>
        </w:rPr>
      </w:pPr>
    </w:p>
    <w:p w:rsidR="00717DE4" w:rsidRPr="00717DE4" w:rsidRDefault="00717DE4" w:rsidP="00717DE4">
      <w:pPr>
        <w:spacing w:after="0" w:line="480" w:lineRule="auto"/>
        <w:ind w:left="-284"/>
        <w:rPr>
          <w:rFonts w:ascii="Times New Roman" w:hAnsi="Times New Roman" w:cs="Times New Roman"/>
          <w:b/>
          <w:bCs/>
          <w:i/>
          <w:iCs/>
          <w:sz w:val="24"/>
          <w:szCs w:val="24"/>
          <w:lang w:val="en-US"/>
        </w:rPr>
      </w:pPr>
      <w:r w:rsidRPr="00717DE4">
        <w:rPr>
          <w:rFonts w:ascii="Times New Roman" w:hAnsi="Times New Roman" w:cs="Times New Roman"/>
          <w:b/>
          <w:bCs/>
          <w:i/>
          <w:iCs/>
          <w:sz w:val="24"/>
          <w:szCs w:val="24"/>
          <w:lang w:val="en-US"/>
        </w:rPr>
        <w:t>Results</w:t>
      </w:r>
    </w:p>
    <w:p w:rsidR="00717DE4" w:rsidRPr="00717DE4" w:rsidRDefault="00717DE4" w:rsidP="00717DE4">
      <w:pPr>
        <w:spacing w:after="0" w:line="480" w:lineRule="auto"/>
        <w:ind w:left="-284"/>
        <w:rPr>
          <w:rFonts w:ascii="Times New Roman" w:hAnsi="Times New Roman" w:cs="Times New Roman"/>
          <w:sz w:val="24"/>
          <w:szCs w:val="24"/>
          <w:lang w:val="en-US"/>
        </w:rPr>
      </w:pPr>
      <w:r w:rsidRPr="00717DE4">
        <w:rPr>
          <w:rFonts w:ascii="Times New Roman" w:hAnsi="Times New Roman" w:cs="Times New Roman"/>
          <w:sz w:val="24"/>
          <w:szCs w:val="24"/>
          <w:lang w:val="en-US"/>
        </w:rPr>
        <w:tab/>
        <w:t xml:space="preserve">As expected, COVID-19 threat levels were associated with greater activation of the BIS, </w:t>
      </w:r>
      <w:r w:rsidRPr="00717DE4">
        <w:rPr>
          <w:rFonts w:ascii="Times New Roman" w:hAnsi="Times New Roman" w:cs="Times New Roman"/>
          <w:i/>
          <w:iCs/>
          <w:sz w:val="24"/>
          <w:szCs w:val="24"/>
          <w:lang w:val="en-US"/>
        </w:rPr>
        <w:t>r</w:t>
      </w:r>
      <w:r w:rsidRPr="00717DE4">
        <w:rPr>
          <w:rFonts w:ascii="Times New Roman" w:hAnsi="Times New Roman" w:cs="Times New Roman"/>
          <w:sz w:val="24"/>
          <w:szCs w:val="24"/>
          <w:lang w:val="en-US"/>
        </w:rPr>
        <w:t xml:space="preserve">(356) = .57, </w:t>
      </w:r>
      <w:r w:rsidRPr="00717DE4">
        <w:rPr>
          <w:rFonts w:ascii="Times New Roman" w:hAnsi="Times New Roman" w:cs="Times New Roman"/>
          <w:i/>
          <w:iCs/>
          <w:sz w:val="24"/>
          <w:szCs w:val="24"/>
          <w:lang w:val="en-US"/>
        </w:rPr>
        <w:t xml:space="preserve">p </w:t>
      </w:r>
      <w:r w:rsidRPr="00717DE4">
        <w:rPr>
          <w:rFonts w:ascii="Times New Roman" w:hAnsi="Times New Roman" w:cs="Times New Roman"/>
          <w:sz w:val="24"/>
          <w:szCs w:val="24"/>
          <w:lang w:val="en-US"/>
        </w:rPr>
        <w:t xml:space="preserve">&lt; .001, 95% CIs [0.49, 0.66]. COVID-19 threat levels were also positively associated with ingroup entitativity, </w:t>
      </w:r>
      <w:r w:rsidRPr="00717DE4">
        <w:rPr>
          <w:rFonts w:ascii="Times New Roman" w:hAnsi="Times New Roman" w:cs="Times New Roman"/>
          <w:i/>
          <w:iCs/>
          <w:sz w:val="24"/>
          <w:szCs w:val="24"/>
          <w:lang w:val="en-US"/>
        </w:rPr>
        <w:t>r</w:t>
      </w:r>
      <w:r w:rsidRPr="00717DE4">
        <w:rPr>
          <w:rFonts w:ascii="Times New Roman" w:hAnsi="Times New Roman" w:cs="Times New Roman"/>
          <w:sz w:val="24"/>
          <w:szCs w:val="24"/>
          <w:lang w:val="en-US"/>
        </w:rPr>
        <w:t xml:space="preserve">(356) = .13, </w:t>
      </w:r>
      <w:r w:rsidRPr="00717DE4">
        <w:rPr>
          <w:rFonts w:ascii="Times New Roman" w:hAnsi="Times New Roman" w:cs="Times New Roman"/>
          <w:i/>
          <w:iCs/>
          <w:sz w:val="24"/>
          <w:szCs w:val="24"/>
          <w:lang w:val="en-US"/>
        </w:rPr>
        <w:t>p</w:t>
      </w:r>
      <w:r w:rsidRPr="00717DE4">
        <w:rPr>
          <w:rFonts w:ascii="Times New Roman" w:hAnsi="Times New Roman" w:cs="Times New Roman"/>
          <w:sz w:val="24"/>
          <w:szCs w:val="24"/>
          <w:lang w:val="en-US"/>
        </w:rPr>
        <w:t xml:space="preserve"> = .012, 95% CIs [0.03, 0.24], control restoration motivation, </w:t>
      </w:r>
      <w:r w:rsidRPr="00717DE4">
        <w:rPr>
          <w:rFonts w:ascii="Times New Roman" w:hAnsi="Times New Roman" w:cs="Times New Roman"/>
          <w:i/>
          <w:iCs/>
          <w:sz w:val="24"/>
          <w:szCs w:val="24"/>
          <w:lang w:val="en-US"/>
        </w:rPr>
        <w:t>r</w:t>
      </w:r>
      <w:r w:rsidRPr="00717DE4">
        <w:rPr>
          <w:rFonts w:ascii="Times New Roman" w:hAnsi="Times New Roman" w:cs="Times New Roman"/>
          <w:sz w:val="24"/>
          <w:szCs w:val="24"/>
          <w:lang w:val="en-US"/>
        </w:rPr>
        <w:t xml:space="preserve">(356) = .13, </w:t>
      </w:r>
      <w:r w:rsidRPr="00717DE4">
        <w:rPr>
          <w:rFonts w:ascii="Times New Roman" w:hAnsi="Times New Roman" w:cs="Times New Roman"/>
          <w:i/>
          <w:iCs/>
          <w:sz w:val="24"/>
          <w:szCs w:val="24"/>
          <w:lang w:val="en-US"/>
        </w:rPr>
        <w:t>p</w:t>
      </w:r>
      <w:r w:rsidRPr="00717DE4">
        <w:rPr>
          <w:rFonts w:ascii="Times New Roman" w:hAnsi="Times New Roman" w:cs="Times New Roman"/>
          <w:sz w:val="24"/>
          <w:szCs w:val="24"/>
          <w:lang w:val="en-US"/>
        </w:rPr>
        <w:t xml:space="preserve"> = .018, 95% CIs [0.02, 0.23], ingroup bias, </w:t>
      </w:r>
      <w:r w:rsidRPr="00717DE4">
        <w:rPr>
          <w:rFonts w:ascii="Times New Roman" w:hAnsi="Times New Roman" w:cs="Times New Roman"/>
          <w:i/>
          <w:iCs/>
          <w:sz w:val="24"/>
          <w:szCs w:val="24"/>
          <w:lang w:val="en-US"/>
        </w:rPr>
        <w:t>r</w:t>
      </w:r>
      <w:r w:rsidRPr="00717DE4">
        <w:rPr>
          <w:rFonts w:ascii="Times New Roman" w:hAnsi="Times New Roman" w:cs="Times New Roman"/>
          <w:sz w:val="24"/>
          <w:szCs w:val="24"/>
          <w:lang w:val="en-US"/>
        </w:rPr>
        <w:t xml:space="preserve">(356) = .11, </w:t>
      </w:r>
      <w:r w:rsidRPr="00717DE4">
        <w:rPr>
          <w:rFonts w:ascii="Times New Roman" w:hAnsi="Times New Roman" w:cs="Times New Roman"/>
          <w:i/>
          <w:iCs/>
          <w:sz w:val="24"/>
          <w:szCs w:val="24"/>
          <w:lang w:val="en-US"/>
        </w:rPr>
        <w:t>p</w:t>
      </w:r>
      <w:r w:rsidRPr="00717DE4">
        <w:rPr>
          <w:rFonts w:ascii="Times New Roman" w:hAnsi="Times New Roman" w:cs="Times New Roman"/>
          <w:sz w:val="24"/>
          <w:szCs w:val="24"/>
          <w:lang w:val="en-US"/>
        </w:rPr>
        <w:t xml:space="preserve"> = .04, 95% CIs [0.01, 0.21] and marginally positively associated with passive party support, </w:t>
      </w:r>
      <w:r w:rsidRPr="00717DE4">
        <w:rPr>
          <w:rFonts w:ascii="Times New Roman" w:hAnsi="Times New Roman" w:cs="Times New Roman"/>
          <w:i/>
          <w:iCs/>
          <w:sz w:val="24"/>
          <w:szCs w:val="24"/>
          <w:lang w:val="en-US"/>
        </w:rPr>
        <w:t>r</w:t>
      </w:r>
      <w:r w:rsidRPr="00717DE4">
        <w:rPr>
          <w:rFonts w:ascii="Times New Roman" w:hAnsi="Times New Roman" w:cs="Times New Roman"/>
          <w:sz w:val="24"/>
          <w:szCs w:val="24"/>
          <w:lang w:val="en-US"/>
        </w:rPr>
        <w:t xml:space="preserve">(356) = .09, </w:t>
      </w:r>
      <w:r w:rsidRPr="00717DE4">
        <w:rPr>
          <w:rFonts w:ascii="Times New Roman" w:hAnsi="Times New Roman" w:cs="Times New Roman"/>
          <w:i/>
          <w:iCs/>
          <w:sz w:val="24"/>
          <w:szCs w:val="24"/>
          <w:lang w:val="en-US"/>
        </w:rPr>
        <w:t>p</w:t>
      </w:r>
      <w:r w:rsidRPr="00717DE4">
        <w:rPr>
          <w:rFonts w:ascii="Times New Roman" w:hAnsi="Times New Roman" w:cs="Times New Roman"/>
          <w:sz w:val="24"/>
          <w:szCs w:val="24"/>
          <w:lang w:val="en-US"/>
        </w:rPr>
        <w:t xml:space="preserve"> = .077, 95% CIs [-0.01, 0.20]. No significant correlation emerged between COVID-19 threat levels and outgroup derogation </w:t>
      </w:r>
      <w:r w:rsidRPr="00717DE4">
        <w:rPr>
          <w:rFonts w:ascii="Times New Roman" w:hAnsi="Times New Roman" w:cs="Times New Roman"/>
          <w:i/>
          <w:iCs/>
          <w:sz w:val="24"/>
          <w:szCs w:val="24"/>
          <w:lang w:val="en-US"/>
        </w:rPr>
        <w:t>r</w:t>
      </w:r>
      <w:r w:rsidRPr="00717DE4">
        <w:rPr>
          <w:rFonts w:ascii="Times New Roman" w:hAnsi="Times New Roman" w:cs="Times New Roman"/>
          <w:sz w:val="24"/>
          <w:szCs w:val="24"/>
          <w:lang w:val="en-US"/>
        </w:rPr>
        <w:t xml:space="preserve">(356) = -.02, </w:t>
      </w:r>
      <w:r w:rsidRPr="00717DE4">
        <w:rPr>
          <w:rFonts w:ascii="Times New Roman" w:hAnsi="Times New Roman" w:cs="Times New Roman"/>
          <w:i/>
          <w:iCs/>
          <w:sz w:val="24"/>
          <w:szCs w:val="24"/>
          <w:lang w:val="en-US"/>
        </w:rPr>
        <w:t>p</w:t>
      </w:r>
      <w:r w:rsidRPr="00717DE4">
        <w:rPr>
          <w:rFonts w:ascii="Times New Roman" w:hAnsi="Times New Roman" w:cs="Times New Roman"/>
          <w:sz w:val="24"/>
          <w:szCs w:val="24"/>
          <w:lang w:val="en-US"/>
        </w:rPr>
        <w:t xml:space="preserve"> = .646, 95% CIs [-0.13, 0.08].</w:t>
      </w:r>
    </w:p>
    <w:p w:rsidR="00717DE4" w:rsidRPr="00717DE4" w:rsidRDefault="00717DE4" w:rsidP="00717DE4">
      <w:pPr>
        <w:spacing w:after="0" w:line="480" w:lineRule="auto"/>
        <w:ind w:left="-284"/>
        <w:rPr>
          <w:rFonts w:ascii="Times New Roman" w:hAnsi="Times New Roman" w:cs="Times New Roman"/>
          <w:sz w:val="24"/>
          <w:szCs w:val="24"/>
          <w:lang w:val="en-US"/>
        </w:rPr>
      </w:pPr>
      <w:r w:rsidRPr="00717DE4">
        <w:rPr>
          <w:rFonts w:ascii="Times New Roman" w:hAnsi="Times New Roman" w:cs="Times New Roman"/>
          <w:sz w:val="24"/>
          <w:szCs w:val="24"/>
          <w:lang w:val="en-US"/>
        </w:rPr>
        <w:tab/>
        <w:t xml:space="preserve">To test the hypothesized indirect associations between COVID-19 threat levels and the defense strategies over behavioral inhibition, we ran simple mediation analyses via Hayes’ SPSS PROCESS macro (Version 3.4) separately for each of the defense variables that were found to correlate positively with the activation level of the BIS. This was the case for ingroup entitativity, </w:t>
      </w:r>
      <w:r w:rsidRPr="00717DE4">
        <w:rPr>
          <w:rFonts w:ascii="Times New Roman" w:hAnsi="Times New Roman" w:cs="Times New Roman"/>
          <w:i/>
          <w:iCs/>
          <w:sz w:val="24"/>
          <w:szCs w:val="24"/>
          <w:lang w:val="en-US"/>
        </w:rPr>
        <w:t>r</w:t>
      </w:r>
      <w:r w:rsidRPr="00717DE4">
        <w:rPr>
          <w:rFonts w:ascii="Times New Roman" w:hAnsi="Times New Roman" w:cs="Times New Roman"/>
          <w:sz w:val="24"/>
          <w:szCs w:val="24"/>
          <w:lang w:val="en-US"/>
        </w:rPr>
        <w:t xml:space="preserve">(356) = .18, </w:t>
      </w:r>
      <w:r w:rsidRPr="00717DE4">
        <w:rPr>
          <w:rFonts w:ascii="Times New Roman" w:hAnsi="Times New Roman" w:cs="Times New Roman"/>
          <w:i/>
          <w:iCs/>
          <w:sz w:val="24"/>
          <w:szCs w:val="24"/>
          <w:lang w:val="en-US"/>
        </w:rPr>
        <w:t xml:space="preserve">p </w:t>
      </w:r>
      <w:r w:rsidRPr="00717DE4">
        <w:rPr>
          <w:rFonts w:ascii="Times New Roman" w:hAnsi="Times New Roman" w:cs="Times New Roman"/>
          <w:sz w:val="24"/>
          <w:szCs w:val="24"/>
          <w:lang w:val="en-US"/>
        </w:rPr>
        <w:t xml:space="preserve">= .001, 95% CIs [0.08, 0.28], control restoration motivation, </w:t>
      </w:r>
      <w:r w:rsidRPr="00717DE4">
        <w:rPr>
          <w:rFonts w:ascii="Times New Roman" w:hAnsi="Times New Roman" w:cs="Times New Roman"/>
          <w:i/>
          <w:iCs/>
          <w:sz w:val="24"/>
          <w:szCs w:val="24"/>
          <w:lang w:val="en-US"/>
        </w:rPr>
        <w:t>r</w:t>
      </w:r>
      <w:r w:rsidRPr="00717DE4">
        <w:rPr>
          <w:rFonts w:ascii="Times New Roman" w:hAnsi="Times New Roman" w:cs="Times New Roman"/>
          <w:sz w:val="24"/>
          <w:szCs w:val="24"/>
          <w:lang w:val="en-US"/>
        </w:rPr>
        <w:t>(356) = .20,</w:t>
      </w:r>
      <w:r w:rsidRPr="00717DE4">
        <w:rPr>
          <w:rFonts w:ascii="Times New Roman" w:hAnsi="Times New Roman" w:cs="Times New Roman"/>
          <w:i/>
          <w:iCs/>
          <w:sz w:val="24"/>
          <w:szCs w:val="24"/>
          <w:lang w:val="en-US"/>
        </w:rPr>
        <w:t xml:space="preserve"> p</w:t>
      </w:r>
      <w:r w:rsidRPr="00717DE4">
        <w:rPr>
          <w:rFonts w:ascii="Times New Roman" w:hAnsi="Times New Roman" w:cs="Times New Roman"/>
          <w:sz w:val="24"/>
          <w:szCs w:val="24"/>
          <w:lang w:val="en-US"/>
        </w:rPr>
        <w:t xml:space="preserve"> &lt; .001, 95% CIs [0.09, 0.30], and passive party support,</w:t>
      </w:r>
      <w:r w:rsidRPr="00717DE4">
        <w:rPr>
          <w:rFonts w:ascii="Times New Roman" w:hAnsi="Times New Roman" w:cs="Times New Roman"/>
          <w:i/>
          <w:iCs/>
          <w:sz w:val="24"/>
          <w:szCs w:val="24"/>
          <w:lang w:val="en-US"/>
        </w:rPr>
        <w:t xml:space="preserve"> r</w:t>
      </w:r>
      <w:r w:rsidRPr="00717DE4">
        <w:rPr>
          <w:rFonts w:ascii="Times New Roman" w:hAnsi="Times New Roman" w:cs="Times New Roman"/>
          <w:sz w:val="24"/>
          <w:szCs w:val="24"/>
          <w:lang w:val="en-US"/>
        </w:rPr>
        <w:t xml:space="preserve">(356) = .24, </w:t>
      </w:r>
      <w:r w:rsidRPr="00717DE4">
        <w:rPr>
          <w:rFonts w:ascii="Times New Roman" w:hAnsi="Times New Roman" w:cs="Times New Roman"/>
          <w:i/>
          <w:iCs/>
          <w:sz w:val="24"/>
          <w:szCs w:val="24"/>
          <w:lang w:val="en-US"/>
        </w:rPr>
        <w:t xml:space="preserve">p </w:t>
      </w:r>
      <w:r w:rsidRPr="00717DE4">
        <w:rPr>
          <w:rFonts w:ascii="Times New Roman" w:hAnsi="Times New Roman" w:cs="Times New Roman"/>
          <w:sz w:val="24"/>
          <w:szCs w:val="24"/>
          <w:lang w:val="en-US"/>
        </w:rPr>
        <w:t xml:space="preserve">&lt; .001, 95% CIs [0.14, 0.34]. Behavioral inhibition did not correlate significantly with ingroup bias, </w:t>
      </w:r>
      <w:r w:rsidRPr="00717DE4">
        <w:rPr>
          <w:rFonts w:ascii="Times New Roman" w:hAnsi="Times New Roman" w:cs="Times New Roman"/>
          <w:i/>
          <w:iCs/>
          <w:sz w:val="24"/>
          <w:szCs w:val="24"/>
          <w:lang w:val="en-US"/>
        </w:rPr>
        <w:t>r</w:t>
      </w:r>
      <w:r w:rsidRPr="00717DE4">
        <w:rPr>
          <w:rFonts w:ascii="Times New Roman" w:hAnsi="Times New Roman" w:cs="Times New Roman"/>
          <w:sz w:val="24"/>
          <w:szCs w:val="24"/>
          <w:lang w:val="en-US"/>
        </w:rPr>
        <w:t xml:space="preserve">(356) = .04, </w:t>
      </w:r>
      <w:r w:rsidRPr="00717DE4">
        <w:rPr>
          <w:rFonts w:ascii="Times New Roman" w:hAnsi="Times New Roman" w:cs="Times New Roman"/>
          <w:i/>
          <w:iCs/>
          <w:sz w:val="24"/>
          <w:szCs w:val="24"/>
          <w:lang w:val="en-US"/>
        </w:rPr>
        <w:t>p</w:t>
      </w:r>
      <w:r w:rsidRPr="00717DE4">
        <w:rPr>
          <w:rFonts w:ascii="Times New Roman" w:hAnsi="Times New Roman" w:cs="Times New Roman"/>
          <w:sz w:val="24"/>
          <w:szCs w:val="24"/>
          <w:lang w:val="en-US"/>
        </w:rPr>
        <w:t xml:space="preserve"> = .411, 95% CIs [-0.06, 0.15], nor with outgroup derogation, </w:t>
      </w:r>
      <w:r w:rsidRPr="00717DE4">
        <w:rPr>
          <w:rFonts w:ascii="Times New Roman" w:hAnsi="Times New Roman" w:cs="Times New Roman"/>
          <w:i/>
          <w:iCs/>
          <w:sz w:val="24"/>
          <w:szCs w:val="24"/>
          <w:lang w:val="en-US"/>
        </w:rPr>
        <w:t>r</w:t>
      </w:r>
      <w:r w:rsidRPr="00717DE4">
        <w:rPr>
          <w:rFonts w:ascii="Times New Roman" w:hAnsi="Times New Roman" w:cs="Times New Roman"/>
          <w:sz w:val="24"/>
          <w:szCs w:val="24"/>
          <w:lang w:val="en-US"/>
        </w:rPr>
        <w:t xml:space="preserve">(356) = .03, </w:t>
      </w:r>
      <w:r w:rsidRPr="00717DE4">
        <w:rPr>
          <w:rFonts w:ascii="Times New Roman" w:hAnsi="Times New Roman" w:cs="Times New Roman"/>
          <w:i/>
          <w:iCs/>
          <w:sz w:val="24"/>
          <w:szCs w:val="24"/>
          <w:lang w:val="en-US"/>
        </w:rPr>
        <w:t>p</w:t>
      </w:r>
      <w:r w:rsidRPr="00717DE4">
        <w:rPr>
          <w:rFonts w:ascii="Times New Roman" w:hAnsi="Times New Roman" w:cs="Times New Roman"/>
          <w:sz w:val="24"/>
          <w:szCs w:val="24"/>
          <w:lang w:val="en-US"/>
        </w:rPr>
        <w:t xml:space="preserve"> = .534, 95% CIs [-0.07, 0.14].</w:t>
      </w:r>
    </w:p>
    <w:p w:rsidR="00717DE4" w:rsidRPr="00717DE4" w:rsidRDefault="00717DE4" w:rsidP="00717DE4">
      <w:pPr>
        <w:spacing w:after="0" w:line="480" w:lineRule="auto"/>
        <w:ind w:left="-284" w:firstLine="300"/>
        <w:rPr>
          <w:rFonts w:ascii="Times New Roman" w:hAnsi="Times New Roman" w:cs="Times New Roman"/>
          <w:sz w:val="24"/>
          <w:szCs w:val="24"/>
          <w:lang w:val="en-US"/>
        </w:rPr>
      </w:pPr>
      <w:r w:rsidRPr="00717DE4">
        <w:rPr>
          <w:rFonts w:ascii="Times New Roman" w:hAnsi="Times New Roman" w:cs="Times New Roman"/>
          <w:sz w:val="24"/>
          <w:szCs w:val="24"/>
          <w:lang w:val="en-US"/>
        </w:rPr>
        <w:t>For each mediation analysis, 5000 bootstrap samples were created to establish a ninety-five percent bias corrected confidence interval for the expected indirect associations.</w:t>
      </w:r>
    </w:p>
    <w:p w:rsidR="00717DE4" w:rsidRPr="00717DE4" w:rsidRDefault="00717DE4" w:rsidP="00717DE4">
      <w:pPr>
        <w:spacing w:after="0" w:line="480" w:lineRule="auto"/>
        <w:ind w:left="-284" w:firstLine="300"/>
        <w:rPr>
          <w:rFonts w:ascii="Times New Roman" w:hAnsi="Times New Roman" w:cs="Times New Roman"/>
          <w:sz w:val="24"/>
          <w:szCs w:val="24"/>
          <w:lang w:val="en-US"/>
        </w:rPr>
      </w:pPr>
      <w:bookmarkStart w:id="0" w:name="_GoBack"/>
      <w:bookmarkEnd w:id="0"/>
      <w:r w:rsidRPr="00717DE4">
        <w:rPr>
          <w:rFonts w:ascii="Times New Roman" w:hAnsi="Times New Roman" w:cs="Times New Roman"/>
          <w:b/>
          <w:bCs/>
          <w:sz w:val="24"/>
          <w:szCs w:val="24"/>
          <w:lang w:val="en-US"/>
        </w:rPr>
        <w:t xml:space="preserve">Main Analyses. </w:t>
      </w:r>
      <w:r w:rsidRPr="00717DE4">
        <w:rPr>
          <w:rFonts w:ascii="Times New Roman" w:hAnsi="Times New Roman" w:cs="Times New Roman"/>
          <w:sz w:val="24"/>
          <w:szCs w:val="24"/>
          <w:lang w:val="en-US"/>
        </w:rPr>
        <w:t xml:space="preserve">Mediation analyses showed that the expected indirect effects of COVID-19 threat on distal defense strategies through BIS were significant for ingroup </w:t>
      </w:r>
      <w:r w:rsidRPr="00717DE4">
        <w:rPr>
          <w:rFonts w:ascii="Times New Roman" w:hAnsi="Times New Roman" w:cs="Times New Roman"/>
          <w:sz w:val="24"/>
          <w:szCs w:val="24"/>
          <w:lang w:val="en-US"/>
        </w:rPr>
        <w:lastRenderedPageBreak/>
        <w:t xml:space="preserve">entitativity, control restoration motivation, and passive party support. Indirect effects were not significant for ingroup bias, </w:t>
      </w:r>
      <w:r w:rsidRPr="00717DE4">
        <w:rPr>
          <w:rFonts w:ascii="Times New Roman" w:hAnsi="Times New Roman" w:cs="Times New Roman"/>
          <w:i/>
          <w:iCs/>
          <w:sz w:val="24"/>
          <w:szCs w:val="24"/>
          <w:lang w:val="en-US"/>
        </w:rPr>
        <w:t>b</w:t>
      </w:r>
      <w:r w:rsidRPr="00717DE4">
        <w:rPr>
          <w:rFonts w:ascii="Times New Roman" w:hAnsi="Times New Roman" w:cs="Times New Roman"/>
          <w:sz w:val="24"/>
          <w:szCs w:val="24"/>
          <w:lang w:val="en-US"/>
        </w:rPr>
        <w:t xml:space="preserve"> = -0.04, </w:t>
      </w:r>
      <w:r w:rsidRPr="00717DE4">
        <w:rPr>
          <w:rFonts w:ascii="Times New Roman" w:hAnsi="Times New Roman" w:cs="Times New Roman"/>
          <w:i/>
          <w:iCs/>
          <w:sz w:val="24"/>
          <w:szCs w:val="24"/>
          <w:lang w:val="en-US"/>
        </w:rPr>
        <w:t>SE</w:t>
      </w:r>
      <w:r w:rsidRPr="00717DE4">
        <w:rPr>
          <w:rFonts w:ascii="Times New Roman" w:hAnsi="Times New Roman" w:cs="Times New Roman"/>
          <w:sz w:val="24"/>
          <w:szCs w:val="24"/>
          <w:lang w:val="en-US"/>
        </w:rPr>
        <w:t xml:space="preserve"> = 0.1, 95% CIs [-0.23, 0.15] and outgroup derogation, </w:t>
      </w:r>
      <w:r w:rsidRPr="00717DE4">
        <w:rPr>
          <w:rFonts w:ascii="Times New Roman" w:hAnsi="Times New Roman" w:cs="Times New Roman"/>
          <w:i/>
          <w:iCs/>
          <w:sz w:val="24"/>
          <w:szCs w:val="24"/>
          <w:lang w:val="en-US"/>
        </w:rPr>
        <w:t>b</w:t>
      </w:r>
      <w:r w:rsidRPr="00717DE4">
        <w:rPr>
          <w:rFonts w:ascii="Times New Roman" w:hAnsi="Times New Roman" w:cs="Times New Roman"/>
          <w:sz w:val="24"/>
          <w:szCs w:val="24"/>
          <w:lang w:val="en-US"/>
        </w:rPr>
        <w:t xml:space="preserve"> = 0.12, </w:t>
      </w:r>
      <w:r w:rsidRPr="00717DE4">
        <w:rPr>
          <w:rFonts w:ascii="Times New Roman" w:hAnsi="Times New Roman" w:cs="Times New Roman"/>
          <w:i/>
          <w:iCs/>
          <w:sz w:val="24"/>
          <w:szCs w:val="24"/>
          <w:lang w:val="en-US"/>
        </w:rPr>
        <w:t>SE</w:t>
      </w:r>
      <w:r w:rsidRPr="00717DE4">
        <w:rPr>
          <w:rFonts w:ascii="Times New Roman" w:hAnsi="Times New Roman" w:cs="Times New Roman"/>
          <w:sz w:val="24"/>
          <w:szCs w:val="24"/>
          <w:lang w:val="en-US"/>
        </w:rPr>
        <w:t xml:space="preserve"> = 0.12, 95% CIs [-0.11, 0.35]. Detailed statistical values for the significant indirect effects are presented for each DV separately in the following.</w:t>
      </w:r>
    </w:p>
    <w:p w:rsidR="00717DE4" w:rsidRPr="00B962C4" w:rsidRDefault="00717DE4" w:rsidP="00717DE4">
      <w:pPr>
        <w:pStyle w:val="NormalWeb"/>
        <w:shd w:val="clear" w:color="auto" w:fill="FFFFFF"/>
        <w:spacing w:before="0" w:beforeAutospacing="0" w:after="0" w:afterAutospacing="0" w:line="480" w:lineRule="auto"/>
        <w:ind w:left="-284"/>
      </w:pPr>
      <w:r w:rsidRPr="00B962C4">
        <w:rPr>
          <w:b/>
          <w:bCs/>
        </w:rPr>
        <w:tab/>
      </w:r>
      <w:proofErr w:type="spellStart"/>
      <w:r w:rsidRPr="00B962C4">
        <w:rPr>
          <w:b/>
          <w:bCs/>
          <w:i/>
          <w:iCs/>
        </w:rPr>
        <w:t>Ingroup</w:t>
      </w:r>
      <w:proofErr w:type="spellEnd"/>
      <w:r w:rsidRPr="00B962C4">
        <w:rPr>
          <w:b/>
          <w:bCs/>
          <w:i/>
          <w:iCs/>
        </w:rPr>
        <w:t xml:space="preserve"> </w:t>
      </w:r>
      <w:proofErr w:type="spellStart"/>
      <w:r w:rsidRPr="00B962C4">
        <w:rPr>
          <w:b/>
          <w:bCs/>
          <w:i/>
          <w:iCs/>
        </w:rPr>
        <w:t>Entitativity</w:t>
      </w:r>
      <w:proofErr w:type="spellEnd"/>
      <w:r w:rsidRPr="00B962C4">
        <w:rPr>
          <w:b/>
          <w:bCs/>
          <w:i/>
          <w:iCs/>
        </w:rPr>
        <w:t>.</w:t>
      </w:r>
      <w:r w:rsidRPr="00B962C4">
        <w:t xml:space="preserve"> </w:t>
      </w:r>
      <w:r w:rsidRPr="00B962C4">
        <w:rPr>
          <w:color w:val="000000"/>
        </w:rPr>
        <w:t xml:space="preserve">The regression coefficient between COVID-19 threat levels and </w:t>
      </w:r>
      <w:proofErr w:type="spellStart"/>
      <w:r w:rsidRPr="00B962C4">
        <w:rPr>
          <w:color w:val="000000"/>
        </w:rPr>
        <w:t>ingroup</w:t>
      </w:r>
      <w:proofErr w:type="spellEnd"/>
      <w:r w:rsidRPr="00B962C4">
        <w:rPr>
          <w:color w:val="000000"/>
        </w:rPr>
        <w:t xml:space="preserve"> </w:t>
      </w:r>
      <w:proofErr w:type="spellStart"/>
      <w:r w:rsidRPr="00B962C4">
        <w:rPr>
          <w:color w:val="000000"/>
        </w:rPr>
        <w:t>entitativity</w:t>
      </w:r>
      <w:proofErr w:type="spellEnd"/>
      <w:r w:rsidRPr="00B962C4">
        <w:rPr>
          <w:color w:val="000000"/>
        </w:rPr>
        <w:t xml:space="preserve"> was significant (total effect: </w:t>
      </w:r>
      <w:r w:rsidRPr="00B962C4">
        <w:rPr>
          <w:i/>
          <w:iCs/>
          <w:color w:val="000000"/>
        </w:rPr>
        <w:t>b</w:t>
      </w:r>
      <w:r w:rsidRPr="00B962C4">
        <w:rPr>
          <w:color w:val="000000"/>
        </w:rPr>
        <w:t xml:space="preserve"> = 0.35, </w:t>
      </w:r>
      <w:r w:rsidRPr="00B962C4">
        <w:rPr>
          <w:i/>
          <w:iCs/>
          <w:color w:val="000000"/>
        </w:rPr>
        <w:t>SE</w:t>
      </w:r>
      <w:r w:rsidRPr="00B962C4">
        <w:rPr>
          <w:color w:val="000000"/>
        </w:rPr>
        <w:t xml:space="preserve"> = 0.14, </w:t>
      </w:r>
      <w:proofErr w:type="gramStart"/>
      <w:r w:rsidRPr="00B962C4">
        <w:rPr>
          <w:i/>
          <w:iCs/>
          <w:color w:val="000000"/>
        </w:rPr>
        <w:t>t</w:t>
      </w:r>
      <w:r w:rsidRPr="00B962C4">
        <w:rPr>
          <w:color w:val="000000"/>
        </w:rPr>
        <w:t>(</w:t>
      </w:r>
      <w:proofErr w:type="gramEnd"/>
      <w:r w:rsidRPr="00B962C4">
        <w:rPr>
          <w:color w:val="000000"/>
        </w:rPr>
        <w:t xml:space="preserve">356) = 2.53, </w:t>
      </w:r>
      <w:r w:rsidRPr="00B962C4">
        <w:rPr>
          <w:i/>
          <w:iCs/>
          <w:color w:val="000000"/>
        </w:rPr>
        <w:t>p</w:t>
      </w:r>
      <w:r w:rsidRPr="00B962C4">
        <w:rPr>
          <w:color w:val="000000"/>
        </w:rPr>
        <w:t xml:space="preserve"> = .012, 95% CIs [0.08, 0.61]). Importantly and as predicted, the indirect effect of COVID-19 threat levels via behavioral inhibition levels on </w:t>
      </w:r>
      <w:proofErr w:type="spellStart"/>
      <w:r w:rsidRPr="00B962C4">
        <w:rPr>
          <w:color w:val="000000"/>
        </w:rPr>
        <w:t>ingroup</w:t>
      </w:r>
      <w:proofErr w:type="spellEnd"/>
      <w:r w:rsidRPr="00B962C4">
        <w:rPr>
          <w:color w:val="000000"/>
        </w:rPr>
        <w:t xml:space="preserve"> </w:t>
      </w:r>
      <w:proofErr w:type="spellStart"/>
      <w:r w:rsidRPr="00B962C4">
        <w:rPr>
          <w:color w:val="000000"/>
        </w:rPr>
        <w:t>entitativity</w:t>
      </w:r>
      <w:proofErr w:type="spellEnd"/>
      <w:r w:rsidRPr="00B962C4">
        <w:rPr>
          <w:color w:val="000000"/>
        </w:rPr>
        <w:t xml:space="preserve"> was significant, </w:t>
      </w:r>
      <w:r w:rsidRPr="00B962C4">
        <w:rPr>
          <w:i/>
          <w:iCs/>
          <w:color w:val="000000"/>
        </w:rPr>
        <w:t>b</w:t>
      </w:r>
      <w:r w:rsidRPr="00B962C4">
        <w:rPr>
          <w:color w:val="000000"/>
        </w:rPr>
        <w:t xml:space="preserve"> = 0.23, </w:t>
      </w:r>
      <w:r w:rsidRPr="00B962C4">
        <w:rPr>
          <w:i/>
          <w:iCs/>
          <w:color w:val="000000"/>
        </w:rPr>
        <w:t>SE</w:t>
      </w:r>
      <w:r w:rsidRPr="00B962C4">
        <w:rPr>
          <w:color w:val="000000"/>
        </w:rPr>
        <w:t xml:space="preserve"> = 0.1, 95% CIs [0.05, 0.42]. Furthermore, the regression coefficient between behavioral inhibition levels and </w:t>
      </w:r>
      <w:proofErr w:type="spellStart"/>
      <w:r w:rsidRPr="00B962C4">
        <w:rPr>
          <w:color w:val="000000"/>
        </w:rPr>
        <w:t>ingroup</w:t>
      </w:r>
      <w:proofErr w:type="spellEnd"/>
      <w:r w:rsidRPr="00B962C4">
        <w:rPr>
          <w:color w:val="000000"/>
        </w:rPr>
        <w:t xml:space="preserve"> </w:t>
      </w:r>
      <w:proofErr w:type="spellStart"/>
      <w:r w:rsidRPr="00B962C4">
        <w:rPr>
          <w:color w:val="000000"/>
        </w:rPr>
        <w:t>entitativity</w:t>
      </w:r>
      <w:proofErr w:type="spellEnd"/>
      <w:r w:rsidRPr="00B962C4">
        <w:rPr>
          <w:color w:val="000000"/>
        </w:rPr>
        <w:t xml:space="preserve"> when controlling for the variance shared by COVID-19 threat levels and </w:t>
      </w:r>
      <w:proofErr w:type="spellStart"/>
      <w:r w:rsidRPr="00B962C4">
        <w:rPr>
          <w:color w:val="000000"/>
        </w:rPr>
        <w:t>ingroup</w:t>
      </w:r>
      <w:proofErr w:type="spellEnd"/>
      <w:r w:rsidRPr="00B962C4">
        <w:rPr>
          <w:color w:val="000000"/>
        </w:rPr>
        <w:t xml:space="preserve"> </w:t>
      </w:r>
      <w:proofErr w:type="spellStart"/>
      <w:r w:rsidRPr="00B962C4">
        <w:rPr>
          <w:color w:val="000000"/>
        </w:rPr>
        <w:t>entitativity</w:t>
      </w:r>
      <w:proofErr w:type="spellEnd"/>
      <w:r w:rsidRPr="00B962C4">
        <w:rPr>
          <w:color w:val="000000"/>
        </w:rPr>
        <w:t xml:space="preserve"> was significant, </w:t>
      </w:r>
      <w:r w:rsidRPr="00B962C4">
        <w:rPr>
          <w:i/>
          <w:iCs/>
          <w:color w:val="000000"/>
        </w:rPr>
        <w:t>b</w:t>
      </w:r>
      <w:r w:rsidRPr="00B962C4">
        <w:rPr>
          <w:color w:val="000000"/>
        </w:rPr>
        <w:t xml:space="preserve"> = 0.25, </w:t>
      </w:r>
      <w:r w:rsidRPr="00B962C4">
        <w:rPr>
          <w:i/>
          <w:iCs/>
          <w:color w:val="000000"/>
        </w:rPr>
        <w:t>SE</w:t>
      </w:r>
      <w:r w:rsidRPr="00B962C4">
        <w:rPr>
          <w:color w:val="000000"/>
        </w:rPr>
        <w:t xml:space="preserve"> = 0.1, </w:t>
      </w:r>
      <w:proofErr w:type="gramStart"/>
      <w:r w:rsidRPr="00B962C4">
        <w:rPr>
          <w:i/>
          <w:iCs/>
          <w:color w:val="000000"/>
        </w:rPr>
        <w:t>t</w:t>
      </w:r>
      <w:r w:rsidRPr="00B962C4">
        <w:rPr>
          <w:color w:val="000000"/>
        </w:rPr>
        <w:t>(</w:t>
      </w:r>
      <w:proofErr w:type="gramEnd"/>
      <w:r w:rsidRPr="00B962C4">
        <w:rPr>
          <w:color w:val="000000"/>
        </w:rPr>
        <w:t xml:space="preserve">356) = 2.47, </w:t>
      </w:r>
      <w:r w:rsidRPr="00B962C4">
        <w:rPr>
          <w:i/>
          <w:iCs/>
          <w:color w:val="000000"/>
        </w:rPr>
        <w:t>p</w:t>
      </w:r>
      <w:r w:rsidRPr="00B962C4">
        <w:rPr>
          <w:color w:val="000000"/>
        </w:rPr>
        <w:t xml:space="preserve"> = .014, 95% CIs [0.05, 0.44]. The direct effect of COVID-19 threat levels on </w:t>
      </w:r>
      <w:proofErr w:type="spellStart"/>
      <w:r w:rsidRPr="00B962C4">
        <w:rPr>
          <w:color w:val="000000"/>
        </w:rPr>
        <w:t>ingroup</w:t>
      </w:r>
      <w:proofErr w:type="spellEnd"/>
      <w:r w:rsidRPr="00B962C4">
        <w:rPr>
          <w:color w:val="000000"/>
        </w:rPr>
        <w:t xml:space="preserve"> </w:t>
      </w:r>
      <w:proofErr w:type="spellStart"/>
      <w:r w:rsidRPr="00B962C4">
        <w:rPr>
          <w:color w:val="000000"/>
        </w:rPr>
        <w:t>entitativity</w:t>
      </w:r>
      <w:proofErr w:type="spellEnd"/>
      <w:r w:rsidRPr="00B962C4">
        <w:rPr>
          <w:color w:val="000000"/>
        </w:rPr>
        <w:t xml:space="preserve"> when controlling for the variance shared by behavioral inhibition level and </w:t>
      </w:r>
      <w:proofErr w:type="spellStart"/>
      <w:r w:rsidRPr="00B962C4">
        <w:rPr>
          <w:color w:val="000000"/>
        </w:rPr>
        <w:t>ingroup</w:t>
      </w:r>
      <w:proofErr w:type="spellEnd"/>
      <w:r w:rsidRPr="00B962C4">
        <w:rPr>
          <w:color w:val="000000"/>
        </w:rPr>
        <w:t xml:space="preserve"> </w:t>
      </w:r>
      <w:proofErr w:type="spellStart"/>
      <w:r w:rsidRPr="00B962C4">
        <w:rPr>
          <w:color w:val="000000"/>
        </w:rPr>
        <w:t>entitativity</w:t>
      </w:r>
      <w:proofErr w:type="spellEnd"/>
      <w:r w:rsidRPr="00B962C4">
        <w:rPr>
          <w:color w:val="000000"/>
        </w:rPr>
        <w:t xml:space="preserve">, was non-significant, </w:t>
      </w:r>
      <w:r w:rsidRPr="00B962C4">
        <w:rPr>
          <w:i/>
          <w:iCs/>
          <w:color w:val="000000"/>
        </w:rPr>
        <w:t>b</w:t>
      </w:r>
      <w:r w:rsidRPr="00B962C4">
        <w:rPr>
          <w:color w:val="000000"/>
        </w:rPr>
        <w:t xml:space="preserve"> = 0.11, </w:t>
      </w:r>
      <w:r w:rsidRPr="00B962C4">
        <w:rPr>
          <w:i/>
          <w:iCs/>
          <w:color w:val="000000"/>
        </w:rPr>
        <w:t>SE</w:t>
      </w:r>
      <w:r w:rsidRPr="00B962C4">
        <w:rPr>
          <w:color w:val="000000"/>
        </w:rPr>
        <w:t xml:space="preserve"> = 0.17, </w:t>
      </w:r>
      <w:r w:rsidRPr="00B962C4">
        <w:rPr>
          <w:i/>
          <w:iCs/>
          <w:color w:val="000000"/>
        </w:rPr>
        <w:t>t</w:t>
      </w:r>
      <w:r w:rsidRPr="00B962C4">
        <w:rPr>
          <w:color w:val="000000"/>
        </w:rPr>
        <w:t xml:space="preserve">(356) = 0.68, </w:t>
      </w:r>
      <w:r w:rsidRPr="00B962C4">
        <w:rPr>
          <w:i/>
          <w:iCs/>
          <w:color w:val="000000"/>
        </w:rPr>
        <w:t>p</w:t>
      </w:r>
      <w:r w:rsidRPr="00B962C4">
        <w:rPr>
          <w:color w:val="000000"/>
        </w:rPr>
        <w:t xml:space="preserve"> = .50, 95% CIs [-0.21, 0.44].</w:t>
      </w:r>
    </w:p>
    <w:p w:rsidR="00717DE4" w:rsidRPr="00717DE4" w:rsidRDefault="00717DE4" w:rsidP="00717DE4">
      <w:pPr>
        <w:spacing w:after="0" w:line="480" w:lineRule="auto"/>
        <w:ind w:left="-284"/>
        <w:rPr>
          <w:rFonts w:ascii="Times New Roman" w:eastAsia="Times New Roman" w:hAnsi="Times New Roman" w:cs="Times New Roman"/>
          <w:sz w:val="24"/>
          <w:szCs w:val="24"/>
          <w:lang w:val="en-US"/>
        </w:rPr>
      </w:pPr>
      <w:r w:rsidRPr="00717DE4">
        <w:rPr>
          <w:rFonts w:ascii="Times New Roman" w:hAnsi="Times New Roman" w:cs="Times New Roman"/>
          <w:b/>
          <w:bCs/>
          <w:i/>
          <w:iCs/>
          <w:sz w:val="24"/>
          <w:szCs w:val="24"/>
          <w:lang w:val="en-US"/>
        </w:rPr>
        <w:tab/>
        <w:t xml:space="preserve">Control Restoration Motivation. </w:t>
      </w:r>
      <w:r w:rsidRPr="00717DE4">
        <w:rPr>
          <w:rFonts w:ascii="Times New Roman" w:eastAsia="Times New Roman" w:hAnsi="Times New Roman" w:cs="Times New Roman"/>
          <w:color w:val="000000"/>
          <w:sz w:val="24"/>
          <w:szCs w:val="24"/>
          <w:lang w:val="en-US"/>
        </w:rPr>
        <w:t xml:space="preserve">The total effect of COVID-19 threat levels on control restoration motivation was significant, </w:t>
      </w:r>
      <w:r w:rsidRPr="00717DE4">
        <w:rPr>
          <w:rFonts w:ascii="Times New Roman" w:eastAsia="Times New Roman" w:hAnsi="Times New Roman" w:cs="Times New Roman"/>
          <w:i/>
          <w:iCs/>
          <w:color w:val="000000"/>
          <w:sz w:val="24"/>
          <w:szCs w:val="24"/>
          <w:lang w:val="en-US"/>
        </w:rPr>
        <w:t>b</w:t>
      </w:r>
      <w:r w:rsidRPr="00717DE4">
        <w:rPr>
          <w:rFonts w:ascii="Times New Roman" w:eastAsia="Times New Roman" w:hAnsi="Times New Roman" w:cs="Times New Roman"/>
          <w:color w:val="000000"/>
          <w:sz w:val="24"/>
          <w:szCs w:val="24"/>
          <w:lang w:val="en-US"/>
        </w:rPr>
        <w:t xml:space="preserve"> = 0.43, </w:t>
      </w:r>
      <w:r w:rsidRPr="00717DE4">
        <w:rPr>
          <w:rFonts w:ascii="Times New Roman" w:eastAsia="Times New Roman" w:hAnsi="Times New Roman" w:cs="Times New Roman"/>
          <w:i/>
          <w:iCs/>
          <w:color w:val="000000"/>
          <w:sz w:val="24"/>
          <w:szCs w:val="24"/>
          <w:lang w:val="en-US"/>
        </w:rPr>
        <w:t>SE</w:t>
      </w:r>
      <w:r w:rsidRPr="00717DE4">
        <w:rPr>
          <w:rFonts w:ascii="Times New Roman" w:eastAsia="Times New Roman" w:hAnsi="Times New Roman" w:cs="Times New Roman"/>
          <w:color w:val="000000"/>
          <w:sz w:val="24"/>
          <w:szCs w:val="24"/>
          <w:lang w:val="en-US"/>
        </w:rPr>
        <w:t xml:space="preserve"> = 0.18, </w:t>
      </w:r>
      <w:r w:rsidRPr="00717DE4">
        <w:rPr>
          <w:rFonts w:ascii="Times New Roman" w:eastAsia="Times New Roman" w:hAnsi="Times New Roman" w:cs="Times New Roman"/>
          <w:i/>
          <w:iCs/>
          <w:color w:val="000000"/>
          <w:sz w:val="24"/>
          <w:szCs w:val="24"/>
          <w:lang w:val="en-US"/>
        </w:rPr>
        <w:t>t</w:t>
      </w:r>
      <w:r w:rsidRPr="00717DE4">
        <w:rPr>
          <w:rFonts w:ascii="Times New Roman" w:eastAsia="Times New Roman" w:hAnsi="Times New Roman" w:cs="Times New Roman"/>
          <w:color w:val="000000"/>
          <w:sz w:val="24"/>
          <w:szCs w:val="24"/>
          <w:lang w:val="en-US"/>
        </w:rPr>
        <w:t xml:space="preserve">(356) = 2.38, </w:t>
      </w:r>
      <w:r w:rsidRPr="00717DE4">
        <w:rPr>
          <w:rFonts w:ascii="Times New Roman" w:eastAsia="Times New Roman" w:hAnsi="Times New Roman" w:cs="Times New Roman"/>
          <w:i/>
          <w:iCs/>
          <w:color w:val="000000"/>
          <w:sz w:val="24"/>
          <w:szCs w:val="24"/>
          <w:lang w:val="en-US"/>
        </w:rPr>
        <w:t>p</w:t>
      </w:r>
      <w:r w:rsidRPr="00717DE4">
        <w:rPr>
          <w:rFonts w:ascii="Times New Roman" w:eastAsia="Times New Roman" w:hAnsi="Times New Roman" w:cs="Times New Roman"/>
          <w:color w:val="000000"/>
          <w:sz w:val="24"/>
          <w:szCs w:val="24"/>
          <w:lang w:val="en-US"/>
        </w:rPr>
        <w:t xml:space="preserve"> = .018, 95% CIs [0.08, 0.79]. Importantly and as predicted, the indirect effect of COVID-19 threat levels via behavioral inhibition levels on control restoration motivation was significant, </w:t>
      </w:r>
      <w:r w:rsidRPr="00717DE4">
        <w:rPr>
          <w:rFonts w:ascii="Times New Roman" w:eastAsia="Times New Roman" w:hAnsi="Times New Roman" w:cs="Times New Roman"/>
          <w:i/>
          <w:iCs/>
          <w:color w:val="000000"/>
          <w:sz w:val="24"/>
          <w:szCs w:val="24"/>
          <w:lang w:val="en-US"/>
        </w:rPr>
        <w:t>b</w:t>
      </w:r>
      <w:r w:rsidRPr="00717DE4">
        <w:rPr>
          <w:rFonts w:ascii="Times New Roman" w:eastAsia="Times New Roman" w:hAnsi="Times New Roman" w:cs="Times New Roman"/>
          <w:color w:val="000000"/>
          <w:sz w:val="24"/>
          <w:szCs w:val="24"/>
          <w:lang w:val="en-US"/>
        </w:rPr>
        <w:t xml:space="preserve"> = 0.36, 95% CIs [0.11, 0.64]. Furthermore, the regression coefficient between behavioral inhibition levels and control restoration motivation when controlling for the variance shared by COVID-19 threat levels and control restoration motivation was significant, </w:t>
      </w:r>
      <w:r w:rsidRPr="00717DE4">
        <w:rPr>
          <w:rFonts w:ascii="Times New Roman" w:eastAsia="Times New Roman" w:hAnsi="Times New Roman" w:cs="Times New Roman"/>
          <w:i/>
          <w:iCs/>
          <w:color w:val="000000"/>
          <w:sz w:val="24"/>
          <w:szCs w:val="24"/>
          <w:lang w:val="en-US"/>
        </w:rPr>
        <w:t>b</w:t>
      </w:r>
      <w:r w:rsidRPr="00717DE4">
        <w:rPr>
          <w:rFonts w:ascii="Times New Roman" w:eastAsia="Times New Roman" w:hAnsi="Times New Roman" w:cs="Times New Roman"/>
          <w:color w:val="000000"/>
          <w:sz w:val="24"/>
          <w:szCs w:val="24"/>
          <w:lang w:val="en-US"/>
        </w:rPr>
        <w:t xml:space="preserve"> = 0.38, </w:t>
      </w:r>
      <w:r w:rsidRPr="00717DE4">
        <w:rPr>
          <w:rFonts w:ascii="Times New Roman" w:eastAsia="Times New Roman" w:hAnsi="Times New Roman" w:cs="Times New Roman"/>
          <w:i/>
          <w:iCs/>
          <w:color w:val="000000"/>
          <w:sz w:val="24"/>
          <w:szCs w:val="24"/>
          <w:lang w:val="en-US"/>
        </w:rPr>
        <w:t>SE</w:t>
      </w:r>
      <w:r w:rsidRPr="00717DE4">
        <w:rPr>
          <w:rFonts w:ascii="Times New Roman" w:eastAsia="Times New Roman" w:hAnsi="Times New Roman" w:cs="Times New Roman"/>
          <w:color w:val="000000"/>
          <w:sz w:val="24"/>
          <w:szCs w:val="24"/>
          <w:lang w:val="en-US"/>
        </w:rPr>
        <w:t xml:space="preserve"> = 0.13, </w:t>
      </w:r>
      <w:r w:rsidRPr="00717DE4">
        <w:rPr>
          <w:rFonts w:ascii="Times New Roman" w:eastAsia="Times New Roman" w:hAnsi="Times New Roman" w:cs="Times New Roman"/>
          <w:i/>
          <w:iCs/>
          <w:color w:val="000000"/>
          <w:sz w:val="24"/>
          <w:szCs w:val="24"/>
          <w:lang w:val="en-US"/>
        </w:rPr>
        <w:t>t</w:t>
      </w:r>
      <w:r w:rsidRPr="00717DE4">
        <w:rPr>
          <w:rFonts w:ascii="Times New Roman" w:eastAsia="Times New Roman" w:hAnsi="Times New Roman" w:cs="Times New Roman"/>
          <w:color w:val="000000"/>
          <w:sz w:val="24"/>
          <w:szCs w:val="24"/>
          <w:lang w:val="en-US"/>
        </w:rPr>
        <w:t xml:space="preserve">(356) = 2.90, </w:t>
      </w:r>
      <w:r w:rsidRPr="00717DE4">
        <w:rPr>
          <w:rFonts w:ascii="Times New Roman" w:eastAsia="Times New Roman" w:hAnsi="Times New Roman" w:cs="Times New Roman"/>
          <w:i/>
          <w:iCs/>
          <w:color w:val="000000"/>
          <w:sz w:val="24"/>
          <w:szCs w:val="24"/>
          <w:lang w:val="en-US"/>
        </w:rPr>
        <w:t>p</w:t>
      </w:r>
      <w:r w:rsidRPr="00717DE4">
        <w:rPr>
          <w:rFonts w:ascii="Times New Roman" w:eastAsia="Times New Roman" w:hAnsi="Times New Roman" w:cs="Times New Roman"/>
          <w:color w:val="000000"/>
          <w:sz w:val="24"/>
          <w:szCs w:val="24"/>
          <w:lang w:val="en-US"/>
        </w:rPr>
        <w:t xml:space="preserve"> = .004, 95% CIs [0.12, 0.65]. The direct effect of COVID-19 threat levels on control restoration motivation was non-significant, </w:t>
      </w:r>
      <w:r w:rsidRPr="00717DE4">
        <w:rPr>
          <w:rFonts w:ascii="Times New Roman" w:eastAsia="Times New Roman" w:hAnsi="Times New Roman" w:cs="Times New Roman"/>
          <w:i/>
          <w:iCs/>
          <w:color w:val="000000"/>
          <w:sz w:val="24"/>
          <w:szCs w:val="24"/>
          <w:lang w:val="en-US"/>
        </w:rPr>
        <w:t>b</w:t>
      </w:r>
      <w:r w:rsidRPr="00717DE4">
        <w:rPr>
          <w:rFonts w:ascii="Times New Roman" w:eastAsia="Times New Roman" w:hAnsi="Times New Roman" w:cs="Times New Roman"/>
          <w:color w:val="000000"/>
          <w:sz w:val="24"/>
          <w:szCs w:val="24"/>
          <w:lang w:val="en-US"/>
        </w:rPr>
        <w:t xml:space="preserve"> = 0.07, </w:t>
      </w:r>
      <w:r w:rsidRPr="00717DE4">
        <w:rPr>
          <w:rFonts w:ascii="Times New Roman" w:eastAsia="Times New Roman" w:hAnsi="Times New Roman" w:cs="Times New Roman"/>
          <w:i/>
          <w:iCs/>
          <w:color w:val="000000"/>
          <w:sz w:val="24"/>
          <w:szCs w:val="24"/>
          <w:lang w:val="en-US"/>
        </w:rPr>
        <w:t>SE</w:t>
      </w:r>
      <w:r w:rsidRPr="00717DE4">
        <w:rPr>
          <w:rFonts w:ascii="Times New Roman" w:eastAsia="Times New Roman" w:hAnsi="Times New Roman" w:cs="Times New Roman"/>
          <w:color w:val="000000"/>
          <w:sz w:val="24"/>
          <w:szCs w:val="24"/>
          <w:lang w:val="en-US"/>
        </w:rPr>
        <w:t xml:space="preserve"> = 0.22, </w:t>
      </w:r>
      <w:r w:rsidRPr="00717DE4">
        <w:rPr>
          <w:rFonts w:ascii="Times New Roman" w:eastAsia="Times New Roman" w:hAnsi="Times New Roman" w:cs="Times New Roman"/>
          <w:i/>
          <w:iCs/>
          <w:color w:val="000000"/>
          <w:sz w:val="24"/>
          <w:szCs w:val="24"/>
          <w:lang w:val="en-US"/>
        </w:rPr>
        <w:t>t</w:t>
      </w:r>
      <w:r w:rsidRPr="00717DE4">
        <w:rPr>
          <w:rFonts w:ascii="Times New Roman" w:eastAsia="Times New Roman" w:hAnsi="Times New Roman" w:cs="Times New Roman"/>
          <w:color w:val="000000"/>
          <w:sz w:val="24"/>
          <w:szCs w:val="24"/>
          <w:lang w:val="en-US"/>
        </w:rPr>
        <w:t xml:space="preserve">(356) = 0.31, </w:t>
      </w:r>
      <w:r w:rsidRPr="00717DE4">
        <w:rPr>
          <w:rFonts w:ascii="Times New Roman" w:eastAsia="Times New Roman" w:hAnsi="Times New Roman" w:cs="Times New Roman"/>
          <w:i/>
          <w:iCs/>
          <w:color w:val="000000"/>
          <w:sz w:val="24"/>
          <w:szCs w:val="24"/>
          <w:lang w:val="en-US"/>
        </w:rPr>
        <w:t>p</w:t>
      </w:r>
      <w:r w:rsidRPr="00717DE4">
        <w:rPr>
          <w:rFonts w:ascii="Times New Roman" w:eastAsia="Times New Roman" w:hAnsi="Times New Roman" w:cs="Times New Roman"/>
          <w:color w:val="000000"/>
          <w:sz w:val="24"/>
          <w:szCs w:val="24"/>
          <w:lang w:val="en-US"/>
        </w:rPr>
        <w:t xml:space="preserve"> = 0.754, 95% CIs [-0.36, 0.5].</w:t>
      </w:r>
    </w:p>
    <w:p w:rsidR="00717DE4" w:rsidRPr="00717DE4" w:rsidRDefault="00717DE4" w:rsidP="00717DE4">
      <w:pPr>
        <w:spacing w:after="0" w:line="480" w:lineRule="auto"/>
        <w:ind w:left="-284"/>
        <w:rPr>
          <w:rFonts w:ascii="Times New Roman" w:hAnsi="Times New Roman" w:cs="Times New Roman"/>
          <w:b/>
          <w:bCs/>
          <w:i/>
          <w:iCs/>
          <w:sz w:val="24"/>
          <w:szCs w:val="24"/>
          <w:lang w:val="en-US"/>
        </w:rPr>
      </w:pPr>
      <w:r w:rsidRPr="00717DE4">
        <w:rPr>
          <w:rFonts w:ascii="Times New Roman" w:hAnsi="Times New Roman" w:cs="Times New Roman"/>
          <w:b/>
          <w:bCs/>
          <w:i/>
          <w:iCs/>
          <w:sz w:val="24"/>
          <w:szCs w:val="24"/>
          <w:lang w:val="en-US"/>
        </w:rPr>
        <w:tab/>
        <w:t xml:space="preserve">Passive Party Support. </w:t>
      </w:r>
      <w:r w:rsidRPr="00717DE4">
        <w:rPr>
          <w:rFonts w:ascii="Times New Roman" w:eastAsia="Times New Roman" w:hAnsi="Times New Roman" w:cs="Times New Roman"/>
          <w:color w:val="000000"/>
          <w:sz w:val="24"/>
          <w:szCs w:val="24"/>
          <w:lang w:val="en-US"/>
        </w:rPr>
        <w:t xml:space="preserve">The regression coefficient between COVID-19 threat levels and passive party support (i.e., total effect) was marginally significant, </w:t>
      </w:r>
      <w:r w:rsidRPr="00717DE4">
        <w:rPr>
          <w:rFonts w:ascii="Times New Roman" w:eastAsia="Times New Roman" w:hAnsi="Times New Roman" w:cs="Times New Roman"/>
          <w:i/>
          <w:iCs/>
          <w:color w:val="000000"/>
          <w:sz w:val="24"/>
          <w:szCs w:val="24"/>
          <w:lang w:val="en-US"/>
        </w:rPr>
        <w:t>b</w:t>
      </w:r>
      <w:r w:rsidRPr="00717DE4">
        <w:rPr>
          <w:rFonts w:ascii="Times New Roman" w:eastAsia="Times New Roman" w:hAnsi="Times New Roman" w:cs="Times New Roman"/>
          <w:color w:val="000000"/>
          <w:sz w:val="24"/>
          <w:szCs w:val="24"/>
          <w:lang w:val="en-US"/>
        </w:rPr>
        <w:t xml:space="preserve"> = 0.31, </w:t>
      </w:r>
      <w:r w:rsidRPr="00717DE4">
        <w:rPr>
          <w:rFonts w:ascii="Times New Roman" w:eastAsia="Times New Roman" w:hAnsi="Times New Roman" w:cs="Times New Roman"/>
          <w:i/>
          <w:iCs/>
          <w:color w:val="000000"/>
          <w:sz w:val="24"/>
          <w:szCs w:val="24"/>
          <w:lang w:val="en-US"/>
        </w:rPr>
        <w:t>SE</w:t>
      </w:r>
      <w:r w:rsidRPr="00717DE4">
        <w:rPr>
          <w:rFonts w:ascii="Times New Roman" w:eastAsia="Times New Roman" w:hAnsi="Times New Roman" w:cs="Times New Roman"/>
          <w:color w:val="000000"/>
          <w:sz w:val="24"/>
          <w:szCs w:val="24"/>
          <w:lang w:val="en-US"/>
        </w:rPr>
        <w:t xml:space="preserve"> = 0.17, </w:t>
      </w:r>
      <w:r w:rsidRPr="00717DE4">
        <w:rPr>
          <w:rFonts w:ascii="Times New Roman" w:eastAsia="Times New Roman" w:hAnsi="Times New Roman" w:cs="Times New Roman"/>
          <w:i/>
          <w:iCs/>
          <w:color w:val="000000"/>
          <w:sz w:val="24"/>
          <w:szCs w:val="24"/>
          <w:lang w:val="en-US"/>
        </w:rPr>
        <w:t>t</w:t>
      </w:r>
      <w:r w:rsidRPr="00717DE4">
        <w:rPr>
          <w:rFonts w:ascii="Times New Roman" w:eastAsia="Times New Roman" w:hAnsi="Times New Roman" w:cs="Times New Roman"/>
          <w:color w:val="000000"/>
          <w:sz w:val="24"/>
          <w:szCs w:val="24"/>
          <w:lang w:val="en-US"/>
        </w:rPr>
        <w:t xml:space="preserve">(356) = </w:t>
      </w:r>
      <w:r w:rsidRPr="00717DE4">
        <w:rPr>
          <w:rFonts w:ascii="Times New Roman" w:eastAsia="Times New Roman" w:hAnsi="Times New Roman" w:cs="Times New Roman"/>
          <w:color w:val="000000"/>
          <w:sz w:val="24"/>
          <w:szCs w:val="24"/>
          <w:lang w:val="en-US"/>
        </w:rPr>
        <w:lastRenderedPageBreak/>
        <w:t xml:space="preserve">1.77, </w:t>
      </w:r>
      <w:r w:rsidRPr="00717DE4">
        <w:rPr>
          <w:rFonts w:ascii="Times New Roman" w:eastAsia="Times New Roman" w:hAnsi="Times New Roman" w:cs="Times New Roman"/>
          <w:i/>
          <w:iCs/>
          <w:color w:val="000000"/>
          <w:sz w:val="24"/>
          <w:szCs w:val="24"/>
          <w:lang w:val="en-US"/>
        </w:rPr>
        <w:t>p</w:t>
      </w:r>
      <w:r w:rsidRPr="00717DE4">
        <w:rPr>
          <w:rFonts w:ascii="Times New Roman" w:eastAsia="Times New Roman" w:hAnsi="Times New Roman" w:cs="Times New Roman"/>
          <w:color w:val="000000"/>
          <w:sz w:val="24"/>
          <w:szCs w:val="24"/>
          <w:lang w:val="en-US"/>
        </w:rPr>
        <w:t xml:space="preserve"> = .077, 95% CIs [-0.04, 0.66]. Importantly and as predicted, the indirect effect of COVID-19 threat levels via behavioral inhibition levels on passive party support was significant, </w:t>
      </w:r>
      <w:r w:rsidRPr="00717DE4">
        <w:rPr>
          <w:rFonts w:ascii="Times New Roman" w:eastAsia="Times New Roman" w:hAnsi="Times New Roman" w:cs="Times New Roman"/>
          <w:i/>
          <w:iCs/>
          <w:color w:val="000000"/>
          <w:sz w:val="24"/>
          <w:szCs w:val="24"/>
          <w:lang w:val="en-US"/>
        </w:rPr>
        <w:t>b</w:t>
      </w:r>
      <w:r w:rsidRPr="00717DE4">
        <w:rPr>
          <w:rFonts w:ascii="Times New Roman" w:eastAsia="Times New Roman" w:hAnsi="Times New Roman" w:cs="Times New Roman"/>
          <w:color w:val="000000"/>
          <w:sz w:val="24"/>
          <w:szCs w:val="24"/>
          <w:lang w:val="en-US"/>
        </w:rPr>
        <w:t xml:space="preserve"> = 0.54,</w:t>
      </w:r>
      <w:r w:rsidRPr="00717DE4">
        <w:rPr>
          <w:rFonts w:ascii="Times New Roman" w:eastAsia="Times New Roman" w:hAnsi="Times New Roman" w:cs="Times New Roman"/>
          <w:i/>
          <w:iCs/>
          <w:color w:val="000000"/>
          <w:sz w:val="24"/>
          <w:szCs w:val="24"/>
          <w:lang w:val="en-US"/>
        </w:rPr>
        <w:t xml:space="preserve"> SE</w:t>
      </w:r>
      <w:r w:rsidRPr="00717DE4">
        <w:rPr>
          <w:rFonts w:ascii="Times New Roman" w:eastAsia="Times New Roman" w:hAnsi="Times New Roman" w:cs="Times New Roman"/>
          <w:color w:val="000000"/>
          <w:sz w:val="24"/>
          <w:szCs w:val="24"/>
          <w:lang w:val="en-US"/>
        </w:rPr>
        <w:t xml:space="preserve"> = 0.14, 95% CIs [0.27, 0.82]. The regression coefficient between behavioral inhibition levels and passive party support when controlling for the variance shared by COVID-19 threat levels and passive party support was significant, </w:t>
      </w:r>
      <w:r w:rsidRPr="00717DE4">
        <w:rPr>
          <w:rFonts w:ascii="Times New Roman" w:eastAsia="Times New Roman" w:hAnsi="Times New Roman" w:cs="Times New Roman"/>
          <w:i/>
          <w:iCs/>
          <w:color w:val="000000"/>
          <w:sz w:val="24"/>
          <w:szCs w:val="24"/>
          <w:lang w:val="en-US"/>
        </w:rPr>
        <w:t>b</w:t>
      </w:r>
      <w:r w:rsidRPr="00717DE4">
        <w:rPr>
          <w:rFonts w:ascii="Times New Roman" w:eastAsia="Times New Roman" w:hAnsi="Times New Roman" w:cs="Times New Roman"/>
          <w:color w:val="000000"/>
          <w:sz w:val="24"/>
          <w:szCs w:val="24"/>
          <w:lang w:val="en-US"/>
        </w:rPr>
        <w:t xml:space="preserve"> = 0.57, </w:t>
      </w:r>
      <w:r w:rsidRPr="00717DE4">
        <w:rPr>
          <w:rFonts w:ascii="Times New Roman" w:eastAsia="Times New Roman" w:hAnsi="Times New Roman" w:cs="Times New Roman"/>
          <w:i/>
          <w:iCs/>
          <w:color w:val="000000"/>
          <w:sz w:val="24"/>
          <w:szCs w:val="24"/>
          <w:lang w:val="en-US"/>
        </w:rPr>
        <w:t>SE</w:t>
      </w:r>
      <w:r w:rsidRPr="00717DE4">
        <w:rPr>
          <w:rFonts w:ascii="Times New Roman" w:eastAsia="Times New Roman" w:hAnsi="Times New Roman" w:cs="Times New Roman"/>
          <w:color w:val="000000"/>
          <w:sz w:val="24"/>
          <w:szCs w:val="24"/>
          <w:lang w:val="en-US"/>
        </w:rPr>
        <w:t xml:space="preserve"> = 0.13, </w:t>
      </w:r>
      <w:r w:rsidRPr="00717DE4">
        <w:rPr>
          <w:rFonts w:ascii="Times New Roman" w:eastAsia="Times New Roman" w:hAnsi="Times New Roman" w:cs="Times New Roman"/>
          <w:i/>
          <w:iCs/>
          <w:color w:val="000000"/>
          <w:sz w:val="24"/>
          <w:szCs w:val="24"/>
          <w:lang w:val="en-US"/>
        </w:rPr>
        <w:t>t</w:t>
      </w:r>
      <w:r w:rsidRPr="00717DE4">
        <w:rPr>
          <w:rFonts w:ascii="Times New Roman" w:eastAsia="Times New Roman" w:hAnsi="Times New Roman" w:cs="Times New Roman"/>
          <w:color w:val="000000"/>
          <w:sz w:val="24"/>
          <w:szCs w:val="24"/>
          <w:lang w:val="en-US"/>
        </w:rPr>
        <w:t xml:space="preserve">(356) = 4.45, </w:t>
      </w:r>
      <w:r w:rsidRPr="00717DE4">
        <w:rPr>
          <w:rFonts w:ascii="Times New Roman" w:eastAsia="Times New Roman" w:hAnsi="Times New Roman" w:cs="Times New Roman"/>
          <w:i/>
          <w:iCs/>
          <w:color w:val="000000"/>
          <w:sz w:val="24"/>
          <w:szCs w:val="24"/>
          <w:lang w:val="en-US"/>
        </w:rPr>
        <w:t>p</w:t>
      </w:r>
      <w:r w:rsidRPr="00717DE4">
        <w:rPr>
          <w:rFonts w:ascii="Times New Roman" w:eastAsia="Times New Roman" w:hAnsi="Times New Roman" w:cs="Times New Roman"/>
          <w:color w:val="000000"/>
          <w:sz w:val="24"/>
          <w:szCs w:val="24"/>
          <w:lang w:val="en-US"/>
        </w:rPr>
        <w:t xml:space="preserve"> &lt; .001, 95% CIs [0.32, 0.82]. The direct effect of COVID-19 threat levels on passive party support was non-significant, </w:t>
      </w:r>
      <w:r w:rsidRPr="00717DE4">
        <w:rPr>
          <w:rFonts w:ascii="Times New Roman" w:eastAsia="Times New Roman" w:hAnsi="Times New Roman" w:cs="Times New Roman"/>
          <w:i/>
          <w:iCs/>
          <w:color w:val="000000"/>
          <w:sz w:val="24"/>
          <w:szCs w:val="24"/>
          <w:lang w:val="en-US"/>
        </w:rPr>
        <w:t>b</w:t>
      </w:r>
      <w:r w:rsidRPr="00717DE4">
        <w:rPr>
          <w:rFonts w:ascii="Times New Roman" w:eastAsia="Times New Roman" w:hAnsi="Times New Roman" w:cs="Times New Roman"/>
          <w:color w:val="000000"/>
          <w:sz w:val="24"/>
          <w:szCs w:val="24"/>
          <w:lang w:val="en-US"/>
        </w:rPr>
        <w:t xml:space="preserve"> = -0.22, </w:t>
      </w:r>
      <w:r w:rsidRPr="00717DE4">
        <w:rPr>
          <w:rFonts w:ascii="Times New Roman" w:eastAsia="Times New Roman" w:hAnsi="Times New Roman" w:cs="Times New Roman"/>
          <w:i/>
          <w:iCs/>
          <w:color w:val="000000"/>
          <w:sz w:val="24"/>
          <w:szCs w:val="24"/>
          <w:lang w:val="en-US"/>
        </w:rPr>
        <w:t>SE</w:t>
      </w:r>
      <w:r w:rsidRPr="00717DE4">
        <w:rPr>
          <w:rFonts w:ascii="Times New Roman" w:eastAsia="Times New Roman" w:hAnsi="Times New Roman" w:cs="Times New Roman"/>
          <w:color w:val="000000"/>
          <w:sz w:val="24"/>
          <w:szCs w:val="24"/>
          <w:lang w:val="en-US"/>
        </w:rPr>
        <w:t xml:space="preserve"> = 0.21, </w:t>
      </w:r>
      <w:r w:rsidRPr="00717DE4">
        <w:rPr>
          <w:rFonts w:ascii="Times New Roman" w:eastAsia="Times New Roman" w:hAnsi="Times New Roman" w:cs="Times New Roman"/>
          <w:i/>
          <w:iCs/>
          <w:color w:val="000000"/>
          <w:sz w:val="24"/>
          <w:szCs w:val="24"/>
          <w:lang w:val="en-US"/>
        </w:rPr>
        <w:t>t</w:t>
      </w:r>
      <w:r w:rsidRPr="00717DE4">
        <w:rPr>
          <w:rFonts w:ascii="Times New Roman" w:eastAsia="Times New Roman" w:hAnsi="Times New Roman" w:cs="Times New Roman"/>
          <w:color w:val="000000"/>
          <w:sz w:val="24"/>
          <w:szCs w:val="24"/>
          <w:lang w:val="en-US"/>
        </w:rPr>
        <w:t xml:space="preserve">(356) = 1.05, </w:t>
      </w:r>
      <w:r w:rsidRPr="00717DE4">
        <w:rPr>
          <w:rFonts w:ascii="Times New Roman" w:eastAsia="Times New Roman" w:hAnsi="Times New Roman" w:cs="Times New Roman"/>
          <w:i/>
          <w:iCs/>
          <w:color w:val="000000"/>
          <w:sz w:val="24"/>
          <w:szCs w:val="24"/>
          <w:lang w:val="en-US"/>
        </w:rPr>
        <w:t>p</w:t>
      </w:r>
      <w:r w:rsidRPr="00717DE4">
        <w:rPr>
          <w:rFonts w:ascii="Times New Roman" w:eastAsia="Times New Roman" w:hAnsi="Times New Roman" w:cs="Times New Roman"/>
          <w:color w:val="000000"/>
          <w:sz w:val="24"/>
          <w:szCs w:val="24"/>
          <w:lang w:val="en-US"/>
        </w:rPr>
        <w:t xml:space="preserve"> = .295, 95% CIs [-0.64, 0.19].</w:t>
      </w:r>
    </w:p>
    <w:p w:rsidR="00717DE4" w:rsidRPr="00717DE4" w:rsidRDefault="00717DE4" w:rsidP="00717DE4">
      <w:pPr>
        <w:spacing w:after="0" w:line="480" w:lineRule="auto"/>
        <w:ind w:left="-284"/>
        <w:rPr>
          <w:rFonts w:ascii="Times New Roman" w:hAnsi="Times New Roman" w:cs="Times New Roman"/>
          <w:sz w:val="24"/>
          <w:szCs w:val="24"/>
          <w:lang w:val="en-US"/>
        </w:rPr>
      </w:pPr>
      <w:r w:rsidRPr="00717DE4">
        <w:rPr>
          <w:rFonts w:ascii="Times New Roman" w:hAnsi="Times New Roman" w:cs="Times New Roman"/>
          <w:b/>
          <w:bCs/>
          <w:i/>
          <w:iCs/>
          <w:sz w:val="24"/>
          <w:szCs w:val="24"/>
          <w:lang w:val="en-US"/>
        </w:rPr>
        <w:tab/>
      </w:r>
      <w:r w:rsidRPr="00717DE4">
        <w:rPr>
          <w:rFonts w:ascii="Times New Roman" w:hAnsi="Times New Roman" w:cs="Times New Roman"/>
          <w:b/>
          <w:bCs/>
          <w:sz w:val="24"/>
          <w:szCs w:val="24"/>
          <w:lang w:val="en-US"/>
        </w:rPr>
        <w:t xml:space="preserve">Exploratory Analyses. </w:t>
      </w:r>
      <w:r w:rsidRPr="00717DE4">
        <w:rPr>
          <w:rFonts w:ascii="Times New Roman" w:hAnsi="Times New Roman" w:cs="Times New Roman"/>
          <w:sz w:val="24"/>
          <w:szCs w:val="24"/>
          <w:lang w:val="en-US"/>
        </w:rPr>
        <w:t>In order to better understand the non-significant correlation between activation levels of the behavioral inhibition system and ingroup bias, we ran exploratory mediation analyses for the two components of ingroup bias, namely outgroup warmth/competence rating and ingroup warmth/competence rating.</w:t>
      </w:r>
    </w:p>
    <w:p w:rsidR="00717DE4" w:rsidRPr="00717DE4" w:rsidRDefault="00717DE4" w:rsidP="00717DE4">
      <w:pPr>
        <w:spacing w:after="0" w:line="480" w:lineRule="auto"/>
        <w:ind w:left="-284"/>
        <w:rPr>
          <w:rFonts w:ascii="Times New Roman" w:hAnsi="Times New Roman" w:cs="Times New Roman"/>
          <w:sz w:val="24"/>
          <w:szCs w:val="24"/>
          <w:lang w:val="en-US"/>
        </w:rPr>
      </w:pPr>
      <w:r w:rsidRPr="00717DE4">
        <w:rPr>
          <w:rFonts w:ascii="Times New Roman" w:hAnsi="Times New Roman" w:cs="Times New Roman"/>
          <w:b/>
          <w:bCs/>
          <w:i/>
          <w:iCs/>
          <w:sz w:val="24"/>
          <w:szCs w:val="24"/>
          <w:lang w:val="en-US"/>
        </w:rPr>
        <w:tab/>
        <w:t xml:space="preserve">Outgroup Warmth/Competence. </w:t>
      </w:r>
      <w:r w:rsidRPr="00717DE4">
        <w:rPr>
          <w:rFonts w:ascii="Times New Roman" w:hAnsi="Times New Roman" w:cs="Times New Roman"/>
          <w:sz w:val="24"/>
          <w:szCs w:val="24"/>
          <w:lang w:val="en-US"/>
        </w:rPr>
        <w:t xml:space="preserve">The regression coefficient between COVID-19 threat levels and outgroup warmth/competence rating (i.e., total effect) was non-significant, </w:t>
      </w:r>
      <w:r w:rsidRPr="00717DE4">
        <w:rPr>
          <w:rFonts w:ascii="Times New Roman" w:hAnsi="Times New Roman" w:cs="Times New Roman"/>
          <w:i/>
          <w:iCs/>
          <w:sz w:val="24"/>
          <w:szCs w:val="24"/>
          <w:lang w:val="en-US"/>
        </w:rPr>
        <w:t>b</w:t>
      </w:r>
      <w:r w:rsidRPr="00717DE4">
        <w:rPr>
          <w:rFonts w:ascii="Times New Roman" w:hAnsi="Times New Roman" w:cs="Times New Roman"/>
          <w:sz w:val="24"/>
          <w:szCs w:val="24"/>
          <w:lang w:val="en-US"/>
        </w:rPr>
        <w:t xml:space="preserve"> = - 0.1, </w:t>
      </w:r>
      <w:r w:rsidRPr="00717DE4">
        <w:rPr>
          <w:rFonts w:ascii="Times New Roman" w:hAnsi="Times New Roman" w:cs="Times New Roman"/>
          <w:i/>
          <w:iCs/>
          <w:sz w:val="24"/>
          <w:szCs w:val="24"/>
          <w:lang w:val="en-US"/>
        </w:rPr>
        <w:t>SE</w:t>
      </w:r>
      <w:r w:rsidRPr="00717DE4">
        <w:rPr>
          <w:rFonts w:ascii="Times New Roman" w:hAnsi="Times New Roman" w:cs="Times New Roman"/>
          <w:sz w:val="24"/>
          <w:szCs w:val="24"/>
          <w:lang w:val="en-US"/>
        </w:rPr>
        <w:t xml:space="preserve"> = 0.12, </w:t>
      </w:r>
      <w:r w:rsidRPr="00717DE4">
        <w:rPr>
          <w:rFonts w:ascii="Times New Roman" w:hAnsi="Times New Roman" w:cs="Times New Roman"/>
          <w:i/>
          <w:iCs/>
          <w:sz w:val="24"/>
          <w:szCs w:val="24"/>
          <w:lang w:val="en-US"/>
        </w:rPr>
        <w:t>t</w:t>
      </w:r>
      <w:r w:rsidRPr="00717DE4">
        <w:rPr>
          <w:rFonts w:ascii="Times New Roman" w:hAnsi="Times New Roman" w:cs="Times New Roman"/>
          <w:sz w:val="24"/>
          <w:szCs w:val="24"/>
          <w:lang w:val="en-US"/>
        </w:rPr>
        <w:t xml:space="preserve">(356) = 0.88, </w:t>
      </w:r>
      <w:r w:rsidRPr="00717DE4">
        <w:rPr>
          <w:rFonts w:ascii="Times New Roman" w:hAnsi="Times New Roman" w:cs="Times New Roman"/>
          <w:i/>
          <w:iCs/>
          <w:sz w:val="24"/>
          <w:szCs w:val="24"/>
          <w:lang w:val="en-US"/>
        </w:rPr>
        <w:t>p</w:t>
      </w:r>
      <w:r w:rsidRPr="00717DE4">
        <w:rPr>
          <w:rFonts w:ascii="Times New Roman" w:hAnsi="Times New Roman" w:cs="Times New Roman"/>
          <w:sz w:val="24"/>
          <w:szCs w:val="24"/>
          <w:lang w:val="en-US"/>
        </w:rPr>
        <w:t xml:space="preserve"> = .382, 95% CIs [-0.34, 0.13]. The indirect effect of COVID-19 threat levels via behavioral inhibition levels on outgroup warmth/competence rating was significant, </w:t>
      </w:r>
      <w:r w:rsidRPr="00717DE4">
        <w:rPr>
          <w:rFonts w:ascii="Times New Roman" w:hAnsi="Times New Roman" w:cs="Times New Roman"/>
          <w:i/>
          <w:iCs/>
          <w:sz w:val="24"/>
          <w:szCs w:val="24"/>
          <w:lang w:val="en-US"/>
        </w:rPr>
        <w:t>b</w:t>
      </w:r>
      <w:r w:rsidRPr="00717DE4">
        <w:rPr>
          <w:rFonts w:ascii="Times New Roman" w:hAnsi="Times New Roman" w:cs="Times New Roman"/>
          <w:sz w:val="24"/>
          <w:szCs w:val="24"/>
          <w:lang w:val="en-US"/>
        </w:rPr>
        <w:t xml:space="preserve"> = 0.18, </w:t>
      </w:r>
      <w:r w:rsidRPr="00717DE4">
        <w:rPr>
          <w:rFonts w:ascii="Times New Roman" w:hAnsi="Times New Roman" w:cs="Times New Roman"/>
          <w:i/>
          <w:iCs/>
          <w:sz w:val="24"/>
          <w:szCs w:val="24"/>
          <w:lang w:val="en-US"/>
        </w:rPr>
        <w:t>SE</w:t>
      </w:r>
      <w:r w:rsidRPr="00717DE4">
        <w:rPr>
          <w:rFonts w:ascii="Times New Roman" w:hAnsi="Times New Roman" w:cs="Times New Roman"/>
          <w:sz w:val="24"/>
          <w:szCs w:val="24"/>
          <w:lang w:val="en-US"/>
        </w:rPr>
        <w:t xml:space="preserve"> = 0.09, 95% CIs [0.02, 0.36].</w:t>
      </w:r>
    </w:p>
    <w:p w:rsidR="00717DE4" w:rsidRPr="00717DE4" w:rsidRDefault="00717DE4" w:rsidP="00717DE4">
      <w:pPr>
        <w:spacing w:after="0" w:line="480" w:lineRule="auto"/>
        <w:ind w:left="-284"/>
        <w:rPr>
          <w:rFonts w:ascii="Times New Roman" w:hAnsi="Times New Roman" w:cs="Times New Roman"/>
          <w:sz w:val="24"/>
          <w:szCs w:val="24"/>
          <w:lang w:val="en-US"/>
        </w:rPr>
      </w:pPr>
      <w:r w:rsidRPr="00717DE4">
        <w:rPr>
          <w:rFonts w:ascii="Times New Roman" w:hAnsi="Times New Roman" w:cs="Times New Roman"/>
          <w:sz w:val="24"/>
          <w:szCs w:val="24"/>
          <w:lang w:val="en-US"/>
        </w:rPr>
        <w:tab/>
        <w:t xml:space="preserve">Furthermore, the regression coefficient between behavioral inhibition levels and outgroup warmth/competence rating when controlling for the variance shared by COVID-19 threat levels and outgroup warmth/competence was significant, </w:t>
      </w:r>
      <w:r w:rsidRPr="00717DE4">
        <w:rPr>
          <w:rFonts w:ascii="Times New Roman" w:hAnsi="Times New Roman" w:cs="Times New Roman"/>
          <w:i/>
          <w:iCs/>
          <w:sz w:val="24"/>
          <w:szCs w:val="24"/>
          <w:lang w:val="en-US"/>
        </w:rPr>
        <w:t>b</w:t>
      </w:r>
      <w:r w:rsidRPr="00717DE4">
        <w:rPr>
          <w:rFonts w:ascii="Times New Roman" w:hAnsi="Times New Roman" w:cs="Times New Roman"/>
          <w:sz w:val="24"/>
          <w:szCs w:val="24"/>
          <w:lang w:val="en-US"/>
        </w:rPr>
        <w:t xml:space="preserve"> = 0.19, </w:t>
      </w:r>
      <w:r w:rsidRPr="00717DE4">
        <w:rPr>
          <w:rFonts w:ascii="Times New Roman" w:hAnsi="Times New Roman" w:cs="Times New Roman"/>
          <w:i/>
          <w:iCs/>
          <w:sz w:val="24"/>
          <w:szCs w:val="24"/>
          <w:lang w:val="en-US"/>
        </w:rPr>
        <w:t>SE</w:t>
      </w:r>
      <w:r w:rsidRPr="00717DE4">
        <w:rPr>
          <w:rFonts w:ascii="Times New Roman" w:hAnsi="Times New Roman" w:cs="Times New Roman"/>
          <w:sz w:val="24"/>
          <w:szCs w:val="24"/>
          <w:lang w:val="en-US"/>
        </w:rPr>
        <w:t xml:space="preserve"> = 0.09, </w:t>
      </w:r>
      <w:r w:rsidRPr="00717DE4">
        <w:rPr>
          <w:rFonts w:ascii="Times New Roman" w:hAnsi="Times New Roman" w:cs="Times New Roman"/>
          <w:i/>
          <w:iCs/>
          <w:sz w:val="24"/>
          <w:szCs w:val="24"/>
          <w:lang w:val="en-US"/>
        </w:rPr>
        <w:t>t</w:t>
      </w:r>
      <w:r w:rsidRPr="00717DE4">
        <w:rPr>
          <w:rFonts w:ascii="Times New Roman" w:hAnsi="Times New Roman" w:cs="Times New Roman"/>
          <w:sz w:val="24"/>
          <w:szCs w:val="24"/>
          <w:lang w:val="en-US"/>
        </w:rPr>
        <w:t xml:space="preserve">(356) = 2.21, </w:t>
      </w:r>
      <w:r w:rsidRPr="00717DE4">
        <w:rPr>
          <w:rFonts w:ascii="Times New Roman" w:hAnsi="Times New Roman" w:cs="Times New Roman"/>
          <w:i/>
          <w:iCs/>
          <w:sz w:val="24"/>
          <w:szCs w:val="24"/>
          <w:lang w:val="en-US"/>
        </w:rPr>
        <w:t>p</w:t>
      </w:r>
      <w:r w:rsidRPr="00717DE4">
        <w:rPr>
          <w:rFonts w:ascii="Times New Roman" w:hAnsi="Times New Roman" w:cs="Times New Roman"/>
          <w:sz w:val="24"/>
          <w:szCs w:val="24"/>
          <w:lang w:val="en-US"/>
        </w:rPr>
        <w:t xml:space="preserve"> = .028, 95% CIs [0.02, 0.36]. The direct effect, namely the regression coefficient between COVID-19 threat levels and outgroup warmth/competence rating was significant, </w:t>
      </w:r>
      <w:r w:rsidRPr="00717DE4">
        <w:rPr>
          <w:rFonts w:ascii="Times New Roman" w:hAnsi="Times New Roman" w:cs="Times New Roman"/>
          <w:i/>
          <w:iCs/>
          <w:sz w:val="24"/>
          <w:szCs w:val="24"/>
          <w:lang w:val="en-US"/>
        </w:rPr>
        <w:t>b</w:t>
      </w:r>
      <w:r w:rsidRPr="00717DE4">
        <w:rPr>
          <w:rFonts w:ascii="Times New Roman" w:hAnsi="Times New Roman" w:cs="Times New Roman"/>
          <w:sz w:val="24"/>
          <w:szCs w:val="24"/>
          <w:lang w:val="en-US"/>
        </w:rPr>
        <w:t xml:space="preserve"> = -0.29, </w:t>
      </w:r>
      <w:r w:rsidRPr="00717DE4">
        <w:rPr>
          <w:rFonts w:ascii="Times New Roman" w:hAnsi="Times New Roman" w:cs="Times New Roman"/>
          <w:i/>
          <w:iCs/>
          <w:sz w:val="24"/>
          <w:szCs w:val="24"/>
          <w:lang w:val="en-US"/>
        </w:rPr>
        <w:t>SE</w:t>
      </w:r>
      <w:r w:rsidRPr="00717DE4">
        <w:rPr>
          <w:rFonts w:ascii="Times New Roman" w:hAnsi="Times New Roman" w:cs="Times New Roman"/>
          <w:sz w:val="24"/>
          <w:szCs w:val="24"/>
          <w:lang w:val="en-US"/>
        </w:rPr>
        <w:t xml:space="preserve"> = 0.14, </w:t>
      </w:r>
      <w:r w:rsidRPr="00717DE4">
        <w:rPr>
          <w:rFonts w:ascii="Times New Roman" w:hAnsi="Times New Roman" w:cs="Times New Roman"/>
          <w:i/>
          <w:iCs/>
          <w:sz w:val="24"/>
          <w:szCs w:val="24"/>
          <w:lang w:val="en-US"/>
        </w:rPr>
        <w:t>t</w:t>
      </w:r>
      <w:r w:rsidRPr="00717DE4">
        <w:rPr>
          <w:rFonts w:ascii="Times New Roman" w:hAnsi="Times New Roman" w:cs="Times New Roman"/>
          <w:sz w:val="24"/>
          <w:szCs w:val="24"/>
          <w:lang w:val="en-US"/>
        </w:rPr>
        <w:t xml:space="preserve">(356) = 1.99, </w:t>
      </w:r>
      <w:r w:rsidRPr="00717DE4">
        <w:rPr>
          <w:rFonts w:ascii="Times New Roman" w:hAnsi="Times New Roman" w:cs="Times New Roman"/>
          <w:i/>
          <w:iCs/>
          <w:sz w:val="24"/>
          <w:szCs w:val="24"/>
          <w:lang w:val="en-US"/>
        </w:rPr>
        <w:t>p</w:t>
      </w:r>
      <w:r w:rsidRPr="00717DE4">
        <w:rPr>
          <w:rFonts w:ascii="Times New Roman" w:hAnsi="Times New Roman" w:cs="Times New Roman"/>
          <w:sz w:val="24"/>
          <w:szCs w:val="24"/>
          <w:lang w:val="en-US"/>
        </w:rPr>
        <w:t xml:space="preserve"> = .048, 95% CIs [-0.57, -0.003].</w:t>
      </w:r>
    </w:p>
    <w:p w:rsidR="00717DE4" w:rsidRDefault="00717DE4" w:rsidP="00717DE4">
      <w:pPr>
        <w:pStyle w:val="NormalWeb"/>
        <w:shd w:val="clear" w:color="auto" w:fill="FFFFFF"/>
        <w:spacing w:before="0" w:beforeAutospacing="0" w:after="0" w:afterAutospacing="0" w:line="480" w:lineRule="auto"/>
        <w:ind w:left="-300" w:right="-300" w:firstLine="16"/>
      </w:pPr>
      <w:r w:rsidRPr="00B962C4">
        <w:rPr>
          <w:b/>
          <w:bCs/>
          <w:i/>
          <w:iCs/>
        </w:rPr>
        <w:tab/>
      </w:r>
      <w:proofErr w:type="spellStart"/>
      <w:r w:rsidRPr="00B962C4">
        <w:rPr>
          <w:b/>
          <w:bCs/>
          <w:i/>
          <w:iCs/>
        </w:rPr>
        <w:t>Ingroup</w:t>
      </w:r>
      <w:proofErr w:type="spellEnd"/>
      <w:r w:rsidRPr="00B962C4">
        <w:rPr>
          <w:b/>
          <w:bCs/>
          <w:i/>
          <w:iCs/>
        </w:rPr>
        <w:t xml:space="preserve"> Warmth/Competence. </w:t>
      </w:r>
      <w:r w:rsidRPr="00B962C4">
        <w:t xml:space="preserve">The regression coefficient between COVID-19 threat levels and </w:t>
      </w:r>
      <w:proofErr w:type="spellStart"/>
      <w:r w:rsidRPr="00B962C4">
        <w:t>ingroup</w:t>
      </w:r>
      <w:proofErr w:type="spellEnd"/>
      <w:r w:rsidRPr="00B962C4">
        <w:t xml:space="preserve"> warmth/competence rating (i.e., total effect) was significant, </w:t>
      </w:r>
      <w:r w:rsidRPr="00B962C4">
        <w:rPr>
          <w:i/>
          <w:iCs/>
        </w:rPr>
        <w:t>b</w:t>
      </w:r>
      <w:r w:rsidRPr="00B962C4">
        <w:t xml:space="preserve"> = 0.18, </w:t>
      </w:r>
      <w:r w:rsidRPr="00B962C4">
        <w:rPr>
          <w:i/>
          <w:iCs/>
        </w:rPr>
        <w:t>SE</w:t>
      </w:r>
      <w:r w:rsidRPr="00B962C4">
        <w:t xml:space="preserve"> = 0.09, </w:t>
      </w:r>
      <w:proofErr w:type="gramStart"/>
      <w:r w:rsidRPr="00B962C4">
        <w:rPr>
          <w:i/>
          <w:iCs/>
        </w:rPr>
        <w:t>t</w:t>
      </w:r>
      <w:r w:rsidRPr="00B962C4">
        <w:t>(</w:t>
      </w:r>
      <w:proofErr w:type="gramEnd"/>
      <w:r w:rsidRPr="00B962C4">
        <w:t>356) = 2.0</w:t>
      </w:r>
      <w:r>
        <w:t>0</w:t>
      </w:r>
      <w:r w:rsidRPr="00B962C4">
        <w:t xml:space="preserve">, </w:t>
      </w:r>
      <w:r w:rsidRPr="00B962C4">
        <w:rPr>
          <w:i/>
          <w:iCs/>
        </w:rPr>
        <w:t>p</w:t>
      </w:r>
      <w:r w:rsidRPr="00B962C4">
        <w:t xml:space="preserve"> = .046, 95% CIs [0.003, 0.36]. The indirect effect of COVID-19 threat levels via behavioral inhibition levels on </w:t>
      </w:r>
      <w:proofErr w:type="spellStart"/>
      <w:r w:rsidRPr="00B962C4">
        <w:t>ingroup</w:t>
      </w:r>
      <w:proofErr w:type="spellEnd"/>
      <w:r w:rsidRPr="00B962C4">
        <w:t xml:space="preserve"> warmth/competence rating was significant, </w:t>
      </w:r>
      <w:r w:rsidRPr="00B962C4">
        <w:rPr>
          <w:i/>
          <w:iCs/>
        </w:rPr>
        <w:t>b</w:t>
      </w:r>
      <w:r w:rsidRPr="00B962C4">
        <w:t xml:space="preserve"> = 0.14, </w:t>
      </w:r>
      <w:r w:rsidRPr="00B962C4">
        <w:rPr>
          <w:i/>
          <w:iCs/>
        </w:rPr>
        <w:t>SE</w:t>
      </w:r>
      <w:r w:rsidRPr="00B962C4">
        <w:t xml:space="preserve"> = 0.07, 95% </w:t>
      </w:r>
      <w:r w:rsidRPr="00B962C4">
        <w:lastRenderedPageBreak/>
        <w:t xml:space="preserve">CIs [0.005, 0.28]. Furthermore, the regression coefficient between behavioral inhibition levels and </w:t>
      </w:r>
      <w:proofErr w:type="spellStart"/>
      <w:r w:rsidRPr="00B962C4">
        <w:t>ingroup</w:t>
      </w:r>
      <w:proofErr w:type="spellEnd"/>
      <w:r w:rsidRPr="00B962C4">
        <w:t xml:space="preserve"> warmth/competence rating when controlling for the variance shared by COVID-19 threat levels and </w:t>
      </w:r>
      <w:proofErr w:type="spellStart"/>
      <w:r w:rsidRPr="00B962C4">
        <w:t>ingroup</w:t>
      </w:r>
      <w:proofErr w:type="spellEnd"/>
      <w:r w:rsidRPr="00B962C4">
        <w:t xml:space="preserve"> bias was significant, </w:t>
      </w:r>
      <w:r w:rsidRPr="00B962C4">
        <w:rPr>
          <w:i/>
          <w:iCs/>
        </w:rPr>
        <w:t>b</w:t>
      </w:r>
      <w:r w:rsidRPr="00B962C4">
        <w:t xml:space="preserve"> = 0.15, </w:t>
      </w:r>
      <w:r w:rsidRPr="00B962C4">
        <w:rPr>
          <w:i/>
          <w:iCs/>
        </w:rPr>
        <w:t>SE</w:t>
      </w:r>
      <w:r w:rsidRPr="00B962C4">
        <w:t xml:space="preserve"> = 0.07, </w:t>
      </w:r>
      <w:r w:rsidRPr="00B962C4">
        <w:rPr>
          <w:i/>
          <w:iCs/>
        </w:rPr>
        <w:t>t</w:t>
      </w:r>
      <w:r w:rsidRPr="00B962C4">
        <w:t xml:space="preserve">(356) = 2.23, </w:t>
      </w:r>
      <w:r w:rsidRPr="00B962C4">
        <w:rPr>
          <w:i/>
          <w:iCs/>
        </w:rPr>
        <w:t>p</w:t>
      </w:r>
      <w:r w:rsidRPr="00B962C4">
        <w:t xml:space="preserve"> = .026, 95% CIs [0.02, 0.28]. The direct effect, namely the regression coefficient between COVID-19 threat levels and </w:t>
      </w:r>
      <w:proofErr w:type="spellStart"/>
      <w:r w:rsidRPr="00B962C4">
        <w:t>ingroup</w:t>
      </w:r>
      <w:proofErr w:type="spellEnd"/>
      <w:r w:rsidRPr="00B962C4">
        <w:t xml:space="preserve"> warmth/competence rating was non-significant, </w:t>
      </w:r>
      <w:r w:rsidRPr="00B962C4">
        <w:rPr>
          <w:i/>
          <w:iCs/>
        </w:rPr>
        <w:t>b</w:t>
      </w:r>
      <w:r w:rsidRPr="00B962C4">
        <w:t xml:space="preserve"> = 0.04, </w:t>
      </w:r>
      <w:r w:rsidRPr="00B962C4">
        <w:rPr>
          <w:i/>
          <w:iCs/>
        </w:rPr>
        <w:t>SE</w:t>
      </w:r>
      <w:r w:rsidRPr="00B962C4">
        <w:t xml:space="preserve"> = 0.11, </w:t>
      </w:r>
      <w:proofErr w:type="gramStart"/>
      <w:r w:rsidRPr="00B962C4">
        <w:rPr>
          <w:i/>
          <w:iCs/>
        </w:rPr>
        <w:t>t</w:t>
      </w:r>
      <w:r w:rsidRPr="00B962C4">
        <w:t>(</w:t>
      </w:r>
      <w:proofErr w:type="gramEnd"/>
      <w:r w:rsidRPr="00B962C4">
        <w:t xml:space="preserve">356) = 0.374, </w:t>
      </w:r>
      <w:r w:rsidRPr="00B962C4">
        <w:rPr>
          <w:i/>
          <w:iCs/>
        </w:rPr>
        <w:t>p</w:t>
      </w:r>
      <w:r w:rsidRPr="00B962C4">
        <w:t xml:space="preserve"> = .709, 95% CIs [-0.18, 0.26].</w:t>
      </w:r>
    </w:p>
    <w:p w:rsidR="00717DE4" w:rsidRDefault="00717DE4" w:rsidP="00717DE4">
      <w:pPr>
        <w:pStyle w:val="NormalWeb"/>
        <w:shd w:val="clear" w:color="auto" w:fill="FFFFFF"/>
        <w:spacing w:before="0" w:beforeAutospacing="0" w:after="0" w:afterAutospacing="0" w:line="480" w:lineRule="auto"/>
        <w:ind w:left="-300" w:right="-300" w:firstLine="300"/>
      </w:pPr>
    </w:p>
    <w:p w:rsidR="002034FE" w:rsidRPr="00717DE4" w:rsidRDefault="002034FE">
      <w:pPr>
        <w:rPr>
          <w:lang w:val="en-US"/>
        </w:rPr>
      </w:pPr>
    </w:p>
    <w:sectPr w:rsidR="002034FE" w:rsidRPr="00717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E9"/>
    <w:rsid w:val="002034FE"/>
    <w:rsid w:val="00717DE4"/>
    <w:rsid w:val="00767E37"/>
    <w:rsid w:val="00BA77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3D84"/>
  <w15:chartTrackingRefBased/>
  <w15:docId w15:val="{3AA89FAA-878B-4055-87C2-005C2DB3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DE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Willardt  Robin</dc:creator>
  <cp:keywords/>
  <dc:description/>
  <cp:lastModifiedBy>Willardt  Robin</cp:lastModifiedBy>
  <cp:revision>3</cp:revision>
  <cp:lastPrinted>2020-08-28T08:51:00Z</cp:lastPrinted>
  <dcterms:created xsi:type="dcterms:W3CDTF">2020-08-28T08:49:00Z</dcterms:created>
  <dcterms:modified xsi:type="dcterms:W3CDTF">2020-08-28T08:52:00Z</dcterms:modified>
</cp:coreProperties>
</file>