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21" w:rsidRPr="00CB3700" w:rsidRDefault="009A5D21" w:rsidP="009A5D21">
      <w:pPr>
        <w:rPr>
          <w:rFonts w:ascii="Times New Roman" w:hAnsi="Times New Roman"/>
          <w:b/>
          <w:sz w:val="24"/>
        </w:rPr>
      </w:pPr>
      <w:r w:rsidRPr="00CB3700">
        <w:rPr>
          <w:rFonts w:ascii="Times New Roman" w:hAnsi="Times New Roman"/>
          <w:b/>
          <w:sz w:val="24"/>
        </w:rPr>
        <w:t>The Newcastle-Ottawa Scale (NOS) for assessing the quality of cohort studies.</w:t>
      </w:r>
    </w:p>
    <w:tbl>
      <w:tblPr>
        <w:tblpPr w:leftFromText="180" w:rightFromText="180" w:vertAnchor="page" w:horzAnchor="margin" w:tblpY="2476"/>
        <w:tblW w:w="14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301"/>
        <w:gridCol w:w="1340"/>
        <w:gridCol w:w="1247"/>
        <w:gridCol w:w="981"/>
        <w:gridCol w:w="1462"/>
        <w:gridCol w:w="1140"/>
        <w:gridCol w:w="1124"/>
        <w:gridCol w:w="1623"/>
        <w:gridCol w:w="1367"/>
        <w:gridCol w:w="1449"/>
        <w:gridCol w:w="1161"/>
      </w:tblGrid>
      <w:tr w:rsidR="009A5D21" w:rsidRPr="000A1A5D" w:rsidTr="00F01363">
        <w:trPr>
          <w:trHeight w:val="1205"/>
        </w:trPr>
        <w:tc>
          <w:tcPr>
            <w:tcW w:w="1301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1070"/>
            </w:tblGrid>
            <w:tr w:rsidR="008332FD" w:rsidRPr="000E6244" w:rsidTr="00D75DA1">
              <w:tc>
                <w:tcPr>
                  <w:tcW w:w="1070" w:type="dxa"/>
                </w:tcPr>
                <w:p w:rsidR="008332FD" w:rsidRPr="000E6244" w:rsidRDefault="008332FD" w:rsidP="00BB2E12">
                  <w:pPr>
                    <w:framePr w:hSpace="180" w:wrap="around" w:vAnchor="page" w:hAnchor="margin" w:y="2476"/>
                    <w:topLinePunct/>
                    <w:snapToGrid w:val="0"/>
                    <w:jc w:val="center"/>
                    <w:textAlignment w:val="baseline"/>
                    <w:rPr>
                      <w:rFonts w:ascii="Times New Roman" w:eastAsia="AdvOTf3919c9c.B" w:hAnsi="Times New Roman"/>
                      <w:b/>
                      <w:sz w:val="18"/>
                      <w:szCs w:val="18"/>
                    </w:rPr>
                  </w:pPr>
                  <w:r w:rsidRPr="008332F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Author</w:t>
                  </w:r>
                </w:p>
              </w:tc>
            </w:tr>
          </w:tbl>
          <w:p w:rsidR="009A5D21" w:rsidRPr="000E6244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b/>
                <w:sz w:val="18"/>
                <w:szCs w:val="18"/>
              </w:rPr>
            </w:pPr>
          </w:p>
        </w:tc>
        <w:tc>
          <w:tcPr>
            <w:tcW w:w="35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A5D21" w:rsidRPr="000E6244" w:rsidRDefault="009A5D21" w:rsidP="00F01363">
            <w:pPr>
              <w:ind w:right="113"/>
              <w:jc w:val="center"/>
              <w:rPr>
                <w:rFonts w:ascii="Times New Roman" w:eastAsia="AdvOTf3919c9c.B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Selection</w:t>
            </w:r>
          </w:p>
        </w:tc>
        <w:tc>
          <w:tcPr>
            <w:tcW w:w="372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A5D21" w:rsidRPr="000E6244" w:rsidRDefault="009A5D21" w:rsidP="00F01363">
            <w:pPr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Comparability</w:t>
            </w:r>
          </w:p>
        </w:tc>
        <w:tc>
          <w:tcPr>
            <w:tcW w:w="443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A5D21" w:rsidRPr="000E6244" w:rsidRDefault="009A5D21" w:rsidP="00F01363">
            <w:pPr>
              <w:ind w:right="113"/>
              <w:jc w:val="center"/>
              <w:rPr>
                <w:rFonts w:ascii="Times New Roman" w:eastAsia="AdvOTf3919c9c.B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Assessment of outcome</w:t>
            </w:r>
          </w:p>
        </w:tc>
        <w:tc>
          <w:tcPr>
            <w:tcW w:w="11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9A5D21" w:rsidRPr="002F2596" w:rsidRDefault="009A5D21" w:rsidP="00F0136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596">
              <w:rPr>
                <w:rFonts w:ascii="Times New Roman" w:hAnsi="Times New Roman"/>
                <w:b/>
                <w:sz w:val="18"/>
                <w:szCs w:val="18"/>
              </w:rPr>
              <w:t>Total quality score</w:t>
            </w:r>
          </w:p>
        </w:tc>
      </w:tr>
      <w:tr w:rsidR="009A5D21" w:rsidRPr="000A1A5D" w:rsidTr="00F01363">
        <w:trPr>
          <w:trHeight w:val="2601"/>
        </w:trPr>
        <w:tc>
          <w:tcPr>
            <w:tcW w:w="1301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Representativeness of exposure arm (s)</w:t>
            </w:r>
          </w:p>
        </w:tc>
        <w:tc>
          <w:tcPr>
            <w:tcW w:w="12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Selection</w:t>
            </w:r>
          </w:p>
          <w:p w:rsidR="009A5D21" w:rsidRPr="000E6244" w:rsidRDefault="009A5D21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of the comparative arm (s)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Origin of exposure source</w:t>
            </w:r>
          </w:p>
        </w:tc>
        <w:tc>
          <w:tcPr>
            <w:tcW w:w="14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Studies controlling the most important factors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Studies controlling the other main factors</w:t>
            </w:r>
          </w:p>
        </w:tc>
        <w:tc>
          <w:tcPr>
            <w:tcW w:w="16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Assessment of outcome with independency</w:t>
            </w:r>
          </w:p>
        </w:tc>
        <w:tc>
          <w:tcPr>
            <w:tcW w:w="13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Adequacy of follow-up length (to assess outcome)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0E6244" w:rsidRDefault="009A5D21" w:rsidP="00F0136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Lost to follow-up acceptable (less than 10% and reported)</w:t>
            </w:r>
          </w:p>
          <w:p w:rsidR="009A5D21" w:rsidRPr="000E6244" w:rsidRDefault="009A5D21" w:rsidP="00F01363">
            <w:pPr>
              <w:topLinePunct/>
              <w:snapToGri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737" w:rsidRPr="000A1A5D" w:rsidTr="00436068">
        <w:trPr>
          <w:trHeight w:val="824"/>
        </w:trPr>
        <w:tc>
          <w:tcPr>
            <w:tcW w:w="13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20737" w:rsidRPr="00A57120" w:rsidRDefault="00F20737" w:rsidP="00F20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20">
              <w:rPr>
                <w:rFonts w:ascii="Times New Roman" w:hAnsi="Times New Roman"/>
                <w:sz w:val="20"/>
                <w:szCs w:val="20"/>
              </w:rPr>
              <w:t>Boyle et al (2015)</w:t>
            </w:r>
            <w:r w:rsidRPr="00A57120">
              <w:rPr>
                <w:rFonts w:ascii="Times New Roman" w:hAnsi="Times New Roman"/>
                <w:sz w:val="20"/>
                <w:szCs w:val="20"/>
                <w:vertAlign w:val="superscript"/>
              </w:rPr>
              <w:t>[17]</w:t>
            </w: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8C035C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146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bookmarkStart w:id="0" w:name="OLE_LINK90"/>
            <w:bookmarkStart w:id="1" w:name="OLE_LINK89"/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  <w:bookmarkEnd w:id="0"/>
            <w:bookmarkEnd w:id="1"/>
          </w:p>
        </w:tc>
        <w:tc>
          <w:tcPr>
            <w:tcW w:w="136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20737" w:rsidRPr="000A1A5D" w:rsidTr="00436068">
        <w:trPr>
          <w:trHeight w:val="77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A57120" w:rsidRDefault="00F20737" w:rsidP="00F20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120">
              <w:rPr>
                <w:rFonts w:ascii="Times New Roman" w:hAnsi="Times New Roman"/>
                <w:sz w:val="20"/>
                <w:szCs w:val="20"/>
              </w:rPr>
              <w:t>Chen et al (2015)</w:t>
            </w:r>
            <w:r w:rsidRPr="00A57120">
              <w:rPr>
                <w:rFonts w:ascii="Times New Roman" w:hAnsi="Times New Roman"/>
                <w:sz w:val="20"/>
                <w:szCs w:val="20"/>
                <w:vertAlign w:val="superscript"/>
              </w:rPr>
              <w:t>[18]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20737" w:rsidRPr="000A1A5D" w:rsidTr="00436068">
        <w:trPr>
          <w:trHeight w:val="778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F20737" w:rsidRPr="00A57120" w:rsidRDefault="00F20737" w:rsidP="00F20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7120">
              <w:rPr>
                <w:rFonts w:ascii="Times New Roman" w:hAnsi="Times New Roman"/>
                <w:sz w:val="20"/>
                <w:szCs w:val="20"/>
              </w:rPr>
              <w:t>Kor</w:t>
            </w:r>
            <w:proofErr w:type="spellEnd"/>
            <w:r w:rsidRPr="00A57120">
              <w:rPr>
                <w:rFonts w:ascii="Times New Roman" w:hAnsi="Times New Roman"/>
                <w:sz w:val="20"/>
                <w:szCs w:val="20"/>
              </w:rPr>
              <w:t xml:space="preserve"> et al (2011)</w:t>
            </w:r>
            <w:r w:rsidRPr="00A57120">
              <w:rPr>
                <w:rFonts w:ascii="Times New Roman" w:hAnsi="Times New Roman"/>
                <w:sz w:val="20"/>
                <w:szCs w:val="20"/>
                <w:vertAlign w:val="superscript"/>
              </w:rPr>
              <w:t>[20]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2C3AE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737" w:rsidRPr="002F2596" w:rsidRDefault="00087081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</w:tr>
      <w:tr w:rsidR="009A5D21" w:rsidRPr="000A1A5D" w:rsidTr="00F01363">
        <w:trPr>
          <w:trHeight w:val="778"/>
        </w:trPr>
        <w:tc>
          <w:tcPr>
            <w:tcW w:w="130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F20737" w:rsidP="00F0136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55A3F">
              <w:rPr>
                <w:rFonts w:ascii="Times New Roman" w:hAnsi="Times New Roman"/>
                <w:sz w:val="20"/>
                <w:szCs w:val="20"/>
              </w:rPr>
              <w:t>Mazzeffi</w:t>
            </w:r>
            <w:proofErr w:type="spellEnd"/>
            <w:r w:rsidRPr="00555A3F">
              <w:rPr>
                <w:rFonts w:ascii="Times New Roman" w:hAnsi="Times New Roman"/>
                <w:sz w:val="20"/>
                <w:szCs w:val="20"/>
              </w:rPr>
              <w:t xml:space="preserve"> et al (2015)</w:t>
            </w:r>
            <w:r w:rsidRPr="00555A3F">
              <w:rPr>
                <w:rFonts w:ascii="Times New Roman" w:hAnsi="Times New Roman"/>
                <w:sz w:val="20"/>
                <w:szCs w:val="20"/>
                <w:vertAlign w:val="superscript"/>
              </w:rPr>
              <w:t>[28]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2C3AE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9A5D2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A5D21" w:rsidRPr="002F2596" w:rsidRDefault="00597D41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7</w:t>
            </w:r>
          </w:p>
        </w:tc>
      </w:tr>
    </w:tbl>
    <w:p w:rsidR="00F20737" w:rsidRDefault="00F20737" w:rsidP="009A5D21">
      <w:pPr>
        <w:rPr>
          <w:szCs w:val="18"/>
        </w:rPr>
      </w:pPr>
    </w:p>
    <w:p w:rsidR="00F20737" w:rsidRDefault="00F20737" w:rsidP="00F20737">
      <w:pPr>
        <w:tabs>
          <w:tab w:val="left" w:pos="1500"/>
        </w:tabs>
        <w:rPr>
          <w:rFonts w:hint="eastAsia"/>
          <w:szCs w:val="18"/>
        </w:rPr>
      </w:pPr>
      <w:r>
        <w:rPr>
          <w:szCs w:val="18"/>
        </w:rPr>
        <w:tab/>
      </w:r>
    </w:p>
    <w:p w:rsidR="008C035C" w:rsidRPr="00CB3700" w:rsidRDefault="008C035C" w:rsidP="008C035C">
      <w:pPr>
        <w:rPr>
          <w:rFonts w:ascii="Times New Roman" w:hAnsi="Times New Roman"/>
          <w:b/>
          <w:sz w:val="24"/>
        </w:rPr>
      </w:pPr>
      <w:r w:rsidRPr="00CB3700">
        <w:rPr>
          <w:rFonts w:ascii="Times New Roman" w:hAnsi="Times New Roman"/>
          <w:b/>
          <w:sz w:val="24"/>
        </w:rPr>
        <w:lastRenderedPageBreak/>
        <w:t>The Newcastle-Ottawa Scale (NOS) for assessing the quality of cohort studies.</w:t>
      </w:r>
    </w:p>
    <w:p w:rsidR="00F20737" w:rsidRDefault="00F20737" w:rsidP="00F20737">
      <w:pPr>
        <w:tabs>
          <w:tab w:val="left" w:pos="1500"/>
        </w:tabs>
        <w:rPr>
          <w:rFonts w:hint="eastAsia"/>
          <w:szCs w:val="18"/>
        </w:rPr>
      </w:pPr>
    </w:p>
    <w:tbl>
      <w:tblPr>
        <w:tblpPr w:leftFromText="180" w:rightFromText="180" w:vertAnchor="page" w:horzAnchor="margin" w:tblpY="2476"/>
        <w:tblW w:w="14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301"/>
        <w:gridCol w:w="1340"/>
        <w:gridCol w:w="1247"/>
        <w:gridCol w:w="981"/>
        <w:gridCol w:w="1462"/>
        <w:gridCol w:w="1140"/>
        <w:gridCol w:w="1124"/>
        <w:gridCol w:w="1623"/>
        <w:gridCol w:w="1367"/>
        <w:gridCol w:w="1449"/>
        <w:gridCol w:w="1161"/>
      </w:tblGrid>
      <w:tr w:rsidR="00F20737" w:rsidRPr="000A1A5D" w:rsidTr="00F01363">
        <w:trPr>
          <w:trHeight w:val="1205"/>
        </w:trPr>
        <w:tc>
          <w:tcPr>
            <w:tcW w:w="1301" w:type="dxa"/>
            <w:vMerge w:val="restart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F20737" w:rsidRPr="000E6244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eastAsia="AdvOTf3919c9c.B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Author</w:t>
            </w:r>
          </w:p>
        </w:tc>
        <w:tc>
          <w:tcPr>
            <w:tcW w:w="35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20737" w:rsidRPr="000E6244" w:rsidRDefault="00F20737" w:rsidP="00F01363">
            <w:pPr>
              <w:ind w:right="113"/>
              <w:jc w:val="center"/>
              <w:rPr>
                <w:rFonts w:ascii="Times New Roman" w:eastAsia="AdvOTf3919c9c.B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Selection</w:t>
            </w:r>
          </w:p>
        </w:tc>
        <w:tc>
          <w:tcPr>
            <w:tcW w:w="3726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20737" w:rsidRPr="000E6244" w:rsidRDefault="00F20737" w:rsidP="00F01363">
            <w:pPr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Comparability</w:t>
            </w:r>
          </w:p>
        </w:tc>
        <w:tc>
          <w:tcPr>
            <w:tcW w:w="443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20737" w:rsidRPr="000E6244" w:rsidRDefault="00F20737" w:rsidP="00F01363">
            <w:pPr>
              <w:ind w:right="113"/>
              <w:jc w:val="center"/>
              <w:rPr>
                <w:rFonts w:ascii="Times New Roman" w:eastAsia="AdvOTf3919c9c.B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Assessment of outcome</w:t>
            </w:r>
          </w:p>
        </w:tc>
        <w:tc>
          <w:tcPr>
            <w:tcW w:w="11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F20737" w:rsidRPr="002F2596" w:rsidRDefault="00F20737" w:rsidP="00F0136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596">
              <w:rPr>
                <w:rFonts w:ascii="Times New Roman" w:hAnsi="Times New Roman"/>
                <w:b/>
                <w:sz w:val="18"/>
                <w:szCs w:val="18"/>
              </w:rPr>
              <w:t>Total quality score</w:t>
            </w:r>
          </w:p>
        </w:tc>
      </w:tr>
      <w:tr w:rsidR="00F20737" w:rsidRPr="000A1A5D" w:rsidTr="00F01363">
        <w:trPr>
          <w:trHeight w:val="2601"/>
        </w:trPr>
        <w:tc>
          <w:tcPr>
            <w:tcW w:w="1301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Representativeness of exposure arm (s)</w:t>
            </w:r>
          </w:p>
        </w:tc>
        <w:tc>
          <w:tcPr>
            <w:tcW w:w="12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Selection</w:t>
            </w:r>
          </w:p>
          <w:p w:rsidR="00F20737" w:rsidRPr="000E6244" w:rsidRDefault="00F20737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of the comparative arm (s)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Origin of exposure source</w:t>
            </w:r>
          </w:p>
        </w:tc>
        <w:tc>
          <w:tcPr>
            <w:tcW w:w="146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Demonstration that outcome of interest was not present at start of study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Studies controlling the most important factors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kern w:val="0"/>
                <w:sz w:val="18"/>
                <w:szCs w:val="18"/>
              </w:rPr>
              <w:t>Studies controlling the other main factors</w:t>
            </w:r>
          </w:p>
        </w:tc>
        <w:tc>
          <w:tcPr>
            <w:tcW w:w="16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Assessment of outcome with independency</w:t>
            </w:r>
          </w:p>
        </w:tc>
        <w:tc>
          <w:tcPr>
            <w:tcW w:w="136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Adequacy of follow-up length (to assess outcome)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0E6244" w:rsidRDefault="00F20737" w:rsidP="00F01363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0E6244">
              <w:rPr>
                <w:rFonts w:ascii="Times New Roman" w:hAnsi="Times New Roman"/>
                <w:b/>
                <w:sz w:val="18"/>
                <w:szCs w:val="18"/>
              </w:rPr>
              <w:t>Lost to follow-up acceptable (less than 10% and reported)</w:t>
            </w:r>
          </w:p>
          <w:p w:rsidR="00F20737" w:rsidRPr="000E6244" w:rsidRDefault="00F20737" w:rsidP="00F01363">
            <w:pPr>
              <w:topLinePunct/>
              <w:snapToGrid w:val="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737" w:rsidRPr="000A1A5D" w:rsidTr="00F01363">
        <w:trPr>
          <w:trHeight w:val="824"/>
        </w:trPr>
        <w:tc>
          <w:tcPr>
            <w:tcW w:w="130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20737" w:rsidRPr="00A57120" w:rsidRDefault="00F20737" w:rsidP="00F013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A3F">
              <w:rPr>
                <w:rFonts w:ascii="Times New Roman" w:hAnsi="Times New Roman"/>
                <w:sz w:val="20"/>
                <w:szCs w:val="20"/>
              </w:rPr>
              <w:t>O’Neal et al (201</w:t>
            </w:r>
            <w:r w:rsidRPr="00555A3F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555A3F">
              <w:rPr>
                <w:rFonts w:ascii="Times New Roman" w:hAnsi="Times New Roman"/>
                <w:sz w:val="20"/>
                <w:szCs w:val="20"/>
              </w:rPr>
              <w:t>)</w:t>
            </w:r>
            <w:r w:rsidRPr="00555A3F">
              <w:rPr>
                <w:rFonts w:ascii="Times New Roman" w:hAnsi="Times New Roman"/>
                <w:sz w:val="20"/>
                <w:szCs w:val="20"/>
                <w:vertAlign w:val="superscript"/>
              </w:rPr>
              <w:t>[</w:t>
            </w:r>
            <w:r w:rsidRPr="00555A3F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29</w:t>
            </w:r>
            <w:r w:rsidRPr="00555A3F">
              <w:rPr>
                <w:rFonts w:ascii="Times New Roman" w:hAnsi="Times New Roman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B5620C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*</w:t>
            </w:r>
          </w:p>
        </w:tc>
        <w:tc>
          <w:tcPr>
            <w:tcW w:w="98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4A467C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24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67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4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F20737" w:rsidRPr="002F2596" w:rsidRDefault="00F20737" w:rsidP="00F01363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20737" w:rsidRPr="000A1A5D" w:rsidTr="00F20737">
        <w:trPr>
          <w:trHeight w:val="778"/>
        </w:trPr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0737" w:rsidRPr="001F1FD5" w:rsidRDefault="00F20737" w:rsidP="00F207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F1FD5">
              <w:rPr>
                <w:rFonts w:ascii="Times New Roman" w:hAnsi="Times New Roman"/>
                <w:sz w:val="20"/>
                <w:szCs w:val="20"/>
              </w:rPr>
              <w:t>Tuinman</w:t>
            </w:r>
            <w:proofErr w:type="spellEnd"/>
            <w:r w:rsidRPr="001F1FD5">
              <w:rPr>
                <w:rFonts w:ascii="Times New Roman" w:hAnsi="Times New Roman"/>
                <w:sz w:val="20"/>
                <w:szCs w:val="20"/>
              </w:rPr>
              <w:t xml:space="preserve"> et al (201</w:t>
            </w:r>
            <w:r w:rsidRPr="001F1FD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1F1FD5">
              <w:rPr>
                <w:rFonts w:ascii="Times New Roman" w:hAnsi="Times New Roman"/>
                <w:sz w:val="20"/>
                <w:szCs w:val="20"/>
              </w:rPr>
              <w:t>)</w:t>
            </w:r>
            <w:r w:rsidRPr="001F1FD5">
              <w:rPr>
                <w:rFonts w:ascii="Times New Roman" w:hAnsi="Times New Roman"/>
                <w:sz w:val="20"/>
                <w:szCs w:val="20"/>
                <w:vertAlign w:val="superscript"/>
              </w:rPr>
              <w:t>[</w:t>
            </w:r>
            <w:r w:rsidRPr="001F1FD5">
              <w:rPr>
                <w:rFonts w:ascii="Times New Roman" w:hAnsi="Times New Roman" w:hint="eastAsia"/>
                <w:sz w:val="20"/>
                <w:szCs w:val="20"/>
                <w:vertAlign w:val="superscript"/>
              </w:rPr>
              <w:t>30</w:t>
            </w:r>
            <w:r w:rsidRPr="001F1FD5">
              <w:rPr>
                <w:rFonts w:ascii="Times New Roman" w:hAnsi="Times New Roman"/>
                <w:sz w:val="20"/>
                <w:szCs w:val="20"/>
                <w:vertAlign w:val="superscript"/>
              </w:rPr>
              <w:t>]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kern w:val="0"/>
                <w:sz w:val="18"/>
                <w:szCs w:val="18"/>
              </w:rPr>
              <w:t>*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0737" w:rsidRPr="002F2596" w:rsidRDefault="00F20737" w:rsidP="00F20737">
            <w:pPr>
              <w:topLinePunct/>
              <w:snapToGrid w:val="0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2F259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F20737" w:rsidRPr="00F20737" w:rsidRDefault="00F20737" w:rsidP="00F20737">
      <w:pPr>
        <w:tabs>
          <w:tab w:val="left" w:pos="1500"/>
        </w:tabs>
        <w:rPr>
          <w:szCs w:val="18"/>
        </w:rPr>
      </w:pPr>
    </w:p>
    <w:p w:rsidR="00F20737" w:rsidRPr="00F20737" w:rsidRDefault="00F20737" w:rsidP="00F20737">
      <w:pPr>
        <w:rPr>
          <w:szCs w:val="18"/>
        </w:rPr>
      </w:pPr>
    </w:p>
    <w:p w:rsidR="00F20737" w:rsidRPr="00F20737" w:rsidRDefault="00F20737" w:rsidP="00F20737">
      <w:pPr>
        <w:rPr>
          <w:szCs w:val="18"/>
        </w:rPr>
      </w:pPr>
    </w:p>
    <w:p w:rsidR="00F20737" w:rsidRPr="00F20737" w:rsidRDefault="00F20737" w:rsidP="00F20737">
      <w:pPr>
        <w:rPr>
          <w:szCs w:val="18"/>
        </w:rPr>
      </w:pPr>
    </w:p>
    <w:p w:rsidR="00F20737" w:rsidRPr="00F20737" w:rsidRDefault="00F20737" w:rsidP="00F20737">
      <w:pPr>
        <w:rPr>
          <w:szCs w:val="18"/>
        </w:rPr>
      </w:pPr>
    </w:p>
    <w:p w:rsidR="00F20737" w:rsidRPr="00F20737" w:rsidRDefault="00F20737" w:rsidP="00F20737">
      <w:pPr>
        <w:rPr>
          <w:szCs w:val="18"/>
        </w:rPr>
      </w:pPr>
    </w:p>
    <w:p w:rsidR="00F20737" w:rsidRPr="00CB3700" w:rsidRDefault="00CB3700" w:rsidP="00CB3700">
      <w:pPr>
        <w:rPr>
          <w:rFonts w:ascii="Times New Roman" w:hAnsi="Times New Roman"/>
          <w:b/>
          <w:sz w:val="24"/>
        </w:rPr>
      </w:pPr>
      <w:r w:rsidRPr="00CB3700">
        <w:rPr>
          <w:rFonts w:ascii="Times New Roman" w:hAnsi="Times New Roman"/>
          <w:b/>
          <w:sz w:val="24"/>
        </w:rPr>
        <w:lastRenderedPageBreak/>
        <w:t>RCT risk of bias recommended by the Cochrane Collaboration</w:t>
      </w:r>
      <w:r>
        <w:rPr>
          <w:rFonts w:ascii="Times New Roman" w:hAnsi="Times New Roman" w:hint="eastAsia"/>
          <w:b/>
          <w:sz w:val="24"/>
        </w:rPr>
        <w:t>.</w:t>
      </w:r>
    </w:p>
    <w:p w:rsidR="00F20737" w:rsidRPr="00F20737" w:rsidRDefault="00F20737" w:rsidP="00F20737">
      <w:pPr>
        <w:rPr>
          <w:szCs w:val="18"/>
        </w:rPr>
      </w:pPr>
    </w:p>
    <w:p w:rsidR="00F20737" w:rsidRPr="00F20737" w:rsidRDefault="00F20737" w:rsidP="00F20737">
      <w:pPr>
        <w:rPr>
          <w:szCs w:val="18"/>
        </w:rPr>
      </w:pPr>
    </w:p>
    <w:tbl>
      <w:tblPr>
        <w:tblStyle w:val="a5"/>
        <w:tblW w:w="14285" w:type="dxa"/>
        <w:tblInd w:w="-31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1843"/>
        <w:gridCol w:w="284"/>
        <w:gridCol w:w="1417"/>
        <w:gridCol w:w="284"/>
        <w:gridCol w:w="2126"/>
        <w:gridCol w:w="283"/>
        <w:gridCol w:w="1843"/>
        <w:gridCol w:w="284"/>
        <w:gridCol w:w="1559"/>
        <w:gridCol w:w="283"/>
        <w:gridCol w:w="1843"/>
        <w:gridCol w:w="284"/>
        <w:gridCol w:w="959"/>
      </w:tblGrid>
      <w:tr w:rsidR="00A63666" w:rsidTr="00A63666">
        <w:tc>
          <w:tcPr>
            <w:tcW w:w="9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57EE1" w:rsidRDefault="00644C88" w:rsidP="00F20737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Author</w:t>
            </w:r>
          </w:p>
          <w:p w:rsidR="00644C88" w:rsidRDefault="00644C88" w:rsidP="00F2073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(year)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4C88" w:rsidRDefault="00644C88" w:rsidP="00F20737">
            <w:pPr>
              <w:rPr>
                <w:szCs w:val="18"/>
              </w:rPr>
            </w:pPr>
            <w:r w:rsidRPr="00951C78">
              <w:rPr>
                <w:szCs w:val="18"/>
              </w:rPr>
              <w:t>random sequence generation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nil"/>
            </w:tcBorders>
          </w:tcPr>
          <w:p w:rsidR="00644C88" w:rsidRPr="00951C78" w:rsidRDefault="00644C88" w:rsidP="00F20737">
            <w:pPr>
              <w:rPr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4C88" w:rsidRDefault="00644C88" w:rsidP="00F20737">
            <w:pPr>
              <w:rPr>
                <w:szCs w:val="18"/>
              </w:rPr>
            </w:pPr>
            <w:r w:rsidRPr="00951C78">
              <w:rPr>
                <w:szCs w:val="18"/>
              </w:rPr>
              <w:t>allocation concealment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nil"/>
              <w:right w:val="nil"/>
            </w:tcBorders>
            <w:shd w:val="clear" w:color="auto" w:fill="FFFFFF" w:themeFill="background1"/>
          </w:tcPr>
          <w:p w:rsidR="00644C88" w:rsidRPr="00951C78" w:rsidRDefault="00644C88" w:rsidP="00951C78">
            <w:pPr>
              <w:rPr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44C88" w:rsidRPr="00951C78" w:rsidRDefault="00644C88" w:rsidP="00951C78">
            <w:pPr>
              <w:rPr>
                <w:szCs w:val="18"/>
              </w:rPr>
            </w:pPr>
            <w:r w:rsidRPr="00951C78">
              <w:rPr>
                <w:szCs w:val="18"/>
              </w:rPr>
              <w:t>blinding of</w:t>
            </w:r>
          </w:p>
          <w:p w:rsidR="00644C88" w:rsidRDefault="00644C88" w:rsidP="00951C78">
            <w:pPr>
              <w:rPr>
                <w:szCs w:val="18"/>
              </w:rPr>
            </w:pPr>
            <w:r w:rsidRPr="00951C78">
              <w:rPr>
                <w:szCs w:val="18"/>
              </w:rPr>
              <w:t>participants and staff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nil"/>
            </w:tcBorders>
          </w:tcPr>
          <w:p w:rsidR="00644C88" w:rsidRPr="00951C78" w:rsidRDefault="00644C88" w:rsidP="00F20737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4C88" w:rsidRDefault="00644C88" w:rsidP="00F20737">
            <w:pPr>
              <w:rPr>
                <w:szCs w:val="18"/>
              </w:rPr>
            </w:pPr>
            <w:r w:rsidRPr="00951C78">
              <w:rPr>
                <w:szCs w:val="18"/>
              </w:rPr>
              <w:t>blinding of outcome assessors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nil"/>
            </w:tcBorders>
          </w:tcPr>
          <w:p w:rsidR="00644C88" w:rsidRPr="00951C78" w:rsidRDefault="00644C88" w:rsidP="00951C78">
            <w:pPr>
              <w:rPr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4C88" w:rsidRPr="00951C78" w:rsidRDefault="00644C88" w:rsidP="00951C78">
            <w:pPr>
              <w:rPr>
                <w:szCs w:val="18"/>
              </w:rPr>
            </w:pPr>
            <w:r w:rsidRPr="00951C78">
              <w:rPr>
                <w:szCs w:val="18"/>
              </w:rPr>
              <w:t>incomplete</w:t>
            </w:r>
          </w:p>
          <w:p w:rsidR="00644C88" w:rsidRDefault="00644C88" w:rsidP="00951C78">
            <w:pPr>
              <w:rPr>
                <w:szCs w:val="18"/>
              </w:rPr>
            </w:pPr>
            <w:r w:rsidRPr="00951C78">
              <w:rPr>
                <w:szCs w:val="18"/>
              </w:rPr>
              <w:t>outcome data</w:t>
            </w:r>
          </w:p>
        </w:tc>
        <w:tc>
          <w:tcPr>
            <w:tcW w:w="283" w:type="dxa"/>
            <w:tcBorders>
              <w:top w:val="single" w:sz="12" w:space="0" w:color="000000" w:themeColor="text1"/>
              <w:bottom w:val="nil"/>
            </w:tcBorders>
          </w:tcPr>
          <w:p w:rsidR="00644C88" w:rsidRPr="00951C78" w:rsidRDefault="00644C88" w:rsidP="00F20737">
            <w:pPr>
              <w:rPr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4C88" w:rsidRDefault="00644C88" w:rsidP="00F20737">
            <w:pPr>
              <w:rPr>
                <w:szCs w:val="18"/>
              </w:rPr>
            </w:pPr>
            <w:r w:rsidRPr="00951C78">
              <w:rPr>
                <w:szCs w:val="18"/>
              </w:rPr>
              <w:t>selective outcome reporting</w:t>
            </w:r>
          </w:p>
        </w:tc>
        <w:tc>
          <w:tcPr>
            <w:tcW w:w="284" w:type="dxa"/>
            <w:tcBorders>
              <w:top w:val="single" w:sz="12" w:space="0" w:color="000000" w:themeColor="text1"/>
              <w:bottom w:val="nil"/>
            </w:tcBorders>
          </w:tcPr>
          <w:p w:rsidR="00644C88" w:rsidRPr="00951C78" w:rsidRDefault="00644C88" w:rsidP="00951C78">
            <w:pPr>
              <w:rPr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44C88" w:rsidRPr="00F20737" w:rsidRDefault="00644C88" w:rsidP="00951C78">
            <w:pPr>
              <w:rPr>
                <w:szCs w:val="18"/>
              </w:rPr>
            </w:pPr>
            <w:r w:rsidRPr="00951C78">
              <w:rPr>
                <w:szCs w:val="18"/>
              </w:rPr>
              <w:t>other biases</w:t>
            </w:r>
          </w:p>
          <w:p w:rsidR="00644C88" w:rsidRDefault="00644C88" w:rsidP="00F20737">
            <w:pPr>
              <w:rPr>
                <w:szCs w:val="18"/>
              </w:rPr>
            </w:pPr>
          </w:p>
        </w:tc>
      </w:tr>
      <w:tr w:rsidR="00A63666" w:rsidTr="00A63666">
        <w:tc>
          <w:tcPr>
            <w:tcW w:w="993" w:type="dxa"/>
            <w:tcBorders>
              <w:top w:val="single" w:sz="12" w:space="0" w:color="000000" w:themeColor="text1"/>
            </w:tcBorders>
          </w:tcPr>
          <w:p w:rsidR="00644C88" w:rsidRDefault="00644C88" w:rsidP="00F20737">
            <w:pPr>
              <w:rPr>
                <w:szCs w:val="18"/>
              </w:rPr>
            </w:pPr>
            <w:proofErr w:type="spellStart"/>
            <w:r w:rsidRPr="001F1FD5">
              <w:rPr>
                <w:rFonts w:ascii="Times New Roman" w:hAnsi="Times New Roman"/>
                <w:sz w:val="20"/>
                <w:szCs w:val="20"/>
              </w:rPr>
              <w:t>Kor</w:t>
            </w:r>
            <w:proofErr w:type="spellEnd"/>
            <w:r w:rsidRPr="001F1FD5">
              <w:rPr>
                <w:rFonts w:ascii="Times New Roman" w:hAnsi="Times New Roman"/>
                <w:sz w:val="20"/>
                <w:szCs w:val="20"/>
              </w:rPr>
              <w:t xml:space="preserve"> et al (2016)</w:t>
            </w:r>
            <w:r w:rsidRPr="001F1FD5">
              <w:rPr>
                <w:rFonts w:ascii="Times New Roman" w:hAnsi="Times New Roman"/>
                <w:sz w:val="20"/>
                <w:szCs w:val="20"/>
                <w:vertAlign w:val="superscript"/>
              </w:rPr>
              <w:t>[27]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 w:themeFill="background1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  <w:shd w:val="clear" w:color="auto" w:fill="00B050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 w:themeFill="background1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 w:themeFill="background1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FFFFFF" w:themeFill="background1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 w:themeFill="background1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00B050"/>
          </w:tcPr>
          <w:p w:rsidR="00644C88" w:rsidRPr="00FB2BD4" w:rsidRDefault="00644C88" w:rsidP="00F20737">
            <w:pPr>
              <w:rPr>
                <w:color w:val="00B050"/>
                <w:szCs w:val="18"/>
              </w:rPr>
            </w:pPr>
          </w:p>
        </w:tc>
      </w:tr>
    </w:tbl>
    <w:p w:rsidR="00F20737" w:rsidRPr="00F20737" w:rsidRDefault="00F20737" w:rsidP="00F20737">
      <w:pPr>
        <w:rPr>
          <w:szCs w:val="18"/>
        </w:rPr>
      </w:pPr>
    </w:p>
    <w:p w:rsidR="00F20737" w:rsidRPr="00F20737" w:rsidRDefault="000676C6" w:rsidP="00F20737">
      <w:pPr>
        <w:rPr>
          <w:szCs w:val="18"/>
        </w:rPr>
      </w:pPr>
      <w:r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-7pt;margin-top:12.55pt;width:24.75pt;height:18.25pt;z-index:251658240" fillcolor="#00b050">
            <v:textbox style="mso-next-textbox:#_x0000_s2053">
              <w:txbxContent>
                <w:p w:rsidR="00DB4BA5" w:rsidRDefault="00DB4BA5" w:rsidP="00DB4BA5"/>
              </w:txbxContent>
            </v:textbox>
          </v:shape>
        </w:pict>
      </w:r>
    </w:p>
    <w:p w:rsidR="00F20737" w:rsidRPr="00F20737" w:rsidRDefault="00392D84" w:rsidP="00F20737">
      <w:pPr>
        <w:rPr>
          <w:szCs w:val="18"/>
        </w:rPr>
      </w:pPr>
      <w:r>
        <w:rPr>
          <w:rFonts w:hint="eastAsia"/>
          <w:szCs w:val="18"/>
        </w:rPr>
        <w:t xml:space="preserve">      </w:t>
      </w:r>
      <w:r>
        <w:rPr>
          <w:szCs w:val="18"/>
        </w:rPr>
        <w:t>L</w:t>
      </w:r>
      <w:r>
        <w:rPr>
          <w:rFonts w:hint="eastAsia"/>
          <w:szCs w:val="18"/>
        </w:rPr>
        <w:t>ow risk bias</w:t>
      </w:r>
    </w:p>
    <w:p w:rsidR="00F20737" w:rsidRPr="00F20737" w:rsidRDefault="00DB4BA5" w:rsidP="00F20737">
      <w:pPr>
        <w:rPr>
          <w:szCs w:val="18"/>
        </w:rPr>
      </w:pPr>
      <w:r>
        <w:rPr>
          <w:noProof/>
          <w:szCs w:val="18"/>
        </w:rPr>
        <w:pict>
          <v:shape id="_x0000_s2054" type="#_x0000_t202" style="position:absolute;left:0;text-align:left;margin-left:-7pt;margin-top:8.8pt;width:24.75pt;height:18.25pt;z-index:251659264" fillcolor="yellow">
            <v:textbox style="mso-next-textbox:#_x0000_s2054">
              <w:txbxContent>
                <w:p w:rsidR="00DB4BA5" w:rsidRDefault="00DB4BA5" w:rsidP="00DB4BA5"/>
              </w:txbxContent>
            </v:textbox>
          </v:shape>
        </w:pict>
      </w:r>
    </w:p>
    <w:p w:rsidR="00F20737" w:rsidRPr="00F20737" w:rsidRDefault="00392D84" w:rsidP="00F20737">
      <w:pPr>
        <w:rPr>
          <w:szCs w:val="18"/>
        </w:rPr>
      </w:pPr>
      <w:r>
        <w:rPr>
          <w:rFonts w:hint="eastAsia"/>
          <w:szCs w:val="18"/>
        </w:rPr>
        <w:t xml:space="preserve">      unclear</w:t>
      </w:r>
    </w:p>
    <w:p w:rsidR="00F20737" w:rsidRPr="00F20737" w:rsidRDefault="00DB4BA5" w:rsidP="00F20737">
      <w:pPr>
        <w:rPr>
          <w:szCs w:val="18"/>
        </w:rPr>
      </w:pPr>
      <w:r>
        <w:rPr>
          <w:noProof/>
          <w:szCs w:val="18"/>
        </w:rPr>
        <w:pict>
          <v:shape id="_x0000_s2055" type="#_x0000_t202" style="position:absolute;left:0;text-align:left;margin-left:-7pt;margin-top:7.7pt;width:24.75pt;height:18.25pt;z-index:251660288" fillcolor="red">
            <v:textbox style="mso-next-textbox:#_x0000_s2055">
              <w:txbxContent>
                <w:p w:rsidR="00DB4BA5" w:rsidRDefault="00DB4BA5" w:rsidP="00DB4BA5"/>
              </w:txbxContent>
            </v:textbox>
          </v:shape>
        </w:pict>
      </w:r>
    </w:p>
    <w:p w:rsidR="00F20737" w:rsidRPr="00F20737" w:rsidRDefault="00392D84" w:rsidP="00F20737">
      <w:pPr>
        <w:rPr>
          <w:szCs w:val="18"/>
        </w:rPr>
      </w:pPr>
      <w:r>
        <w:rPr>
          <w:rFonts w:hint="eastAsia"/>
          <w:szCs w:val="18"/>
        </w:rPr>
        <w:t xml:space="preserve">      high risk bias</w:t>
      </w:r>
    </w:p>
    <w:p w:rsidR="00F20737" w:rsidRPr="00F20737" w:rsidRDefault="00F20737" w:rsidP="00F20737">
      <w:pPr>
        <w:rPr>
          <w:szCs w:val="18"/>
        </w:rPr>
      </w:pPr>
    </w:p>
    <w:p w:rsidR="00F20737" w:rsidRPr="00F20737" w:rsidRDefault="00F20737" w:rsidP="00F20737">
      <w:pPr>
        <w:rPr>
          <w:szCs w:val="18"/>
        </w:rPr>
      </w:pPr>
    </w:p>
    <w:p w:rsidR="00F20737" w:rsidRPr="00F20737" w:rsidRDefault="00F20737" w:rsidP="00F20737">
      <w:pPr>
        <w:rPr>
          <w:szCs w:val="18"/>
        </w:rPr>
      </w:pPr>
    </w:p>
    <w:p w:rsidR="001C15B9" w:rsidRPr="00F20737" w:rsidRDefault="001C15B9" w:rsidP="00F20737">
      <w:pPr>
        <w:rPr>
          <w:szCs w:val="18"/>
        </w:rPr>
      </w:pPr>
    </w:p>
    <w:sectPr w:rsidR="001C15B9" w:rsidRPr="00F20737" w:rsidSect="007F3C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E3" w:rsidRDefault="00510BE3" w:rsidP="00514CB7">
      <w:r>
        <w:separator/>
      </w:r>
    </w:p>
  </w:endnote>
  <w:endnote w:type="continuationSeparator" w:id="0">
    <w:p w:rsidR="00510BE3" w:rsidRDefault="00510BE3" w:rsidP="0051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f3919c9c.B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E3" w:rsidRDefault="00510BE3" w:rsidP="00514CB7">
      <w:r>
        <w:separator/>
      </w:r>
    </w:p>
  </w:footnote>
  <w:footnote w:type="continuationSeparator" w:id="0">
    <w:p w:rsidR="00510BE3" w:rsidRDefault="00510BE3" w:rsidP="00514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CB7"/>
    <w:rsid w:val="00005539"/>
    <w:rsid w:val="00007BE9"/>
    <w:rsid w:val="00061F72"/>
    <w:rsid w:val="00062899"/>
    <w:rsid w:val="000676C6"/>
    <w:rsid w:val="00072F70"/>
    <w:rsid w:val="00076A6E"/>
    <w:rsid w:val="00087081"/>
    <w:rsid w:val="000918E7"/>
    <w:rsid w:val="000C6723"/>
    <w:rsid w:val="000D3393"/>
    <w:rsid w:val="001051CC"/>
    <w:rsid w:val="00130694"/>
    <w:rsid w:val="001351AF"/>
    <w:rsid w:val="001434AA"/>
    <w:rsid w:val="0014581D"/>
    <w:rsid w:val="00150C12"/>
    <w:rsid w:val="001609C5"/>
    <w:rsid w:val="00165825"/>
    <w:rsid w:val="00165CCD"/>
    <w:rsid w:val="00170426"/>
    <w:rsid w:val="00182210"/>
    <w:rsid w:val="00182427"/>
    <w:rsid w:val="001858C4"/>
    <w:rsid w:val="001957A9"/>
    <w:rsid w:val="001B49AF"/>
    <w:rsid w:val="001C0D06"/>
    <w:rsid w:val="001C15B9"/>
    <w:rsid w:val="001C7099"/>
    <w:rsid w:val="001D720F"/>
    <w:rsid w:val="001D7C34"/>
    <w:rsid w:val="001E19B6"/>
    <w:rsid w:val="001F27DC"/>
    <w:rsid w:val="0020355B"/>
    <w:rsid w:val="00221000"/>
    <w:rsid w:val="002212ED"/>
    <w:rsid w:val="00227443"/>
    <w:rsid w:val="00227994"/>
    <w:rsid w:val="002478C1"/>
    <w:rsid w:val="002532F3"/>
    <w:rsid w:val="002744B3"/>
    <w:rsid w:val="00283C0D"/>
    <w:rsid w:val="002A2331"/>
    <w:rsid w:val="002B3670"/>
    <w:rsid w:val="002B6A15"/>
    <w:rsid w:val="002B79A4"/>
    <w:rsid w:val="002C3AE7"/>
    <w:rsid w:val="003012B7"/>
    <w:rsid w:val="00306633"/>
    <w:rsid w:val="00320F73"/>
    <w:rsid w:val="0033440C"/>
    <w:rsid w:val="00340AED"/>
    <w:rsid w:val="00345403"/>
    <w:rsid w:val="0035159E"/>
    <w:rsid w:val="00372BEF"/>
    <w:rsid w:val="0038283F"/>
    <w:rsid w:val="00392D84"/>
    <w:rsid w:val="00392EE9"/>
    <w:rsid w:val="003B09E2"/>
    <w:rsid w:val="003B4038"/>
    <w:rsid w:val="0040139F"/>
    <w:rsid w:val="00412A87"/>
    <w:rsid w:val="00414F8D"/>
    <w:rsid w:val="00423DC0"/>
    <w:rsid w:val="00433681"/>
    <w:rsid w:val="00443693"/>
    <w:rsid w:val="00446C31"/>
    <w:rsid w:val="00452876"/>
    <w:rsid w:val="00475872"/>
    <w:rsid w:val="00496740"/>
    <w:rsid w:val="004A467C"/>
    <w:rsid w:val="004B47EC"/>
    <w:rsid w:val="004F4946"/>
    <w:rsid w:val="0050068C"/>
    <w:rsid w:val="00503C18"/>
    <w:rsid w:val="00510BE3"/>
    <w:rsid w:val="00514CB7"/>
    <w:rsid w:val="00517625"/>
    <w:rsid w:val="00552D20"/>
    <w:rsid w:val="0057066E"/>
    <w:rsid w:val="00575EF8"/>
    <w:rsid w:val="00577A5B"/>
    <w:rsid w:val="005831B7"/>
    <w:rsid w:val="00584486"/>
    <w:rsid w:val="00597D41"/>
    <w:rsid w:val="005A408A"/>
    <w:rsid w:val="005C5E4F"/>
    <w:rsid w:val="005D41E3"/>
    <w:rsid w:val="005F2E02"/>
    <w:rsid w:val="00603294"/>
    <w:rsid w:val="00616891"/>
    <w:rsid w:val="00641A12"/>
    <w:rsid w:val="00641EEF"/>
    <w:rsid w:val="00644C88"/>
    <w:rsid w:val="006574DB"/>
    <w:rsid w:val="006706DE"/>
    <w:rsid w:val="00677E73"/>
    <w:rsid w:val="00683B95"/>
    <w:rsid w:val="006A105D"/>
    <w:rsid w:val="006A5047"/>
    <w:rsid w:val="006B423D"/>
    <w:rsid w:val="006B5E62"/>
    <w:rsid w:val="006D12C7"/>
    <w:rsid w:val="006D41BD"/>
    <w:rsid w:val="006F4E91"/>
    <w:rsid w:val="00702C13"/>
    <w:rsid w:val="00706420"/>
    <w:rsid w:val="00711D6D"/>
    <w:rsid w:val="0071510F"/>
    <w:rsid w:val="0072590C"/>
    <w:rsid w:val="007352D1"/>
    <w:rsid w:val="00770CE1"/>
    <w:rsid w:val="00770F98"/>
    <w:rsid w:val="0079630E"/>
    <w:rsid w:val="007A1BAE"/>
    <w:rsid w:val="007A5187"/>
    <w:rsid w:val="007B789E"/>
    <w:rsid w:val="007E3F76"/>
    <w:rsid w:val="007F3C9B"/>
    <w:rsid w:val="007F5617"/>
    <w:rsid w:val="00801190"/>
    <w:rsid w:val="0080652C"/>
    <w:rsid w:val="00810617"/>
    <w:rsid w:val="00813EE6"/>
    <w:rsid w:val="00824BF7"/>
    <w:rsid w:val="008332FD"/>
    <w:rsid w:val="00834CC2"/>
    <w:rsid w:val="00837E63"/>
    <w:rsid w:val="0086774F"/>
    <w:rsid w:val="00891BCC"/>
    <w:rsid w:val="00893A05"/>
    <w:rsid w:val="00896F38"/>
    <w:rsid w:val="008B68D0"/>
    <w:rsid w:val="008C035C"/>
    <w:rsid w:val="008C4063"/>
    <w:rsid w:val="008E32CA"/>
    <w:rsid w:val="008E4D67"/>
    <w:rsid w:val="008F0DF5"/>
    <w:rsid w:val="008F6C50"/>
    <w:rsid w:val="00930D9E"/>
    <w:rsid w:val="00950552"/>
    <w:rsid w:val="00951C78"/>
    <w:rsid w:val="009536D5"/>
    <w:rsid w:val="009860A4"/>
    <w:rsid w:val="00993B2F"/>
    <w:rsid w:val="009A3122"/>
    <w:rsid w:val="009A5D21"/>
    <w:rsid w:val="009C7700"/>
    <w:rsid w:val="009D6116"/>
    <w:rsid w:val="00A0303B"/>
    <w:rsid w:val="00A12115"/>
    <w:rsid w:val="00A278BA"/>
    <w:rsid w:val="00A30858"/>
    <w:rsid w:val="00A5081E"/>
    <w:rsid w:val="00A63666"/>
    <w:rsid w:val="00A86125"/>
    <w:rsid w:val="00A86B2B"/>
    <w:rsid w:val="00AB192C"/>
    <w:rsid w:val="00AC091E"/>
    <w:rsid w:val="00AC0D6F"/>
    <w:rsid w:val="00AD01A3"/>
    <w:rsid w:val="00AF5CFB"/>
    <w:rsid w:val="00B069FE"/>
    <w:rsid w:val="00B27890"/>
    <w:rsid w:val="00B411DF"/>
    <w:rsid w:val="00B437FE"/>
    <w:rsid w:val="00B5620C"/>
    <w:rsid w:val="00B67096"/>
    <w:rsid w:val="00B820B7"/>
    <w:rsid w:val="00B823F4"/>
    <w:rsid w:val="00B84303"/>
    <w:rsid w:val="00B8668F"/>
    <w:rsid w:val="00BA0B03"/>
    <w:rsid w:val="00BC2E7E"/>
    <w:rsid w:val="00BD3BDE"/>
    <w:rsid w:val="00BE56BF"/>
    <w:rsid w:val="00C550E2"/>
    <w:rsid w:val="00C5569E"/>
    <w:rsid w:val="00C5678E"/>
    <w:rsid w:val="00C92E30"/>
    <w:rsid w:val="00C9489E"/>
    <w:rsid w:val="00CB3700"/>
    <w:rsid w:val="00CD7DB3"/>
    <w:rsid w:val="00CE16D3"/>
    <w:rsid w:val="00CE6AA1"/>
    <w:rsid w:val="00D367BF"/>
    <w:rsid w:val="00D57EE1"/>
    <w:rsid w:val="00D75DA1"/>
    <w:rsid w:val="00D82B0A"/>
    <w:rsid w:val="00DB4BA5"/>
    <w:rsid w:val="00DE2C54"/>
    <w:rsid w:val="00DF79DF"/>
    <w:rsid w:val="00E10798"/>
    <w:rsid w:val="00E13852"/>
    <w:rsid w:val="00E158C0"/>
    <w:rsid w:val="00E54F2A"/>
    <w:rsid w:val="00E634A6"/>
    <w:rsid w:val="00EA1B74"/>
    <w:rsid w:val="00F20737"/>
    <w:rsid w:val="00F21258"/>
    <w:rsid w:val="00F24EE9"/>
    <w:rsid w:val="00F62980"/>
    <w:rsid w:val="00F96E03"/>
    <w:rsid w:val="00FA1675"/>
    <w:rsid w:val="00FA601B"/>
    <w:rsid w:val="00FB01A7"/>
    <w:rsid w:val="00FB146C"/>
    <w:rsid w:val="00FB2BD4"/>
    <w:rsid w:val="00FB4F70"/>
    <w:rsid w:val="00FE7BAD"/>
    <w:rsid w:val="00FF0FEC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2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B823F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C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CB7"/>
    <w:rPr>
      <w:sz w:val="18"/>
      <w:szCs w:val="18"/>
    </w:rPr>
  </w:style>
  <w:style w:type="table" w:styleId="a5">
    <w:name w:val="Table Grid"/>
    <w:basedOn w:val="a1"/>
    <w:uiPriority w:val="59"/>
    <w:rsid w:val="00A121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187"/>
  </w:style>
  <w:style w:type="character" w:styleId="a6">
    <w:name w:val="Hyperlink"/>
    <w:basedOn w:val="a0"/>
    <w:uiPriority w:val="99"/>
    <w:unhideWhenUsed/>
    <w:rsid w:val="007A5187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B823F4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FollowedHyperlink"/>
    <w:basedOn w:val="a0"/>
    <w:uiPriority w:val="99"/>
    <w:semiHidden/>
    <w:unhideWhenUsed/>
    <w:rsid w:val="00641A12"/>
    <w:rPr>
      <w:color w:val="800080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B4BA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B4BA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77</cp:revision>
  <cp:lastPrinted>2019-09-02T23:47:00Z</cp:lastPrinted>
  <dcterms:created xsi:type="dcterms:W3CDTF">2018-08-12T05:19:00Z</dcterms:created>
  <dcterms:modified xsi:type="dcterms:W3CDTF">2020-02-03T07:06:00Z</dcterms:modified>
</cp:coreProperties>
</file>